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ind w:end="0"/>
              <w:jc w:val="center"/>
              <w:rPr/>
            </w:pPr>
            <w:r>
              <w:rPr>
                <w:b/>
                <w:bCs/>
                <w:sz w:val="20"/>
              </w:rPr>
              <w:t>ỦY BAN NHÂN DÂN</w:t>
              <w:br/>
              <w:t>TỈNH LAI CHÂU</w:t>
              <w:br/>
              <w:t>-------</w:t>
            </w:r>
          </w:p>
        </w:tc>
        <w:tc>
          <w:tcPr>
            <w:tcW w:w="6607" w:type="dxa"/>
            <w:tcBorders/>
          </w:tcPr>
          <w:p>
            <w:pPr>
              <w:pStyle w:val="Normal"/>
              <w:bidi w:val="0"/>
              <w:spacing w:before="120" w:after="0"/>
              <w:ind w:end="0"/>
              <w:jc w:val="center"/>
              <w:rPr/>
            </w:pPr>
            <w:r>
              <w:rPr>
                <w:b/>
                <w:bCs/>
                <w:sz w:val="20"/>
              </w:rPr>
              <w:t>CỘNG HÒA XÃ HỘI CHỦ NGHĨA VIỆT NAM</w:t>
              <w:br/>
              <w:t xml:space="preserve">Độc lập - Tự do - Hạnh phúc </w:t>
              <w:br/>
              <w:t>---------------</w:t>
            </w:r>
          </w:p>
        </w:tc>
      </w:tr>
      <w:tr>
        <w:trPr/>
        <w:tc>
          <w:tcPr>
            <w:tcW w:w="3365" w:type="dxa"/>
            <w:tcBorders/>
          </w:tcPr>
          <w:p>
            <w:pPr>
              <w:pStyle w:val="Normal"/>
              <w:bidi w:val="0"/>
              <w:spacing w:before="120" w:after="0"/>
              <w:ind w:end="0"/>
              <w:jc w:val="center"/>
              <w:rPr/>
            </w:pPr>
            <w:r>
              <w:rPr>
                <w:sz w:val="20"/>
              </w:rPr>
              <w:t>Số: 18/2026/QĐ-UBND</w:t>
            </w:r>
          </w:p>
        </w:tc>
        <w:tc>
          <w:tcPr>
            <w:tcW w:w="6607" w:type="dxa"/>
            <w:tcBorders/>
          </w:tcPr>
          <w:p>
            <w:pPr>
              <w:pStyle w:val="Normal"/>
              <w:bidi w:val="0"/>
              <w:spacing w:before="120" w:after="0"/>
              <w:ind w:end="0"/>
              <w:jc w:val="end"/>
              <w:rPr/>
            </w:pPr>
            <w:r>
              <w:rPr>
                <w:i/>
                <w:iCs/>
                <w:sz w:val="20"/>
              </w:rPr>
              <w:t>Lai Châu, ngày 13 tháng 3 năm 2026</w:t>
            </w:r>
          </w:p>
        </w:tc>
      </w:tr>
    </w:tbl>
    <w:p>
      <w:pPr>
        <w:pStyle w:val="Normal"/>
        <w:bidi w:val="0"/>
        <w:spacing w:before="120" w:after="0"/>
        <w:ind w:end="0"/>
        <w:jc w:val="center"/>
        <w:rPr>
          <w:b/>
          <w:bCs/>
          <w:sz w:val="20"/>
        </w:rPr>
      </w:pPr>
      <w:r>
        <w:rPr>
          <w:b/>
          <w:bCs/>
          <w:sz w:val="20"/>
        </w:rPr>
        <w:t> </w:t>
      </w:r>
    </w:p>
    <w:p>
      <w:pPr>
        <w:pStyle w:val="Normal"/>
        <w:bidi w:val="0"/>
        <w:spacing w:before="120" w:after="0"/>
        <w:ind w:end="0"/>
        <w:jc w:val="center"/>
        <w:rPr>
          <w:b/>
          <w:bCs/>
          <w:sz w:val="24"/>
        </w:rPr>
      </w:pPr>
      <w:r>
        <w:rPr>
          <w:b/>
          <w:bCs/>
          <w:sz w:val="24"/>
        </w:rPr>
        <w:t>QUYẾT ĐỊNH</w:t>
      </w:r>
    </w:p>
    <w:p>
      <w:pPr>
        <w:pStyle w:val="Normal"/>
        <w:bidi w:val="0"/>
        <w:spacing w:before="120" w:after="0"/>
        <w:ind w:end="0"/>
        <w:jc w:val="center"/>
        <w:rPr>
          <w:sz w:val="20"/>
        </w:rPr>
      </w:pPr>
      <w:r>
        <w:rPr>
          <w:sz w:val="20"/>
        </w:rPr>
        <w:t>BÃI BỎ CÁC VĂN BẢN QUY PHẠM PHÁP LUẬT CỦA ỦY BAN NHÂN DÂN TỈNH LAI CHÂU</w:t>
      </w:r>
    </w:p>
    <w:p>
      <w:pPr>
        <w:pStyle w:val="Normal"/>
        <w:bidi w:val="0"/>
        <w:spacing w:before="120" w:after="0"/>
        <w:ind w:end="0"/>
        <w:rPr>
          <w:i/>
          <w:iCs/>
          <w:sz w:val="20"/>
        </w:rPr>
      </w:pPr>
      <w:r>
        <w:rPr>
          <w:i/>
          <w:iCs/>
          <w:sz w:val="20"/>
        </w:rPr>
        <w:t>Căn cứ Luật Tổ chức chính quyền địa phương số 72/2025/QH15;</w:t>
      </w:r>
    </w:p>
    <w:p>
      <w:pPr>
        <w:pStyle w:val="Normal"/>
        <w:bidi w:val="0"/>
        <w:spacing w:before="120" w:after="0"/>
        <w:ind w:end="0"/>
        <w:rPr>
          <w:i/>
          <w:iCs/>
          <w:sz w:val="20"/>
        </w:rPr>
      </w:pPr>
      <w:r>
        <w:rPr>
          <w:i/>
          <w:iCs/>
          <w:sz w:val="20"/>
        </w:rPr>
        <w:t xml:space="preserve">Căn cứ Luật Ban hành văn bản quy phạm pháp luật số 64/2025/QH15; </w:t>
      </w:r>
    </w:p>
    <w:p>
      <w:pPr>
        <w:pStyle w:val="Normal"/>
        <w:bidi w:val="0"/>
        <w:spacing w:before="120" w:after="0"/>
        <w:ind w:end="0"/>
        <w:rPr>
          <w:i/>
          <w:iCs/>
          <w:sz w:val="20"/>
        </w:rPr>
      </w:pPr>
      <w:r>
        <w:rPr>
          <w:i/>
          <w:iCs/>
          <w:sz w:val="20"/>
        </w:rPr>
        <w:t>Căn cứ Luật Sửa đổi, bổ sung một số điều của Luật Ban hành văn bản quy phạm pháp luật số 87/2025/QH15;</w:t>
      </w:r>
    </w:p>
    <w:p>
      <w:pPr>
        <w:pStyle w:val="Normal"/>
        <w:bidi w:val="0"/>
        <w:spacing w:before="120" w:after="0"/>
        <w:ind w:end="0"/>
        <w:rPr>
          <w:i/>
          <w:iCs/>
          <w:sz w:val="20"/>
        </w:rPr>
      </w:pPr>
      <w:r>
        <w:rPr>
          <w:i/>
          <w:iCs/>
          <w:sz w:val="20"/>
        </w:rPr>
        <w:t>Căn cứ Nghị định số 78/2025/NĐ-CP ngày 01 tháng 4 năm 2025 của Chính phủ quy định chi tiết một số điều và biện pháp để tổ chức, hướng dẫn thi hành Luật Ban hành văn bản quy phạm pháp luật;</w:t>
      </w:r>
    </w:p>
    <w:p>
      <w:pPr>
        <w:pStyle w:val="Normal"/>
        <w:bidi w:val="0"/>
        <w:spacing w:before="120" w:after="0"/>
        <w:ind w:end="0"/>
        <w:rPr>
          <w:i/>
          <w:iCs/>
          <w:sz w:val="20"/>
        </w:rPr>
      </w:pPr>
      <w:r>
        <w:rPr>
          <w:i/>
          <w:iCs/>
          <w:sz w:val="20"/>
        </w:rPr>
        <w:t>Căn cứ Nghị định số 79/2025/NĐ-CP ngày 01 tháng 4 năm 2025 của Chính phủ về kiểm tra, rà soát, hệ thống hóa và xử lý văn bản quy phạm pháp luật;</w:t>
      </w:r>
    </w:p>
    <w:p>
      <w:pPr>
        <w:pStyle w:val="Normal"/>
        <w:bidi w:val="0"/>
        <w:spacing w:before="120" w:after="0"/>
        <w:ind w:end="0"/>
        <w:rPr>
          <w:i/>
          <w:iCs/>
          <w:sz w:val="20"/>
        </w:rPr>
      </w:pPr>
      <w:r>
        <w:rPr>
          <w:i/>
          <w:iCs/>
          <w:sz w:val="20"/>
        </w:rPr>
        <w:t>Căn cứ Nghị định số 187/2025/NĐ-CP ngày 01 tháng 7 năm 2025 của Chính phủ sửa đổi, bổ sung một số điều của Nghị định 78/2025/NĐ-CP ngày 01 tháng 4 năm 2025 của Chính phủ quy định chi tiết một số điều và biện pháp để tổ chức, hướng dẫn thi hành Luật Ban hành văn bản quy phạm pháp luật và Nghị định số 79/2025/NĐ-CP ngày 01tháng 4 năm 2025 của Chính phủ về kiểm tra, rà soát, hệ thống hóa và xử lý văn bản quy phạm pháp luật;</w:t>
      </w:r>
    </w:p>
    <w:p>
      <w:pPr>
        <w:pStyle w:val="Normal"/>
        <w:bidi w:val="0"/>
        <w:spacing w:before="120" w:after="0"/>
        <w:ind w:end="0"/>
        <w:rPr>
          <w:i/>
          <w:iCs/>
          <w:sz w:val="20"/>
        </w:rPr>
      </w:pPr>
      <w:r>
        <w:rPr>
          <w:i/>
          <w:iCs/>
          <w:sz w:val="20"/>
        </w:rPr>
        <w:t>Theo đề nghị của Giám đốc Sở Tư pháp;</w:t>
      </w:r>
    </w:p>
    <w:p>
      <w:pPr>
        <w:pStyle w:val="Normal"/>
        <w:bidi w:val="0"/>
        <w:spacing w:before="120" w:after="0"/>
        <w:ind w:end="0"/>
        <w:rPr>
          <w:i/>
          <w:iCs/>
          <w:sz w:val="20"/>
        </w:rPr>
      </w:pPr>
      <w:r>
        <w:rPr>
          <w:i/>
          <w:iCs/>
          <w:sz w:val="20"/>
        </w:rPr>
        <w:t>Ủy ban nhân dân tỉnh ban hành Quyết định bãi bỏ các văn bản quy phạm pháp luật của Ủy ban nhân dân tỉnh Lai Châu.</w:t>
      </w:r>
    </w:p>
    <w:p>
      <w:pPr>
        <w:pStyle w:val="Normal"/>
        <w:bidi w:val="0"/>
        <w:spacing w:before="120" w:after="0"/>
        <w:ind w:end="0"/>
        <w:rPr>
          <w:b/>
          <w:bCs/>
          <w:sz w:val="20"/>
        </w:rPr>
      </w:pPr>
      <w:r>
        <w:rPr>
          <w:b/>
          <w:bCs/>
          <w:sz w:val="20"/>
        </w:rPr>
        <w:t>Điều 1. Bãi bỏ toàn bộ 17 văn bản quy phạm pháp luật của Ủy ban nhân dân tỉnh Lai Châu, cụ thể:</w:t>
      </w:r>
    </w:p>
    <w:p>
      <w:pPr>
        <w:pStyle w:val="Normal"/>
        <w:bidi w:val="0"/>
        <w:spacing w:before="120" w:after="0"/>
        <w:ind w:end="0"/>
        <w:rPr>
          <w:sz w:val="20"/>
        </w:rPr>
      </w:pPr>
      <w:r>
        <w:rPr>
          <w:sz w:val="20"/>
        </w:rPr>
        <w:t>1. Quyết định số 61/2004/QĐ-UB ngày 20 tháng 8 năm 2004 của UBND tỉnh về việc công nhận Trung tâm huyện lỵ huyện Tam Đường tại Bình Lư là đô thị loại V.</w:t>
      </w:r>
    </w:p>
    <w:p>
      <w:pPr>
        <w:pStyle w:val="Normal"/>
        <w:bidi w:val="0"/>
        <w:spacing w:before="120" w:after="0"/>
        <w:ind w:end="0"/>
        <w:rPr>
          <w:sz w:val="20"/>
        </w:rPr>
      </w:pPr>
      <w:r>
        <w:rPr>
          <w:sz w:val="20"/>
        </w:rPr>
        <w:t>2. Quyết định số 62/2004/QĐ-UB ngày 20 tháng 8 năm 2004 của UBND tỉnh về việc công nhận Trung tâm huyện lỵ huyện Phong Thổ tại Pa So là đô thị loại V.</w:t>
      </w:r>
    </w:p>
    <w:p>
      <w:pPr>
        <w:pStyle w:val="Normal"/>
        <w:bidi w:val="0"/>
        <w:spacing w:before="120" w:after="0"/>
        <w:ind w:end="0"/>
        <w:rPr>
          <w:sz w:val="20"/>
        </w:rPr>
      </w:pPr>
      <w:r>
        <w:rPr>
          <w:sz w:val="20"/>
        </w:rPr>
        <w:t>3. Quyết định số 10/2007/QĐ-UBND ngày 09 tháng 5 năm 2007 của UBND tỉnh ban hành quy định về trình tự soạn thảo, trình ký, phát hành văn bản của UBND tỉnh.</w:t>
      </w:r>
    </w:p>
    <w:p>
      <w:pPr>
        <w:pStyle w:val="Normal"/>
        <w:bidi w:val="0"/>
        <w:spacing w:before="120" w:after="0"/>
        <w:ind w:end="0"/>
        <w:rPr>
          <w:sz w:val="20"/>
        </w:rPr>
      </w:pPr>
      <w:r>
        <w:rPr>
          <w:sz w:val="20"/>
        </w:rPr>
        <w:t>4. Quyết định số 35/2017/QĐ-UBND ngày 21 tháng 8 năm 2017 của UBND tỉnh quy định việc lập dự toán, quản lý sử dụng và quyết toán kinh phí được trích từ các khoản thu hồi phát hiện qua công tác thanh tra đã thực nộp vào ngân sách nhà nước trên địa bàn tỉnh Lai Châu.</w:t>
      </w:r>
    </w:p>
    <w:p>
      <w:pPr>
        <w:pStyle w:val="Normal"/>
        <w:bidi w:val="0"/>
        <w:spacing w:before="120" w:after="0"/>
        <w:ind w:end="0"/>
        <w:rPr>
          <w:sz w:val="20"/>
        </w:rPr>
      </w:pPr>
      <w:r>
        <w:rPr>
          <w:sz w:val="20"/>
        </w:rPr>
        <w:t>5. Quyết định số 39/2017/QĐ-UBND ngày 24 tháng 8 năm 2017 của UBND tỉnh Quy định việc thực hiện chế độ bồi dưỡng đối với người làm nhiệm vụ tiếp công dân, xử lý đơn khiếu nại, tố cáo, kiến nghị, phản ánh trên địa bàn tỉnh Lai Châu.</w:t>
      </w:r>
    </w:p>
    <w:p>
      <w:pPr>
        <w:pStyle w:val="Normal"/>
        <w:bidi w:val="0"/>
        <w:spacing w:before="120" w:after="0"/>
        <w:ind w:end="0"/>
        <w:rPr>
          <w:sz w:val="20"/>
        </w:rPr>
      </w:pPr>
      <w:r>
        <w:rPr>
          <w:sz w:val="20"/>
        </w:rPr>
        <w:t>6. Quyết định số 48/2017/QĐ-UBND ngày 18 tháng 9 năm 2017 của UBND tỉnh ban hành quy chế quản lý hồ sơ cán bộ, công chức, viên chức trong các cơ quan, tổ chức, đơn vị tỉnh Lai Châu.</w:t>
      </w:r>
    </w:p>
    <w:p>
      <w:pPr>
        <w:pStyle w:val="Normal"/>
        <w:bidi w:val="0"/>
        <w:spacing w:before="120" w:after="0"/>
        <w:ind w:end="0"/>
        <w:rPr>
          <w:sz w:val="20"/>
        </w:rPr>
      </w:pPr>
      <w:r>
        <w:rPr>
          <w:sz w:val="20"/>
        </w:rPr>
        <w:t>7. Quyết định số 27/2018/QĐ-UBND ngày 27 tháng 7 năm 2018 của UBND tỉnh về việc sửa đổi nội dung Quyết định số 62/2017/QĐ-UBND ngày 18/10/2017 về ban hành quy định điều kiện, tiêu chuẩn đối với các chức danh Trưởng phòng, Phó Trưởng phòng Tài chính - Kế hoạch thuộc Ủy ban nhân dân các huyện, thành phố trên địa bàn tỉnh Lai Châu.</w:t>
      </w:r>
    </w:p>
    <w:p>
      <w:pPr>
        <w:pStyle w:val="Normal"/>
        <w:bidi w:val="0"/>
        <w:spacing w:before="120" w:after="0"/>
        <w:ind w:end="0"/>
        <w:rPr>
          <w:sz w:val="20"/>
        </w:rPr>
      </w:pPr>
      <w:r>
        <w:rPr>
          <w:sz w:val="20"/>
        </w:rPr>
        <w:t>8. Quyết định số 43/2020/QĐ-UBND ngày 02 tháng 12 năm 2020 của UBND tỉnh ban hành Quy chế quản lý, cung cấp và sử dụng thông tin trên Cổng Thông tin điện tử tỉnh Lai Châu.</w:t>
      </w:r>
    </w:p>
    <w:p>
      <w:pPr>
        <w:pStyle w:val="Normal"/>
        <w:bidi w:val="0"/>
        <w:spacing w:before="120" w:after="0"/>
        <w:ind w:end="0"/>
        <w:rPr>
          <w:sz w:val="20"/>
        </w:rPr>
      </w:pPr>
      <w:r>
        <w:rPr>
          <w:sz w:val="20"/>
        </w:rPr>
        <w:t>9. Quyết định số 45/2020/QĐ-UBND ngày 15 tháng 12 năm 2020 của UBND tỉnh về Giao Kế hoạch phát triển kinh tế - xã hội 5 năm giai đoạn 2021-2025.</w:t>
      </w:r>
    </w:p>
    <w:p>
      <w:pPr>
        <w:pStyle w:val="Normal"/>
        <w:bidi w:val="0"/>
        <w:spacing w:before="120" w:after="0"/>
        <w:ind w:end="0"/>
        <w:rPr>
          <w:sz w:val="20"/>
        </w:rPr>
      </w:pPr>
      <w:r>
        <w:rPr>
          <w:sz w:val="20"/>
        </w:rPr>
        <w:t>10. Quyết định số 25/2021/QĐ-UBND ngày 23 tháng 7 năm 2021 của UBND tỉnh Ban hành Quy định một số nội dung về quản lý đầu tư và xây dựng trên địa bàn tỉnh Lai Châu.</w:t>
      </w:r>
    </w:p>
    <w:p>
      <w:pPr>
        <w:pStyle w:val="Normal"/>
        <w:bidi w:val="0"/>
        <w:spacing w:before="120" w:after="0"/>
        <w:ind w:end="0"/>
        <w:rPr>
          <w:sz w:val="20"/>
        </w:rPr>
      </w:pPr>
      <w:r>
        <w:rPr>
          <w:sz w:val="20"/>
        </w:rPr>
        <w:t>11. Quyết định số 42/2022/QĐ-UBND ngày 07 tháng 11 năm 2022 của UBND tỉnh Quy định tiêu chí, cách phân bổ máy tính bảng thuộc chương trình cung cấp dịch vụ viễn thông công ích đến năm 2025 trên địa bàn tỉnh Lai Châu.</w:t>
      </w:r>
    </w:p>
    <w:p>
      <w:pPr>
        <w:pStyle w:val="Normal"/>
        <w:bidi w:val="0"/>
        <w:spacing w:before="120" w:after="0"/>
        <w:ind w:end="0"/>
        <w:rPr>
          <w:sz w:val="20"/>
        </w:rPr>
      </w:pPr>
      <w:r>
        <w:rPr>
          <w:sz w:val="20"/>
        </w:rPr>
        <w:t>12. Quyết định số 51/2022/QĐ-UBND ngày 30 tháng 12 năm 2022 của UBND tỉnh ban hành Quy định phân cấp trách nhiệm quản lý chất lượng, bảo trì công trình xây dựng và quản lý an toàn lao động trong thi công xây dựng công trình trên địa bàn tỉnh Lai Châu.</w:t>
      </w:r>
    </w:p>
    <w:p>
      <w:pPr>
        <w:pStyle w:val="Normal"/>
        <w:bidi w:val="0"/>
        <w:spacing w:before="120" w:after="0"/>
        <w:ind w:end="0"/>
        <w:rPr>
          <w:sz w:val="20"/>
        </w:rPr>
      </w:pPr>
      <w:r>
        <w:rPr>
          <w:sz w:val="20"/>
        </w:rPr>
        <w:t>13. Quyết định số 12/2024/QĐ-UBND ngày 05 tháng 4 năm 2024 của UBND tỉnh ban hành Quy chế quản lý và sử dụng kinh phí thực hiện chính sách, chế độ ưu đãi người có công với cách mạng trên địa bàn tỉnh Lai Châu.</w:t>
      </w:r>
    </w:p>
    <w:p>
      <w:pPr>
        <w:pStyle w:val="Normal"/>
        <w:bidi w:val="0"/>
        <w:spacing w:before="120" w:after="0"/>
        <w:ind w:end="0"/>
        <w:rPr>
          <w:sz w:val="20"/>
        </w:rPr>
      </w:pPr>
      <w:r>
        <w:rPr>
          <w:sz w:val="20"/>
        </w:rPr>
        <w:t>14. Quyết định số 46/2024/QĐ-UBND ngày 04 tháng 10 năm 2024 của UBND tỉnh Ban hành Quy định về tiêu chuẩn một số chức danh lãnh đạo, quản lý các tổ chức hội cấp tỉnh; chi cục và tương đương; đơn vị sự nghiệp và doanh nghiệp Nhà nước thuộc UBND tỉnh.</w:t>
      </w:r>
    </w:p>
    <w:p>
      <w:pPr>
        <w:pStyle w:val="Normal"/>
        <w:bidi w:val="0"/>
        <w:spacing w:before="120" w:after="0"/>
        <w:ind w:end="0"/>
        <w:rPr>
          <w:sz w:val="20"/>
        </w:rPr>
      </w:pPr>
      <w:r>
        <w:rPr>
          <w:sz w:val="20"/>
        </w:rPr>
        <w:t>15. Quyết định số 41/2025/QĐ-UBND ngày 11 tháng 8 năm 2025 của UBND tỉnh Lai Châu quy định chức năng, nhiệm vụ, quyền hạn và tổ chức của Sở Y tế.</w:t>
      </w:r>
    </w:p>
    <w:p>
      <w:pPr>
        <w:pStyle w:val="Normal"/>
        <w:bidi w:val="0"/>
        <w:spacing w:before="120" w:after="0"/>
        <w:ind w:end="0"/>
        <w:rPr>
          <w:sz w:val="20"/>
        </w:rPr>
      </w:pPr>
      <w:r>
        <w:rPr>
          <w:sz w:val="20"/>
        </w:rPr>
        <w:t>16. Chỉ thị số 03/2010/CT-UBND ngày 05 tháng 4 năm 2010 của UBND tỉnh về việc nâng cao chất lượng công tác xây dựng, ban hành, rà soát, kiểm tra và xử lý văn bản quy phạm pháp luật của Hội đồng nhân dân và Ủy ban nhân dân các cấp trên địa bàn tỉnh.</w:t>
      </w:r>
    </w:p>
    <w:p>
      <w:pPr>
        <w:pStyle w:val="Normal"/>
        <w:bidi w:val="0"/>
        <w:spacing w:before="120" w:after="0"/>
        <w:ind w:end="0"/>
        <w:rPr>
          <w:sz w:val="20"/>
        </w:rPr>
      </w:pPr>
      <w:r>
        <w:rPr>
          <w:sz w:val="20"/>
        </w:rPr>
        <w:t>17. Chỉ thị số 01/2013/CT-UBND ngày 06 tháng 02 năm 2013 của UBND tỉnh về việc tăng cường công tác văn thư, lưu trữ trên địa bàn tỉnh Lai Châu.</w:t>
      </w:r>
    </w:p>
    <w:p>
      <w:pPr>
        <w:pStyle w:val="Normal"/>
        <w:bidi w:val="0"/>
        <w:spacing w:before="120" w:after="0"/>
        <w:ind w:end="0"/>
        <w:rPr>
          <w:b/>
          <w:bCs/>
          <w:sz w:val="20"/>
        </w:rPr>
      </w:pPr>
      <w:r>
        <w:rPr>
          <w:b/>
          <w:bCs/>
          <w:sz w:val="20"/>
        </w:rPr>
        <w:t>Điều 2. Điều khoản thi hành</w:t>
      </w:r>
    </w:p>
    <w:p>
      <w:pPr>
        <w:pStyle w:val="Normal"/>
        <w:bidi w:val="0"/>
        <w:spacing w:before="120" w:after="0"/>
        <w:ind w:end="0"/>
        <w:rPr>
          <w:sz w:val="20"/>
        </w:rPr>
      </w:pPr>
      <w:r>
        <w:rPr>
          <w:sz w:val="20"/>
        </w:rPr>
        <w:t>1. Quyết định này có hiệu lực từ ngày 13 tháng 3 năm 2026.</w:t>
      </w:r>
    </w:p>
    <w:p>
      <w:pPr>
        <w:pStyle w:val="Normal"/>
        <w:bidi w:val="0"/>
        <w:spacing w:before="120" w:after="0"/>
        <w:ind w:end="0"/>
        <w:rPr>
          <w:sz w:val="20"/>
        </w:rPr>
      </w:pPr>
      <w:r>
        <w:rPr>
          <w:sz w:val="20"/>
        </w:rPr>
        <w:t>2. Chánh Văn phòng UBND tỉnh; Chánh Thanh tra tỉnh; Giám đốc các sở: Tư pháp, Nội vụ, Tài chính, Khoa học và Công nghệ, Xây dựng, Y tế; Thủ trưởng các sở, ban, ngành tỉnh; Chủ tịch UBND các xã, phường và Thủ trưởng các cơ quan, đơn vị có liên quan chịu trách nhiệm thi hành Quyết định này./.</w:t>
      </w:r>
    </w:p>
    <w:p>
      <w:pPr>
        <w:pStyle w:val="Normal"/>
        <w:bidi w:val="0"/>
        <w:spacing w:before="120" w:after="0"/>
        <w:ind w:end="0"/>
        <w:rPr>
          <w:b/>
          <w:bCs/>
          <w:i/>
          <w:iCs/>
          <w:sz w:val="20"/>
        </w:rPr>
      </w:pPr>
      <w:r>
        <w:rPr>
          <w:b/>
          <w:bCs/>
          <w:i/>
          <w:iCs/>
          <w:sz w:val="20"/>
        </w:rPr>
        <w:t> </w:t>
      </w:r>
    </w:p>
    <w:tbl>
      <w:tblPr>
        <w:tblW w:w="5000" w:type="pct"/>
        <w:jc w:val="start"/>
        <w:tblInd w:w="0" w:type="dxa"/>
        <w:tblLayout w:type="fixed"/>
        <w:tblCellMar>
          <w:top w:w="0" w:type="dxa"/>
          <w:start w:w="108" w:type="dxa"/>
          <w:bottom w:w="0" w:type="dxa"/>
          <w:end w:w="108" w:type="dxa"/>
        </w:tblCellMar>
      </w:tblPr>
      <w:tblGrid>
        <w:gridCol w:w="4983"/>
        <w:gridCol w:w="4989"/>
      </w:tblGrid>
      <w:tr>
        <w:trPr/>
        <w:tc>
          <w:tcPr>
            <w:tcW w:w="4983" w:type="dxa"/>
            <w:tcBorders/>
          </w:tcPr>
          <w:p>
            <w:pPr>
              <w:pStyle w:val="Normal"/>
              <w:bidi w:val="0"/>
              <w:spacing w:before="120" w:after="0"/>
              <w:ind w:end="0"/>
              <w:rPr/>
            </w:pPr>
            <w:r>
              <w:rPr>
                <w:b/>
                <w:bCs/>
                <w:i/>
                <w:iCs/>
                <w:sz w:val="20"/>
              </w:rPr>
              <w:br/>
              <w:t>Nơi nhận:</w:t>
              <w:br/>
            </w:r>
            <w:r>
              <w:rPr>
                <w:sz w:val="16"/>
              </w:rPr>
              <w:t>- Như Điều 2;</w:t>
              <w:br/>
            </w:r>
            <w:r>
              <w:rPr>
                <w:i/>
                <w:iCs/>
                <w:sz w:val="16"/>
              </w:rPr>
              <w:t xml:space="preserve">- </w:t>
            </w:r>
            <w:r>
              <w:rPr>
                <w:sz w:val="16"/>
              </w:rPr>
              <w:t>Văn phòng Chính phủ;</w:t>
              <w:br/>
              <w:t>- Thường trực Tỉnh ủy;</w:t>
              <w:br/>
              <w:t>- Cục Kiểm tra văn bản và Tổ chức THPL - Bộ Tư Pháp;</w:t>
              <w:br/>
              <w:t>- Thường trực HĐND tỉnh;</w:t>
              <w:br/>
              <w:t>- Ủy ban Mặt trận Tổ quốc Việt Nam tỉnh;</w:t>
              <w:br/>
              <w:t>- Chủ tịch, các PCT UBND tỉnh;</w:t>
              <w:br/>
              <w:t>- Các sở, ban, ngành, đoàn thể tỉnh;</w:t>
              <w:br/>
              <w:t>- HĐND, UBND các xã, phường;</w:t>
              <w:br/>
              <w:t>- VP UBND tỉnh: V, C, CB, HCQT;</w:t>
              <w:br/>
              <w:t>- Lưu: VT, Th8.</w:t>
            </w:r>
          </w:p>
        </w:tc>
        <w:tc>
          <w:tcPr>
            <w:tcW w:w="4989" w:type="dxa"/>
            <w:tcBorders/>
          </w:tcPr>
          <w:p>
            <w:pPr>
              <w:pStyle w:val="Normal"/>
              <w:bidi w:val="0"/>
              <w:spacing w:before="120" w:after="0"/>
              <w:ind w:end="0"/>
              <w:jc w:val="center"/>
              <w:rPr>
                <w:b/>
                <w:bCs/>
                <w:sz w:val="20"/>
              </w:rPr>
            </w:pPr>
            <w:r>
              <w:rPr>
                <w:b/>
                <w:bCs/>
                <w:sz w:val="20"/>
              </w:rPr>
              <w:t xml:space="preserve">TM. ỦY BAN NHÂN DÂN </w:t>
              <w:br/>
              <w:t>CHỦ TỊCH</w:t>
              <w:br/>
              <w:br/>
              <w:br/>
              <w:br/>
              <w:br/>
              <w:t>Hà Quang Trung</w:t>
            </w:r>
          </w:p>
        </w:tc>
      </w:tr>
    </w:tbl>
    <w:p>
      <w:pPr>
        <w:pStyle w:val="Normal"/>
        <w:bidi w:val="0"/>
        <w:spacing w:before="120" w:after="0"/>
        <w:ind w:end="0"/>
        <w:rPr>
          <w:sz w:val="20"/>
        </w:rPr>
      </w:pPr>
      <w:r>
        <w:rPr>
          <w:sz w:val="20"/>
        </w:rPr>
        <w:t> </w:t>
      </w:r>
    </w:p>
    <w:p>
      <w:pPr>
        <w:pStyle w:val="Normal"/>
        <w:bidi w:val="0"/>
        <w:spacing w:before="120" w:after="0"/>
        <w:ind w:end="0"/>
        <w:rPr>
          <w:sz w:val="20"/>
        </w:rPr>
      </w:pPr>
      <w:r>
        <w:rPr>
          <w:sz w:val="20"/>
        </w:rPr>
        <w:t> </w:t>
      </w:r>
    </w:p>
    <w:p>
      <w:pPr>
        <w:pStyle w:val="Normal"/>
        <w:bidi w:val="0"/>
        <w:spacing w:before="120" w:after="0"/>
        <w:ind w:end="0"/>
        <w:jc w:val="center"/>
        <w:rPr>
          <w:sz w:val="20"/>
        </w:rPr>
      </w:pPr>
      <w:r>
        <w:rPr>
          <w:sz w:val="20"/>
        </w:rPr>
        <w:t> </w:t>
      </w:r>
    </w:p>
    <w:p>
      <w:pPr>
        <w:pStyle w:val="Normal"/>
        <w:bidi w:val="0"/>
        <w:spacing w:before="120" w:after="0"/>
        <w:ind w:end="0"/>
        <w:rPr>
          <w:b/>
          <w:bCs/>
          <w:sz w:val="20"/>
        </w:rPr>
      </w:pPr>
      <w:r>
        <w:rPr>
          <w:b/>
          <w:bCs/>
          <w:sz w:val="20"/>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