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sz w:val="20"/>
              </w:rPr>
              <w:t>ỦY BAN NHÂN DÂN</w:t>
            </w:r>
            <w:r>
              <w:rPr>
                <w:sz w:val="20"/>
              </w:rPr>
              <w:br/>
            </w:r>
            <w:r>
              <w:rPr>
                <w:b/>
                <w:bCs/>
                <w:sz w:val="20"/>
              </w:rPr>
              <w:t>TỈNH NINH BÌNH</w:t>
            </w:r>
            <w:r>
              <w:rPr>
                <w:sz w:val="20"/>
              </w:rPr>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sz w:val="20"/>
              </w:rPr>
              <w:t>Số: 34/2026/QĐ-UBND</w:t>
            </w:r>
          </w:p>
        </w:tc>
        <w:tc>
          <w:tcPr>
            <w:tcW w:w="6607" w:type="dxa"/>
            <w:tcBorders/>
          </w:tcPr>
          <w:p>
            <w:pPr>
              <w:pStyle w:val="Normal"/>
              <w:bidi w:val="0"/>
              <w:spacing w:before="0" w:after="0"/>
              <w:jc w:val="end"/>
              <w:rPr/>
            </w:pPr>
            <w:r>
              <w:rPr>
                <w:i/>
                <w:iCs/>
                <w:sz w:val="20"/>
              </w:rPr>
              <w:t>Ninh Bình, ngày 12 tháng 3 năm 2026</w:t>
            </w:r>
          </w:p>
        </w:tc>
      </w:tr>
    </w:tbl>
    <w:p>
      <w:pPr>
        <w:pStyle w:val="Normal"/>
        <w:bidi w:val="0"/>
        <w:spacing w:before="0" w:after="120"/>
        <w:rPr/>
      </w:pPr>
      <w:r>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sz w:val="20"/>
        </w:rPr>
      </w:pPr>
      <w:r>
        <w:rPr>
          <w:sz w:val="20"/>
        </w:rPr>
        <w:t>BÃI BỎ QUYẾT ĐỊNH SỐ 08/2025/QĐ-UBND NGÀY 01 THÁNG 7 NĂM 2025 CỦA ỦY BAN NHÂN DÂN TỈNH NINH BÌNH BAN HÀNH QUY ĐỊNH CHỨC NĂNG, NHIỆM VỤ, QUYỀN HẠN VÀ CƠ CẤU TỔ CHỨC CỦA VĂN PHÒNG ỦY BAN NHÂN DÂN TỈNH NINH BÌNH</w:t>
      </w:r>
    </w:p>
    <w:p>
      <w:pPr>
        <w:pStyle w:val="Normal"/>
        <w:bidi w:val="0"/>
        <w:spacing w:before="0" w:after="120"/>
        <w:rPr>
          <w:i/>
          <w:iCs/>
          <w:sz w:val="20"/>
        </w:rPr>
      </w:pPr>
      <w:r>
        <w:rPr>
          <w:i/>
          <w:iCs/>
          <w:sz w:val="20"/>
        </w:rPr>
        <w:t>Căn cứ Luật Tổ chức chính quyền địa phương số 72/2025/QH15;</w:t>
      </w:r>
    </w:p>
    <w:p>
      <w:pPr>
        <w:pStyle w:val="Normal"/>
        <w:bidi w:val="0"/>
        <w:spacing w:before="0" w:after="120"/>
        <w:rPr>
          <w:i/>
          <w:iCs/>
          <w:sz w:val="20"/>
        </w:rPr>
      </w:pPr>
      <w:r>
        <w:rPr>
          <w:i/>
          <w:iCs/>
          <w:sz w:val="20"/>
        </w:rPr>
        <w:t>Căn cứ Luật Ban hành văn bản quy phạm pháp luật số 64/2025/QH15 được sửa đổi, bổ sung bởi Luật số 87/2025/QH15;</w:t>
      </w:r>
    </w:p>
    <w:p>
      <w:pPr>
        <w:pStyle w:val="Normal"/>
        <w:bidi w:val="0"/>
        <w:spacing w:before="0" w:after="120"/>
        <w:rPr>
          <w:i/>
          <w:iCs/>
          <w:sz w:val="20"/>
        </w:rPr>
      </w:pPr>
      <w:r>
        <w:rPr>
          <w:i/>
          <w:iCs/>
          <w:sz w:val="20"/>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pPr>
        <w:pStyle w:val="Normal"/>
        <w:bidi w:val="0"/>
        <w:spacing w:before="0" w:after="120"/>
        <w:rPr>
          <w:i/>
          <w:iCs/>
          <w:sz w:val="20"/>
        </w:rPr>
      </w:pPr>
      <w:r>
        <w:rPr>
          <w:i/>
          <w:iCs/>
          <w:sz w:val="20"/>
        </w:rPr>
        <w:t>Căn cứ Nghị định số 150/2025/NĐ-CP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p>
    <w:p>
      <w:pPr>
        <w:pStyle w:val="Normal"/>
        <w:bidi w:val="0"/>
        <w:spacing w:before="0" w:after="120"/>
        <w:rPr>
          <w:i/>
          <w:iCs/>
          <w:sz w:val="20"/>
        </w:rPr>
      </w:pPr>
      <w:r>
        <w:rPr>
          <w:i/>
          <w:iCs/>
          <w:sz w:val="20"/>
        </w:rPr>
        <w:t>Căn cứ Thông tư số 01/2022/TT-VPCP hướng dẫn chức năng, nhiệm vụ, quyền hạn của Văn phòng Ủy ban nhân dân tỉnh, thành phố trực thuộc Trung ương được sửa đổi, bổ sung bởi Thông tư số 01/2025/TT-VPCP;</w:t>
      </w:r>
    </w:p>
    <w:p>
      <w:pPr>
        <w:pStyle w:val="Normal"/>
        <w:bidi w:val="0"/>
        <w:spacing w:before="0" w:after="120"/>
        <w:rPr>
          <w:i/>
          <w:iCs/>
          <w:sz w:val="20"/>
        </w:rPr>
      </w:pPr>
      <w:r>
        <w:rPr>
          <w:i/>
          <w:iCs/>
          <w:sz w:val="20"/>
        </w:rPr>
        <w:t>Theo đề nghị của Chánh Văn phòng Ủy ban nhân dân tỉnh;</w:t>
      </w:r>
    </w:p>
    <w:p>
      <w:pPr>
        <w:pStyle w:val="Normal"/>
        <w:bidi w:val="0"/>
        <w:spacing w:before="0" w:after="120"/>
        <w:rPr>
          <w:i/>
          <w:iCs/>
          <w:sz w:val="20"/>
        </w:rPr>
      </w:pPr>
      <w:r>
        <w:rPr>
          <w:i/>
          <w:iCs/>
          <w:sz w:val="20"/>
        </w:rPr>
        <w:t>Ủy ban nhân dân ban hành Quyết định bãi bỏ Quyết định của Ủy ban nhân dân tỉnh Ninh Bình.</w:t>
      </w:r>
    </w:p>
    <w:p>
      <w:pPr>
        <w:pStyle w:val="Normal"/>
        <w:bidi w:val="0"/>
        <w:spacing w:before="0" w:after="120"/>
        <w:rPr>
          <w:b/>
          <w:bCs/>
          <w:sz w:val="20"/>
        </w:rPr>
      </w:pPr>
      <w:r>
        <w:rPr>
          <w:b/>
          <w:bCs/>
          <w:sz w:val="20"/>
        </w:rPr>
        <w:t>Điều 1. Bãi bỏ toàn bộ quyết định sau đây</w:t>
      </w:r>
    </w:p>
    <w:p>
      <w:pPr>
        <w:pStyle w:val="Normal"/>
        <w:bidi w:val="0"/>
        <w:spacing w:before="0" w:after="120"/>
        <w:rPr>
          <w:sz w:val="20"/>
        </w:rPr>
      </w:pPr>
      <w:r>
        <w:rPr>
          <w:sz w:val="20"/>
        </w:rPr>
        <w:t>Bãi bỏ toàn bộ Quyết định số 08/2025/QĐ-UBND ngày 01 tháng 7 năm 2025 của Ủy ban nhân dân tỉnh Ninh Bình ban hành Quy định chức năng, nhiệm vụ, quyền hạn và cơ cấu tổ chức của Văn phòng Ủy ban nhân dân tỉnh Ninh Bình.</w:t>
      </w:r>
    </w:p>
    <w:p>
      <w:pPr>
        <w:pStyle w:val="Normal"/>
        <w:bidi w:val="0"/>
        <w:spacing w:before="0" w:after="120"/>
        <w:rPr>
          <w:b/>
          <w:bCs/>
          <w:sz w:val="20"/>
        </w:rPr>
      </w:pPr>
      <w:r>
        <w:rPr>
          <w:b/>
          <w:bCs/>
          <w:sz w:val="20"/>
        </w:rPr>
        <w:t>Điều 2. Hiệu lực thi hành</w:t>
      </w:r>
    </w:p>
    <w:p>
      <w:pPr>
        <w:pStyle w:val="Normal"/>
        <w:bidi w:val="0"/>
        <w:spacing w:before="0" w:after="120"/>
        <w:rPr>
          <w:sz w:val="20"/>
        </w:rPr>
      </w:pPr>
      <w:r>
        <w:rPr>
          <w:sz w:val="20"/>
        </w:rPr>
        <w:t>Quyết định này có hiệu lực thi hành kể từ ngày 12 tháng 3 năm 2026.</w:t>
      </w:r>
    </w:p>
    <w:p>
      <w:pPr>
        <w:pStyle w:val="Normal"/>
        <w:bidi w:val="0"/>
        <w:spacing w:before="0" w:after="120"/>
        <w:rPr>
          <w:b/>
          <w:bCs/>
          <w:sz w:val="20"/>
        </w:rPr>
      </w:pPr>
      <w:r>
        <w:rPr>
          <w:b/>
          <w:bCs/>
          <w:sz w:val="20"/>
        </w:rPr>
        <w:t>Điều 3. Tổ chức thực hiện</w:t>
      </w:r>
    </w:p>
    <w:p>
      <w:pPr>
        <w:pStyle w:val="Normal"/>
        <w:bidi w:val="0"/>
        <w:spacing w:before="0" w:after="120"/>
        <w:rPr>
          <w:sz w:val="20"/>
        </w:rPr>
      </w:pPr>
      <w:r>
        <w:rPr>
          <w:sz w:val="20"/>
        </w:rPr>
        <w:t>Chánh Văn phòng Ủy ban nhân dân tỉnh, Giám đốc Sở Nội vụ, Thủ trưởng các cơ quan, đơn vị, tổ chức và cá nhân có liên quan chịu trách nhiệm thi hành Quyết định này./.</w:t>
      </w:r>
    </w:p>
    <w:p>
      <w:pPr>
        <w:pStyle w:val="Normal"/>
        <w:bidi w:val="0"/>
        <w:spacing w:before="0" w:after="120"/>
        <w:rPr>
          <w:sz w:val="20"/>
        </w:rPr>
      </w:pPr>
      <w:r>
        <w:rPr>
          <w:sz w:val="20"/>
        </w:rPr>
        <w:t> </w:t>
      </w:r>
    </w:p>
    <w:tbl>
      <w:tblPr>
        <w:tblW w:w="8640" w:type="dxa"/>
        <w:jc w:val="start"/>
        <w:tblInd w:w="0" w:type="dxa"/>
        <w:tblLayout w:type="fixed"/>
        <w:tblCellMar>
          <w:top w:w="0" w:type="dxa"/>
          <w:start w:w="108" w:type="dxa"/>
          <w:bottom w:w="0" w:type="dxa"/>
          <w:end w:w="108" w:type="dxa"/>
        </w:tblCellMar>
      </w:tblPr>
      <w:tblGrid>
        <w:gridCol w:w="4026"/>
        <w:gridCol w:w="4614"/>
      </w:tblGrid>
      <w:tr>
        <w:trPr/>
        <w:tc>
          <w:tcPr>
            <w:tcW w:w="4026" w:type="dxa"/>
            <w:tcBorders/>
          </w:tcPr>
          <w:p>
            <w:pPr>
              <w:pStyle w:val="Normal"/>
              <w:bidi w:val="0"/>
              <w:spacing w:before="0" w:after="120"/>
              <w:rPr>
                <w:sz w:val="16"/>
              </w:rPr>
            </w:pPr>
            <w:r>
              <w:rPr>
                <w:sz w:val="16"/>
              </w:rPr>
              <w:t> </w:t>
            </w:r>
          </w:p>
          <w:p>
            <w:pPr>
              <w:pStyle w:val="Normal"/>
              <w:bidi w:val="0"/>
              <w:spacing w:before="0" w:after="0"/>
              <w:rPr/>
            </w:pPr>
            <w:r>
              <w:rPr>
                <w:b/>
                <w:bCs/>
                <w:i/>
                <w:iCs/>
                <w:sz w:val="20"/>
              </w:rPr>
              <w:t>Nơi nhận:</w:t>
              <w:br/>
            </w:r>
            <w:r>
              <w:rPr>
                <w:sz w:val="16"/>
              </w:rPr>
              <w:t>- Văn phòng Chính phủ;</w:t>
              <w:br/>
              <w:t>- Cục Kiểm tra văn bản và Tổ chức thi hành pháp luật, Bộ Tư pháp;</w:t>
              <w:br/>
              <w:t>- Thường trực HĐND tỉnh;</w:t>
              <w:br/>
              <w:t>- Lãnh đạo UBND tỉnh;</w:t>
              <w:br/>
              <w:t>- Đoàn đại biểu Quốc hội tỉnh;</w:t>
              <w:br/>
              <w:t>- Như Điều 3;</w:t>
              <w:br/>
              <w:t>- Ủy ban MTTQ Việt Nam tỉnh;</w:t>
              <w:br/>
              <w:t>- Sở Tư pháp;</w:t>
              <w:br/>
              <w:t>- Cổng Thông tin điện tử Chính phủ;</w:t>
              <w:br/>
              <w:t>- Cổng Thông tin điện tử tỉnh;</w:t>
              <w:br/>
              <w:t>- Trung tâm Thông tin - Công báo;</w:t>
              <w:br/>
              <w:t>- Lưu: VT, VP1,7.</w:t>
              <w:br/>
              <w:t>TC_VP7_TCBM_93</w:t>
            </w:r>
          </w:p>
        </w:tc>
        <w:tc>
          <w:tcPr>
            <w:tcW w:w="4614" w:type="dxa"/>
            <w:tcBorders/>
          </w:tcPr>
          <w:p>
            <w:pPr>
              <w:pStyle w:val="Normal"/>
              <w:bidi w:val="0"/>
              <w:spacing w:before="0" w:after="0"/>
              <w:jc w:val="center"/>
              <w:rPr/>
            </w:pPr>
            <w:r>
              <w:rPr>
                <w:b/>
                <w:bCs/>
                <w:sz w:val="20"/>
              </w:rPr>
              <w:t>TM. ỦY BAN NHÂN DÂN</w:t>
            </w:r>
            <w:r>
              <w:rPr>
                <w:sz w:val="20"/>
              </w:rPr>
              <w:br/>
            </w:r>
            <w:r>
              <w:rPr>
                <w:b/>
                <w:bCs/>
                <w:sz w:val="20"/>
              </w:rPr>
              <w:t>CHỦ TỊCH</w:t>
            </w:r>
            <w:r>
              <w:rPr>
                <w:sz w:val="20"/>
              </w:rPr>
              <w:br/>
              <w:br/>
              <w:br/>
              <w:br/>
              <w:br/>
            </w:r>
            <w:r>
              <w:rPr>
                <w:b/>
                <w:bCs/>
                <w:sz w:val="20"/>
              </w:rPr>
              <w:t>Nguyễn Thanh Bình</w:t>
            </w:r>
          </w:p>
        </w:tc>
      </w:tr>
    </w:tbl>
    <w:p>
      <w:pPr>
        <w:pStyle w:val="Normal"/>
        <w:bidi w:val="0"/>
        <w:spacing w:before="0" w:after="120"/>
        <w:rPr>
          <w:sz w:val="20"/>
        </w:rPr>
      </w:pPr>
      <w:r>
        <w:rPr>
          <w:sz w:val="20"/>
        </w:rPr>
        <w:t> </w:t>
      </w:r>
    </w:p>
    <w:p>
      <w:pPr>
        <w:pStyle w:val="Normal"/>
        <w:bidi w:val="0"/>
        <w:spacing w:before="0" w:after="120"/>
        <w:rPr>
          <w:b/>
          <w:bCs/>
          <w:sz w:val="20"/>
        </w:rPr>
      </w:pPr>
      <w:r>
        <w:rPr>
          <w:b/>
          <w:bCs/>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