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Y TẾ</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580/QĐ-BYT</w:t>
            </w:r>
          </w:p>
        </w:tc>
        <w:tc>
          <w:tcPr>
            <w:tcW w:w="6607" w:type="dxa"/>
            <w:tcBorders/>
          </w:tcPr>
          <w:p>
            <w:pPr>
              <w:pStyle w:val="Normal"/>
              <w:bidi w:val="0"/>
              <w:spacing w:before="120" w:after="0"/>
              <w:jc w:val="end"/>
              <w:rPr/>
            </w:pPr>
            <w:r>
              <w:rPr>
                <w:i/>
                <w:iCs/>
              </w:rPr>
              <w:t>Hà Nội, ngày 09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PHƯƠNG ÁN TÁI CẤU TRÚC QUY TRÌNH GIẢI QUYẾT THỦ TỤC HÀNH CHÍNH MỚI BAN HÀNH TRONG LĨNH VỰC BẢO HIỂM Y TẾ CÓ THÀNH PHẦN HỒ SƠ ĐƯỢC THAY THẾ BẰNG VIỆC SỬ DỤNG THÔNG TIN TRONG CƠ SỞ DỮ LIỆU QUY ĐỊNH TẠI ĐIỀU 4 NGHỊ QUYẾT SỐ 66.7/2025/NQ-CP NGÀY 15/11/2025 CỦA CHÍNH PHỦ</w:t>
      </w:r>
      <w:bookmarkEnd w:id="1"/>
    </w:p>
    <w:p>
      <w:pPr>
        <w:pStyle w:val="Normal"/>
        <w:bidi w:val="0"/>
        <w:spacing w:before="120" w:after="280"/>
        <w:jc w:val="center"/>
        <w:rPr>
          <w:b/>
          <w:bCs/>
          <w:sz w:val="24"/>
        </w:rPr>
      </w:pPr>
      <w:r>
        <w:rPr>
          <w:b/>
          <w:bCs/>
          <w:sz w:val="24"/>
        </w:rPr>
        <w:t>BỘ TRƯỞNG BỘ Y TẾ</w:t>
      </w:r>
    </w:p>
    <w:p>
      <w:pPr>
        <w:pStyle w:val="Normal"/>
        <w:bidi w:val="0"/>
        <w:spacing w:before="120" w:after="280"/>
        <w:rPr>
          <w:i/>
          <w:iCs/>
        </w:rPr>
      </w:pPr>
      <w:r>
        <w:rPr>
          <w:i/>
          <w:iCs/>
        </w:rPr>
        <w:t>Căn cứ Nghị định số 42/2025/NĐ-CP ngày 27/02/2025 của Chính phủ quy định chức năng, nhiệm vụ, quyền hạn và cơ cấu tổ chức của Bộ Y tế;</w:t>
      </w:r>
    </w:p>
    <w:p>
      <w:pPr>
        <w:pStyle w:val="Normal"/>
        <w:bidi w:val="0"/>
        <w:spacing w:before="120" w:after="280"/>
        <w:rPr>
          <w:i/>
          <w:iCs/>
        </w:rPr>
      </w:pPr>
      <w:r>
        <w:rPr>
          <w:i/>
          <w:iCs/>
        </w:rPr>
        <w:t>Căn cứ Nghị định số 188/2025/NĐ-CP ngày 01/7/2025 của Chính phủ quy định chi tiết và hướng dẫn thi hành một số điều của Luật Bảo hiểm y tế;</w:t>
      </w:r>
    </w:p>
    <w:p>
      <w:pPr>
        <w:pStyle w:val="Normal"/>
        <w:bidi w:val="0"/>
        <w:spacing w:before="120" w:after="280"/>
        <w:rPr>
          <w:i/>
          <w:iCs/>
        </w:rPr>
      </w:pPr>
      <w:r>
        <w:rPr>
          <w:i/>
          <w:iCs/>
        </w:rPr>
        <w:t>Căn cứ Nghị định số 45/2020/NĐ-CP ngày 09/4/2020 của Chính phủ về thực hiện thủ tục hành chính trên môi trường điện tử;</w:t>
      </w:r>
    </w:p>
    <w:p>
      <w:pPr>
        <w:pStyle w:val="Normal"/>
        <w:bidi w:val="0"/>
        <w:spacing w:before="120" w:after="280"/>
        <w:rPr>
          <w:i/>
          <w:iCs/>
        </w:rPr>
      </w:pPr>
      <w:r>
        <w:rPr>
          <w:i/>
          <w:iCs/>
        </w:rPr>
        <w:t>Căn cứ Nghị định số 42/2022/NĐ-CP ngày 24/6/2022 của Chính phủ quy định về việc cung cấp thông tin và dịch vụ công trực tuyến của cơ quan nhà nước trên môi trường mạng;</w:t>
      </w:r>
    </w:p>
    <w:p>
      <w:pPr>
        <w:pStyle w:val="Normal"/>
        <w:bidi w:val="0"/>
        <w:spacing w:before="120" w:after="280"/>
        <w:rPr>
          <w:i/>
          <w:iCs/>
        </w:rPr>
      </w:pPr>
      <w:r>
        <w:rPr>
          <w:i/>
          <w:iCs/>
        </w:rPr>
        <w:t>Căn cứ Nghị định số 118/2025/NĐ-CP ngày 09/6/2025 của Chính phủ về thực hiện thủ tục hành chính theo cơ chế một cửa, một cửa liên thông tại Bộ phận một cửa và Cổng Dịch vụ công quốc gia;</w:t>
      </w:r>
    </w:p>
    <w:p>
      <w:pPr>
        <w:pStyle w:val="Normal"/>
        <w:bidi w:val="0"/>
        <w:spacing w:before="120" w:after="280"/>
        <w:rPr>
          <w:i/>
          <w:iCs/>
        </w:rPr>
      </w:pPr>
      <w:r>
        <w:rPr>
          <w:i/>
          <w:iCs/>
        </w:rPr>
        <w:t>Căn cứ Nghị quyết số 66.7/2025/NQ-CP ngày 15/11/2025 của Chính phủ quy định cắt giảm, đơn giản hóa thủ tục hành chính dựa trên dữ liệu;</w:t>
      </w:r>
    </w:p>
    <w:p>
      <w:pPr>
        <w:pStyle w:val="Normal"/>
        <w:bidi w:val="0"/>
        <w:spacing w:before="120" w:after="280"/>
        <w:rPr>
          <w:i/>
          <w:iCs/>
        </w:rPr>
      </w:pPr>
      <w:r>
        <w:rPr>
          <w:i/>
          <w:iCs/>
        </w:rPr>
        <w:t>Căn cứ Quyết định số 31/2021/QĐ-TTg ngày 11/10/2021 của Thủ tướng Chính phủ ban hành Quy chế quản lý, vận hành, khai thác Cổng Dịch vụ công quốc gia;</w:t>
      </w:r>
    </w:p>
    <w:p>
      <w:pPr>
        <w:pStyle w:val="Normal"/>
        <w:bidi w:val="0"/>
        <w:spacing w:before="120" w:after="280"/>
        <w:rPr>
          <w:i/>
          <w:iCs/>
        </w:rPr>
      </w:pPr>
      <w:r>
        <w:rPr>
          <w:i/>
          <w:iCs/>
        </w:rPr>
        <w:t>Căn cứ Thông tư số 01/2023/TT-VPCP ngày 05/4/2023 của Văn phòng Chính phủ quy định một số nội dung và biện pháp thi hành trong số hóa hồ sơ, kết quả giải quyết thủ tục hành chính và thực hiện thủ tục hành chính trên môi trường điện tử;</w:t>
      </w:r>
    </w:p>
    <w:p>
      <w:pPr>
        <w:pStyle w:val="Normal"/>
        <w:bidi w:val="0"/>
        <w:spacing w:before="120" w:after="280"/>
        <w:rPr>
          <w:i/>
          <w:iCs/>
        </w:rPr>
      </w:pPr>
      <w:r>
        <w:rPr>
          <w:i/>
          <w:iCs/>
        </w:rPr>
        <w:t>Căn cứ Quyết định số 2306/QĐ-BYT ngày 11/7/2025 của Bộ trưởng Bộ Y tế về việc công bố thủ tục hành chính mới ban hành trong lĩnh vực bảo hiểm y tế và bị bãi bỏ trong lĩnh vực tài chính y tế tại Nghị định số 188/2025/NĐ-CP ngày 01/7/2025 của Chính phủ thuộc phạm vi chức năng quản lý của Bộ Y tế;</w:t>
      </w:r>
    </w:p>
    <w:p>
      <w:pPr>
        <w:pStyle w:val="Normal"/>
        <w:bidi w:val="0"/>
        <w:spacing w:before="120" w:after="280"/>
        <w:rPr>
          <w:i/>
          <w:iCs/>
        </w:rPr>
      </w:pPr>
      <w:r>
        <w:rPr>
          <w:i/>
          <w:iCs/>
        </w:rPr>
        <w:t>Căn cứ Kế hoạch số 1733/KH-BYT ngày 28/11/2025 của Bộ Y tế thực hiện Nghị quyết số 66.7/2025/NQ-CP ngày 15/11/2025 của Chính phủ quy định cắt giảm, đơn giản hóa thủ tục hành chính dựa trên dữ liệu;</w:t>
      </w:r>
    </w:p>
    <w:p>
      <w:pPr>
        <w:pStyle w:val="Normal"/>
        <w:bidi w:val="0"/>
        <w:spacing w:before="120" w:after="280"/>
        <w:rPr>
          <w:i/>
          <w:iCs/>
        </w:rPr>
      </w:pPr>
      <w:r>
        <w:rPr>
          <w:i/>
          <w:iCs/>
        </w:rPr>
        <w:t>Theo đề nghị của Vụ Bảo hiểm y tế.</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Phê duyệt kèm theo Quyết định này phương án tái cấu trúc quy trình giải quyết 01 thủ tục hành chính (TTHC) lĩnh vực Bảo hiểm y tế có thành phần hồ sơ được thay thế bằng việc sử dụng thông tin trong cơ sở dữ liệu theo</w:t>
      </w:r>
      <w:bookmarkEnd w:id="2"/>
      <w:r>
        <w:rPr/>
        <w:t xml:space="preserve"> </w:t>
      </w:r>
      <w:bookmarkStart w:id="3" w:name="dc_2"/>
      <w:r>
        <w:rPr/>
        <w:t>Điều 4 Nghị quyết số 66.7/2025/NQ-CP</w:t>
      </w:r>
      <w:bookmarkEnd w:id="3"/>
      <w:r>
        <w:rPr/>
        <w:t xml:space="preserve"> </w:t>
      </w:r>
      <w:bookmarkStart w:id="4" w:name="dieu_1_name"/>
      <w:r>
        <w:rPr/>
        <w:t>của Chính phủ, cụ thể như sau:</w:t>
      </w:r>
      <w:bookmarkEnd w:id="4"/>
    </w:p>
    <w:p>
      <w:pPr>
        <w:pStyle w:val="Normal"/>
        <w:bidi w:val="0"/>
        <w:spacing w:before="120" w:after="280"/>
        <w:rPr/>
      </w:pPr>
      <w:r>
        <w:rPr/>
        <w:t xml:space="preserve">1. Danh mục 01 TTHC lĩnh vực bảo hiểm y tế được tái cấu trúc quy trình giải quyết dựa trên dữ liệu </w:t>
      </w:r>
      <w:r>
        <w:rPr>
          <w:i/>
          <w:iCs/>
        </w:rPr>
        <w:t>(chi tiết tại Phụ lục I kèm theo)</w:t>
      </w:r>
      <w:r>
        <w:rPr/>
        <w:t>.</w:t>
      </w:r>
    </w:p>
    <w:p>
      <w:pPr>
        <w:pStyle w:val="Normal"/>
        <w:bidi w:val="0"/>
        <w:spacing w:before="120" w:after="280"/>
        <w:rPr/>
      </w:pPr>
      <w:r>
        <w:rPr/>
        <w:t xml:space="preserve">2. Phương án tái cấu trúc quy trình giải quyết TTHC </w:t>
      </w:r>
      <w:r>
        <w:rPr>
          <w:i/>
          <w:iCs/>
        </w:rPr>
        <w:t>(chi tiết tại Phụ lục II kèm theo)</w:t>
      </w:r>
      <w:r>
        <w:rPr/>
        <w:t>.</w:t>
      </w:r>
    </w:p>
    <w:p>
      <w:pPr>
        <w:pStyle w:val="Normal"/>
        <w:bidi w:val="0"/>
        <w:spacing w:before="120" w:after="280"/>
        <w:rPr/>
      </w:pPr>
      <w:bookmarkStart w:id="5" w:name="dieu_2"/>
      <w:r>
        <w:rPr>
          <w:b/>
          <w:bCs/>
        </w:rPr>
        <w:t xml:space="preserve">Điều 2. </w:t>
      </w:r>
      <w:r>
        <w:rPr/>
        <w:t>Tổ chức thực hiện:</w:t>
      </w:r>
      <w:bookmarkEnd w:id="5"/>
    </w:p>
    <w:p>
      <w:pPr>
        <w:pStyle w:val="Normal"/>
        <w:bidi w:val="0"/>
        <w:spacing w:before="120" w:after="280"/>
        <w:rPr/>
      </w:pPr>
      <w:r>
        <w:rPr/>
        <w:t>1. Bảo hiểm xã hội Việt Nam thuộc Bộ Tài chính:</w:t>
      </w:r>
    </w:p>
    <w:p>
      <w:pPr>
        <w:pStyle w:val="Normal"/>
        <w:bidi w:val="0"/>
        <w:spacing w:before="120" w:after="280"/>
        <w:rPr/>
      </w:pPr>
      <w:r>
        <w:rPr/>
        <w:t>- Rà soát, cập nhật quy trình nội bộ giải quyết TTHC bảo đảm phù hợp với phương án tái cấu trúc được phê duyệt.</w:t>
      </w:r>
    </w:p>
    <w:p>
      <w:pPr>
        <w:pStyle w:val="Normal"/>
        <w:bidi w:val="0"/>
        <w:spacing w:before="120" w:after="280"/>
        <w:rPr/>
      </w:pPr>
      <w:r>
        <w:rPr/>
        <w:t>- Thực hiện việc tích hợp, kết nối, chia sẻ dữ liệu với Hệ thống thông tin giải quyết TTHC trong lĩnh vực Bảo hiểm y tế theo phương án tái cấu trúc tại Quyết định này và báo cáo kết quả thực hiện về Bộ Tài chính, Bộ Y tế.</w:t>
      </w:r>
    </w:p>
    <w:p>
      <w:pPr>
        <w:pStyle w:val="Normal"/>
        <w:bidi w:val="0"/>
        <w:spacing w:before="120" w:after="280"/>
        <w:rPr/>
      </w:pPr>
      <w:r>
        <w:rPr/>
        <w:t>2. Văn phòng Bộ:</w:t>
      </w:r>
    </w:p>
    <w:p>
      <w:pPr>
        <w:pStyle w:val="Normal"/>
        <w:bidi w:val="0"/>
        <w:spacing w:before="120" w:after="280"/>
        <w:rPr/>
      </w:pPr>
      <w:r>
        <w:rPr/>
        <w:t>Chủ trì, phối hợp với Vụ Bảo hiểm y tế và các cơ quan, đơn vị có liên quan thực hiện công bố quy trình giải quyết của 01 TTHC tại Quyết định này sau khi hoàn thành tái cấu trúc trên Cổng Dịch vụ công quốc gia.</w:t>
      </w:r>
    </w:p>
    <w:p>
      <w:pPr>
        <w:pStyle w:val="Normal"/>
        <w:bidi w:val="0"/>
        <w:spacing w:before="120" w:after="280"/>
        <w:rPr/>
      </w:pPr>
      <w:bookmarkStart w:id="6" w:name="dieu_3"/>
      <w:r>
        <w:rPr>
          <w:b/>
          <w:bCs/>
        </w:rPr>
        <w:t xml:space="preserve">Điều 3. </w:t>
      </w:r>
      <w:r>
        <w:rPr/>
        <w:t>Quyết định này có hiệu lực kể từ ngày ký, ban hành.</w:t>
      </w:r>
      <w:bookmarkEnd w:id="6"/>
    </w:p>
    <w:p>
      <w:pPr>
        <w:pStyle w:val="Normal"/>
        <w:bidi w:val="0"/>
        <w:spacing w:before="120" w:after="280"/>
        <w:rPr/>
      </w:pPr>
      <w:bookmarkStart w:id="7" w:name="dieu_4"/>
      <w:r>
        <w:rPr>
          <w:b/>
          <w:bCs/>
        </w:rPr>
        <w:t xml:space="preserve">Điều 4. </w:t>
      </w:r>
      <w:r>
        <w:rPr/>
        <w:t>Các Ông (Bà): Chánh Văn phòng Bộ; Vụ trưởng Vụ Bảo hiểm y tế; Giám đốc Trung tâm Thông tin y tế Quốc gia; Thủ trưởng các đơn vị liên quan chịu trách nhiệm thi hành Quyết định này./.</w:t>
      </w:r>
      <w:bookmarkEnd w:id="7"/>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b/>
                <w:bCs/>
                <w:i/>
                <w:iCs/>
              </w:rPr>
              <w:br/>
              <w:t>Nơi nhận:</w:t>
              <w:br/>
            </w:r>
            <w:r>
              <w:rPr/>
              <w:t>- Như Điều 4;</w:t>
              <w:br/>
              <w:t>- Đ/c Bộ trưởng (để báo cáo);</w:t>
              <w:br/>
              <w:t>- Các Đ/c Thứ trưởng;</w:t>
              <w:br/>
              <w:t>- Văn phòng Chính phủ (Cục KSTTHC);</w:t>
              <w:br/>
              <w:t>- Bộ Tài chính;</w:t>
              <w:br/>
              <w:t>- Bảo hiểm xã hội Việt Nam thuộc Bộ Tài chính;</w:t>
              <w:br/>
              <w:t>- UBND các tỉnh, TP trực thuộc TW;</w:t>
              <w:br/>
              <w:t>- Cổng Thông tin điện tử, Bộ Y tế;</w:t>
              <w:br/>
              <w:t>- Các Bệnh viện, Viện có giường bệnh trực thuộc Bộ Y tế;</w:t>
              <w:br/>
              <w:t>- Các Bệnh viện trực thuộc các Trường Đại học;</w:t>
              <w:br/>
              <w:t>- Y tế các Bộ, Ngành;</w:t>
              <w:br/>
              <w:t>- Hiệp hội Bệnh viện tư nhân;</w:t>
              <w:br/>
              <w:t>- Lưu: VT, BH.</w:t>
            </w:r>
          </w:p>
        </w:tc>
        <w:tc>
          <w:tcPr>
            <w:tcW w:w="4986" w:type="dxa"/>
            <w:tcBorders/>
          </w:tcPr>
          <w:p>
            <w:pPr>
              <w:pStyle w:val="Normal"/>
              <w:bidi w:val="0"/>
              <w:spacing w:before="120" w:after="0"/>
              <w:jc w:val="center"/>
              <w:rPr>
                <w:b/>
                <w:bCs/>
              </w:rPr>
            </w:pPr>
            <w:r>
              <w:rPr>
                <w:b/>
                <w:bCs/>
              </w:rPr>
              <w:t>KT. BỘ TRƯỞNG</w:t>
              <w:br/>
              <w:t>THỨ TRƯỞNG THƯỜNG TRỰC</w:t>
              <w:br/>
              <w:br/>
              <w:br/>
              <w:br/>
              <w:br/>
              <w:t>Vũ Mạnh Hà</w:t>
            </w:r>
          </w:p>
        </w:tc>
      </w:tr>
    </w:tbl>
    <w:p>
      <w:pPr>
        <w:pStyle w:val="Normal"/>
        <w:bidi w:val="0"/>
        <w:spacing w:before="120" w:after="280"/>
        <w:rPr/>
      </w:pPr>
      <w:r>
        <w:rPr/>
        <w:t> </w:t>
      </w:r>
    </w:p>
    <w:p>
      <w:pPr>
        <w:pStyle w:val="Normal"/>
        <w:bidi w:val="0"/>
        <w:spacing w:before="120" w:after="280"/>
        <w:jc w:val="center"/>
        <w:rPr>
          <w:b/>
          <w:bCs/>
          <w:sz w:val="24"/>
        </w:rPr>
      </w:pPr>
      <w:bookmarkStart w:id="8" w:name="chuong_pl_1"/>
      <w:r>
        <w:rPr>
          <w:b/>
          <w:bCs/>
          <w:sz w:val="24"/>
        </w:rPr>
        <w:t>PHỤ LỤC I</w:t>
      </w:r>
      <w:bookmarkEnd w:id="8"/>
    </w:p>
    <w:p>
      <w:pPr>
        <w:pStyle w:val="Normal"/>
        <w:bidi w:val="0"/>
        <w:spacing w:before="120" w:after="280"/>
        <w:jc w:val="center"/>
        <w:rPr/>
      </w:pPr>
      <w:bookmarkStart w:id="9" w:name="chuong_pl_1_name"/>
      <w:r>
        <w:rPr/>
        <w:t>DANH MỤC THỦ TỤC HÀNH CHÍNH TÁI CẤU TRÚC QUY TRÌNH GIẢI QUYẾT DỰA TRÊN DỮ LIỆU</w:t>
      </w:r>
      <w:bookmarkEnd w:id="9"/>
      <w:r>
        <w:rPr/>
        <w:br/>
      </w:r>
      <w:r>
        <w:rPr>
          <w:i/>
          <w:iCs/>
        </w:rPr>
        <w:t>(Ban hành kèm theo Quyết định số 580/QĐ-BYT ngày 09 tháng 3 năm 2026 của Bộ trưởng Bộ Y tế)</w:t>
      </w:r>
    </w:p>
    <w:tbl>
      <w:tblPr>
        <w:tblW w:w="5000" w:type="pct"/>
        <w:jc w:val="start"/>
        <w:tblInd w:w="-10" w:type="dxa"/>
        <w:tblLayout w:type="fixed"/>
        <w:tblCellMar>
          <w:top w:w="0" w:type="dxa"/>
          <w:start w:w="0" w:type="dxa"/>
          <w:bottom w:w="0" w:type="dxa"/>
          <w:end w:w="0" w:type="dxa"/>
        </w:tblCellMar>
      </w:tblPr>
      <w:tblGrid>
        <w:gridCol w:w="687"/>
        <w:gridCol w:w="1387"/>
        <w:gridCol w:w="4156"/>
        <w:gridCol w:w="1941"/>
        <w:gridCol w:w="1801"/>
      </w:tblGrid>
      <w:tr>
        <w:trPr/>
        <w:tc>
          <w:tcPr>
            <w:tcW w:w="68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38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TTHC</w:t>
            </w:r>
          </w:p>
        </w:tc>
        <w:tc>
          <w:tcPr>
            <w:tcW w:w="415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thủ tục hành chính</w:t>
            </w:r>
          </w:p>
        </w:tc>
        <w:tc>
          <w:tcPr>
            <w:tcW w:w="194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180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r>
      <w:tr>
        <w:trPr/>
        <w:tc>
          <w:tcPr>
            <w:tcW w:w="68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387" w:type="dxa"/>
            <w:tcBorders>
              <w:bottom w:val="single" w:sz="8" w:space="0" w:color="000000"/>
              <w:end w:val="single" w:sz="8" w:space="0" w:color="000000"/>
            </w:tcBorders>
            <w:vAlign w:val="center"/>
          </w:tcPr>
          <w:p>
            <w:pPr>
              <w:pStyle w:val="Normal"/>
              <w:bidi w:val="0"/>
              <w:spacing w:before="120" w:after="0"/>
              <w:jc w:val="center"/>
              <w:rPr/>
            </w:pPr>
            <w:r>
              <w:rPr/>
              <w:t>1.014140</w:t>
            </w:r>
          </w:p>
        </w:tc>
        <w:tc>
          <w:tcPr>
            <w:tcW w:w="4156" w:type="dxa"/>
            <w:tcBorders>
              <w:bottom w:val="single" w:sz="8" w:space="0" w:color="000000"/>
              <w:end w:val="single" w:sz="8" w:space="0" w:color="000000"/>
            </w:tcBorders>
            <w:vAlign w:val="center"/>
          </w:tcPr>
          <w:p>
            <w:pPr>
              <w:pStyle w:val="Normal"/>
              <w:bidi w:val="0"/>
              <w:spacing w:before="120" w:after="0"/>
              <w:jc w:val="center"/>
              <w:rPr/>
            </w:pPr>
            <w:r>
              <w:rPr/>
              <w:t>Thủ tục thanh toán trực tiếp chi phí khám bệnh, chữa bệnh giữa cơ quan bảo hiểm xã hội và người tham gia bảo hiểm y tế</w:t>
            </w:r>
          </w:p>
        </w:tc>
        <w:tc>
          <w:tcPr>
            <w:tcW w:w="1941" w:type="dxa"/>
            <w:tcBorders>
              <w:bottom w:val="single" w:sz="8" w:space="0" w:color="000000"/>
              <w:end w:val="single" w:sz="8" w:space="0" w:color="000000"/>
            </w:tcBorders>
            <w:vAlign w:val="center"/>
          </w:tcPr>
          <w:p>
            <w:pPr>
              <w:pStyle w:val="Normal"/>
              <w:bidi w:val="0"/>
              <w:spacing w:before="120" w:after="0"/>
              <w:jc w:val="center"/>
              <w:rPr/>
            </w:pPr>
            <w:r>
              <w:rPr/>
              <w:t>Bảo hiểm y tế</w:t>
            </w:r>
          </w:p>
        </w:tc>
        <w:tc>
          <w:tcPr>
            <w:tcW w:w="1801" w:type="dxa"/>
            <w:tcBorders>
              <w:bottom w:val="single" w:sz="8" w:space="0" w:color="000000"/>
              <w:end w:val="single" w:sz="8" w:space="0" w:color="000000"/>
            </w:tcBorders>
            <w:vAlign w:val="center"/>
          </w:tcPr>
          <w:p>
            <w:pPr>
              <w:pStyle w:val="Normal"/>
              <w:bidi w:val="0"/>
              <w:spacing w:before="120" w:after="0"/>
              <w:jc w:val="center"/>
              <w:rPr/>
            </w:pPr>
            <w:r>
              <w:rPr/>
              <w:t>Cơ quan Bảo hiểm xã hội theo phân cấp</w:t>
            </w:r>
          </w:p>
        </w:tc>
      </w:tr>
    </w:tbl>
    <w:p>
      <w:pPr>
        <w:pStyle w:val="Normal"/>
        <w:bidi w:val="0"/>
        <w:spacing w:before="120" w:after="280"/>
        <w:jc w:val="center"/>
        <w:rPr/>
      </w:pPr>
      <w:r>
        <w:rPr/>
        <w:t> </w:t>
      </w:r>
    </w:p>
    <w:p>
      <w:pPr>
        <w:pStyle w:val="Normal"/>
        <w:bidi w:val="0"/>
        <w:spacing w:before="120" w:after="280"/>
        <w:jc w:val="center"/>
        <w:rPr>
          <w:b/>
          <w:bCs/>
          <w:sz w:val="24"/>
        </w:rPr>
      </w:pPr>
      <w:bookmarkStart w:id="10" w:name="chuong_pl_2"/>
      <w:r>
        <w:rPr>
          <w:b/>
          <w:bCs/>
          <w:sz w:val="24"/>
        </w:rPr>
        <w:t>PHỤ LỤC II</w:t>
      </w:r>
      <w:bookmarkEnd w:id="10"/>
    </w:p>
    <w:p>
      <w:pPr>
        <w:pStyle w:val="Normal"/>
        <w:bidi w:val="0"/>
        <w:spacing w:before="120" w:after="280"/>
        <w:jc w:val="center"/>
        <w:rPr/>
      </w:pPr>
      <w:bookmarkStart w:id="11" w:name="chuong_pl_2_name"/>
      <w:r>
        <w:rPr/>
        <w:t>PHƯƠNG ÁN TÁI CẤU TRÚC QUY TRÌNH GIẢI QUYẾT TTHC LĨNH VỰC BẢO HIỂM Y TẾ DỰA TRÊN DỮ LIỆU</w:t>
      </w:r>
      <w:bookmarkEnd w:id="11"/>
      <w:r>
        <w:rPr>
          <w:i/>
          <w:iCs/>
        </w:rPr>
        <w:t xml:space="preserve"> </w:t>
        <w:br/>
        <w:t>(Ban hành kèm theo Quyết định số 580/QĐ-BYT ngày 09 tháng 3 năm 2026 của Bộ trưởng Bộ Y tế)</w:t>
      </w:r>
    </w:p>
    <w:p>
      <w:pPr>
        <w:pStyle w:val="Normal"/>
        <w:bidi w:val="0"/>
        <w:spacing w:before="120" w:after="280"/>
        <w:rPr>
          <w:b/>
          <w:bCs/>
        </w:rPr>
      </w:pPr>
      <w:bookmarkStart w:id="12" w:name="muc_1_pl"/>
      <w:r>
        <w:rPr>
          <w:b/>
          <w:bCs/>
        </w:rPr>
        <w:t>I. CƠ SỞ TÁI CẤU TRÚC QUY TRÌNH GIẢI QUYẾT THỦ TỤC HÀNH CHÍNH DỰA TRÊN DỮ LIỆU</w:t>
      </w:r>
      <w:bookmarkEnd w:id="12"/>
    </w:p>
    <w:p>
      <w:pPr>
        <w:pStyle w:val="Normal"/>
        <w:bidi w:val="0"/>
        <w:spacing w:before="120" w:after="280"/>
        <w:rPr>
          <w:b/>
          <w:bCs/>
        </w:rPr>
      </w:pPr>
      <w:r>
        <w:rPr>
          <w:b/>
          <w:bCs/>
        </w:rPr>
        <w:t>1. Phân tích, đánh giá hiện trạng thực hiện thủ tục hành chính</w:t>
      </w:r>
    </w:p>
    <w:p>
      <w:pPr>
        <w:pStyle w:val="Normal"/>
        <w:bidi w:val="0"/>
        <w:spacing w:before="120" w:after="280"/>
        <w:rPr/>
      </w:pPr>
      <w:r>
        <w:rPr/>
        <w:t xml:space="preserve">Thực hiện Nghị quyết số 66.7/2025/NQ-CP ngày 15/11/2025 của Chính phủ quy định cắt giảm, đơn giản hóa thủ tục hành chính dựa trên dữ liệu, Bộ Y tế rà soát thủ tục hành chính thuộc phạm vi quản lý nhà nước về Bảo hiểm y tế; trong đó, thủ tục “Thanh toán trực tiếp chi phí KCB giữa cơ quan BHXH và người tham gia BHYT” (mã TTHC 1.014140) có thành phần hồ sơ là “thẻ BHYT hoặc mã số BHYT và giấy tờ chứng minh nhân thân” có thể được thay thế bằng việc khai thác thông tin trong Cơ sở dữ liệu quốc gia về bảo hiểm và Cơ sở dữ liệu quốc gia về dân cư theo quy định tại </w:t>
      </w:r>
      <w:bookmarkStart w:id="13" w:name="dc_1"/>
      <w:r>
        <w:rPr/>
        <w:t>Điều 4 Nghị quyết số 66.7/2025/NQ-CP</w:t>
      </w:r>
      <w:bookmarkEnd w:id="13"/>
      <w:r>
        <w:rPr/>
        <w:t>.</w:t>
      </w:r>
    </w:p>
    <w:p>
      <w:pPr>
        <w:pStyle w:val="Normal"/>
        <w:bidi w:val="0"/>
        <w:spacing w:before="120" w:after="280"/>
        <w:rPr/>
      </w:pPr>
      <w:r>
        <w:rPr/>
        <w:t>Việc khai thác thông tin trong Cơ sở dữ liệu quốc gia về Bảo hiểm và Cơ sở dữ liệu quốc gia về dân cư để thực hiện TTHC là phù hợp chủ trương cải cách TTHC dựa trên dữ liệu, góp phần tiết kiệm thời gian, chi phí cho người dân, hạn chế yêu cầu nộp/đính kèm bản sao thẻ BHYT trong hồ sơ điện tử.</w:t>
      </w:r>
    </w:p>
    <w:p>
      <w:pPr>
        <w:pStyle w:val="Normal"/>
        <w:bidi w:val="0"/>
        <w:spacing w:before="120" w:after="280"/>
        <w:rPr>
          <w:b/>
          <w:bCs/>
        </w:rPr>
      </w:pPr>
      <w:r>
        <w:rPr>
          <w:b/>
          <w:bCs/>
        </w:rPr>
        <w:t>2. Cơ sở thực hiện tái cấu trúc quy trình giải quyết thủ tục hành chính</w:t>
      </w:r>
    </w:p>
    <w:p>
      <w:pPr>
        <w:pStyle w:val="Normal"/>
        <w:bidi w:val="0"/>
        <w:spacing w:before="120" w:after="280"/>
        <w:rPr/>
      </w:pPr>
      <w:r>
        <w:rPr/>
        <w:t>- Kế hoạch số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pPr>
        <w:pStyle w:val="Normal"/>
        <w:bidi w:val="0"/>
        <w:spacing w:before="120" w:after="280"/>
        <w:rPr/>
      </w:pPr>
      <w:r>
        <w:rPr/>
        <w:t>- Nghị quyết số 66.7/2025/NQ-CP ngày 15/11/2025 của Chính phủ về việc quy định cắt giảm, đơn giản hóa thủ tục hành chính dựa trên dữ liệu;</w:t>
      </w:r>
    </w:p>
    <w:p>
      <w:pPr>
        <w:pStyle w:val="Normal"/>
        <w:bidi w:val="0"/>
        <w:spacing w:before="120" w:after="280"/>
        <w:rPr/>
      </w:pPr>
      <w:r>
        <w:rPr/>
        <w:t>- Kế hoạch số 1733/KH-BYT ngày 28/11/2025 của Bộ Y tế thực hiện Nghị quyết số 66.7/2025/NQ-CP ngày 15/11/2025 của Chính phủ về việc quy định cắt giảm, đơn giản hóa thủ tục hành chính dựa trên dữ liệu;</w:t>
      </w:r>
    </w:p>
    <w:p>
      <w:pPr>
        <w:pStyle w:val="Normal"/>
        <w:bidi w:val="0"/>
        <w:spacing w:before="120" w:after="280"/>
        <w:rPr/>
      </w:pPr>
      <w:r>
        <w:rPr/>
        <w:t>- Các Quyết định của Bộ Y tế công bố thủ tục hành chính đã ban hành, Quyết định của Bộ Y tế ban hành quy trình nội bộ giải quyết thủ tục hành chính.</w:t>
      </w:r>
    </w:p>
    <w:p>
      <w:pPr>
        <w:pStyle w:val="Normal"/>
        <w:bidi w:val="0"/>
        <w:spacing w:before="120" w:after="280"/>
        <w:rPr>
          <w:b/>
          <w:bCs/>
        </w:rPr>
      </w:pPr>
      <w:bookmarkStart w:id="14" w:name="muc_2_pl"/>
      <w:r>
        <w:rPr>
          <w:b/>
          <w:bCs/>
        </w:rPr>
        <w:t>II. PHƯƠNG ÁN TÁI CẤU TRÚC</w:t>
      </w:r>
      <w:bookmarkEnd w:id="14"/>
    </w:p>
    <w:p>
      <w:pPr>
        <w:pStyle w:val="Normal"/>
        <w:bidi w:val="0"/>
        <w:spacing w:before="120" w:after="280"/>
        <w:rPr/>
      </w:pPr>
      <w:r>
        <w:rPr/>
        <w:t>1. Tên thủ tục: Thủ tục thanh toán trực tiếp chi phí khám bệnh, chữa bệnh giữa cơ quan BHXH và người tham gia BHYT.</w:t>
      </w:r>
    </w:p>
    <w:p>
      <w:pPr>
        <w:pStyle w:val="Normal"/>
        <w:bidi w:val="0"/>
        <w:spacing w:before="120" w:after="280"/>
        <w:rPr/>
      </w:pPr>
      <w:r>
        <w:rPr/>
        <w:t>2. Mã thủ tục: 1.014140</w:t>
      </w:r>
    </w:p>
    <w:p>
      <w:pPr>
        <w:pStyle w:val="Normal"/>
        <w:bidi w:val="0"/>
        <w:spacing w:before="120" w:after="280"/>
        <w:rPr/>
      </w:pPr>
      <w:r>
        <w:rPr/>
        <w:t xml:space="preserve">3. Cấp giải quyết: Cấp Tỉnh/Cơ sở theo phân cấp của Bảo hiểm xã hội Việt Nam </w:t>
      </w:r>
      <w:r>
        <w:rPr>
          <w:i/>
          <w:iCs/>
        </w:rPr>
        <w:t>(thể hiện theo danh mục tại Phụ lục I của Quyết định này).</w:t>
      </w:r>
    </w:p>
    <w:p>
      <w:pPr>
        <w:pStyle w:val="Normal"/>
        <w:bidi w:val="0"/>
        <w:spacing w:before="120" w:after="280"/>
        <w:rPr/>
      </w:pPr>
      <w:r>
        <w:rPr/>
        <w:t>4. Đối tượng thực hiện TTHC: Người tham gia BHYT.</w:t>
      </w:r>
    </w:p>
    <w:p>
      <w:pPr>
        <w:pStyle w:val="Normal"/>
        <w:bidi w:val="0"/>
        <w:spacing w:before="120" w:after="280"/>
        <w:rPr/>
      </w:pPr>
      <w:r>
        <w:rPr/>
        <w:t>5. Cơ quan giải quyết thủ tục hành chính</w:t>
      </w:r>
      <w:r>
        <w:rPr>
          <w:b/>
          <w:bCs/>
        </w:rPr>
        <w:t xml:space="preserve">: </w:t>
      </w:r>
      <w:r>
        <w:rPr/>
        <w:t>Cơ quan Bảo hiểm xã hội.</w:t>
      </w:r>
    </w:p>
    <w:p>
      <w:pPr>
        <w:pStyle w:val="Normal"/>
        <w:bidi w:val="0"/>
        <w:spacing w:before="120" w:after="280"/>
        <w:rPr/>
      </w:pPr>
      <w:r>
        <w:rPr/>
        <w:t>6. Kết quả rà soát, đánh giá thành phần hồ sơ</w:t>
      </w:r>
    </w:p>
    <w:p>
      <w:pPr>
        <w:pStyle w:val="Normal"/>
        <w:bidi w:val="0"/>
        <w:spacing w:before="120" w:after="280"/>
        <w:rPr/>
      </w:pPr>
      <w:r>
        <w:rPr/>
        <w:t>Thành phần hồ sơ Thủ tục thanh toán trực tiếp chi phí khám bệnh, chữa bệnh giữa cơ quan BHXH và người tham gia BHYT (Mã thủ tục: 1.014140) quy định tại Quyết định số 2306/QĐ-BYT ngày 11/7/2025 của Bộ trưởng Bộ Y tế về việc công bố thủ tục hành chính mới ban hành trong lĩnh vực bảo hiểm y tế và bị bãi bỏ trong lĩnh vực tài chính y tế tại Nghị định số 188/2025/NĐ-CP ngày 01/7/2025 của Chính phủ thuộc phạm vi chức năng quản lý của Bộ Y tế có thể khai thác thông tin trên Cơ sở dữ liệu quốc gia về bảo hiểm và cơ sở dữ liệu quốc gia về dân cư, cụ thể:</w:t>
      </w:r>
    </w:p>
    <w:tbl>
      <w:tblPr>
        <w:tblW w:w="5000" w:type="pct"/>
        <w:jc w:val="start"/>
        <w:tblInd w:w="-10" w:type="dxa"/>
        <w:tblLayout w:type="fixed"/>
        <w:tblCellMar>
          <w:top w:w="0" w:type="dxa"/>
          <w:start w:w="0" w:type="dxa"/>
          <w:bottom w:w="0" w:type="dxa"/>
          <w:end w:w="0" w:type="dxa"/>
        </w:tblCellMar>
      </w:tblPr>
      <w:tblGrid>
        <w:gridCol w:w="795"/>
        <w:gridCol w:w="1954"/>
        <w:gridCol w:w="1057"/>
        <w:gridCol w:w="905"/>
        <w:gridCol w:w="1"/>
        <w:gridCol w:w="3305"/>
        <w:gridCol w:w="2"/>
        <w:gridCol w:w="1951"/>
        <w:gridCol w:w="2"/>
      </w:tblGrid>
      <w:tr>
        <w:trPr/>
        <w:tc>
          <w:tcPr>
            <w:tcW w:w="795"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954"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hồ sơ theo Quyết định công bố</w:t>
            </w:r>
          </w:p>
        </w:tc>
        <w:tc>
          <w:tcPr>
            <w:tcW w:w="1962" w:type="dxa"/>
            <w:gridSpan w:val="2"/>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lượng</w:t>
            </w:r>
          </w:p>
        </w:tc>
        <w:tc>
          <w:tcPr>
            <w:tcW w:w="3306" w:type="dxa"/>
            <w:gridSpan w:val="2"/>
            <w:vMerge w:val="restart"/>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lượngHồ sơ điện tử</w:t>
            </w:r>
          </w:p>
        </w:tc>
        <w:tc>
          <w:tcPr>
            <w:tcW w:w="1953" w:type="dxa"/>
            <w:gridSpan w:val="2"/>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Kết nối, chia sẻ dữ liệu và số hóa hồ sơ</w:t>
            </w:r>
          </w:p>
        </w:tc>
      </w:tr>
      <w:tr>
        <w:trPr/>
        <w:tc>
          <w:tcPr>
            <w:tcW w:w="79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95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057" w:type="dxa"/>
            <w:tcBorders>
              <w:bottom w:val="single" w:sz="8" w:space="0" w:color="000000"/>
              <w:end w:val="single" w:sz="8" w:space="0" w:color="000000"/>
            </w:tcBorders>
            <w:vAlign w:val="center"/>
          </w:tcPr>
          <w:p>
            <w:pPr>
              <w:pStyle w:val="Normal"/>
              <w:bidi w:val="0"/>
              <w:spacing w:before="120" w:after="0"/>
              <w:jc w:val="center"/>
              <w:rPr/>
            </w:pPr>
            <w:r>
              <w:rPr>
                <w:b/>
                <w:bCs/>
              </w:rPr>
              <w:t>Bản</w:t>
            </w:r>
            <w:r>
              <w:rPr/>
              <w:t xml:space="preserve"> </w:t>
            </w:r>
            <w:r>
              <w:rPr>
                <w:b/>
                <w:bCs/>
              </w:rPr>
              <w:t>chính</w:t>
            </w:r>
          </w:p>
        </w:tc>
        <w:tc>
          <w:tcPr>
            <w:tcW w:w="906" w:type="dxa"/>
            <w:gridSpan w:val="2"/>
            <w:tcBorders>
              <w:bottom w:val="single" w:sz="8" w:space="0" w:color="000000"/>
              <w:end w:val="single" w:sz="8" w:space="0" w:color="000000"/>
            </w:tcBorders>
            <w:vAlign w:val="center"/>
          </w:tcPr>
          <w:p>
            <w:pPr>
              <w:pStyle w:val="Normal"/>
              <w:bidi w:val="0"/>
              <w:spacing w:before="120" w:after="0"/>
              <w:jc w:val="center"/>
              <w:rPr/>
            </w:pPr>
            <w:r>
              <w:rPr>
                <w:b/>
                <w:bCs/>
              </w:rPr>
              <w:t>Bản</w:t>
            </w:r>
            <w:r>
              <w:rPr/>
              <w:t xml:space="preserve"> </w:t>
            </w:r>
            <w:r>
              <w:rPr>
                <w:b/>
                <w:bCs/>
              </w:rPr>
              <w:t>sao</w:t>
            </w:r>
          </w:p>
        </w:tc>
        <w:tc>
          <w:tcPr>
            <w:tcW w:w="3307" w:type="dxa"/>
            <w:gridSpan w:val="2"/>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953"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r>
      <w:tr>
        <w:trPr/>
        <w:tc>
          <w:tcPr>
            <w:tcW w:w="79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954" w:type="dxa"/>
            <w:tcBorders>
              <w:bottom w:val="single" w:sz="8" w:space="0" w:color="000000"/>
              <w:end w:val="single" w:sz="8" w:space="0" w:color="000000"/>
            </w:tcBorders>
            <w:vAlign w:val="center"/>
          </w:tcPr>
          <w:p>
            <w:pPr>
              <w:pStyle w:val="Normal"/>
              <w:bidi w:val="0"/>
              <w:spacing w:before="120" w:after="0"/>
              <w:jc w:val="center"/>
              <w:rPr/>
            </w:pPr>
            <w:r>
              <w:rPr/>
              <w:t>Thẻ BHYT hoặc mã số BHYT</w:t>
            </w:r>
          </w:p>
        </w:tc>
        <w:tc>
          <w:tcPr>
            <w:tcW w:w="105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6" w:type="dxa"/>
            <w:gridSpan w:val="2"/>
            <w:tcBorders>
              <w:bottom w:val="single" w:sz="8" w:space="0" w:color="000000"/>
              <w:end w:val="single" w:sz="8" w:space="0" w:color="000000"/>
            </w:tcBorders>
            <w:vAlign w:val="center"/>
          </w:tcPr>
          <w:p>
            <w:pPr>
              <w:pStyle w:val="Normal"/>
              <w:bidi w:val="0"/>
              <w:spacing w:before="120" w:after="0"/>
              <w:jc w:val="center"/>
              <w:rPr/>
            </w:pPr>
            <w:r>
              <w:rPr/>
              <w:t>01</w:t>
            </w:r>
          </w:p>
        </w:tc>
        <w:tc>
          <w:tcPr>
            <w:tcW w:w="3307" w:type="dxa"/>
            <w:gridSpan w:val="2"/>
            <w:tcBorders>
              <w:bottom w:val="single" w:sz="8" w:space="0" w:color="000000"/>
              <w:end w:val="single" w:sz="8" w:space="0" w:color="000000"/>
            </w:tcBorders>
            <w:vAlign w:val="center"/>
          </w:tcPr>
          <w:p>
            <w:pPr>
              <w:pStyle w:val="Normal"/>
              <w:bidi w:val="0"/>
              <w:spacing w:before="120" w:after="0"/>
              <w:rPr/>
            </w:pPr>
            <w:r>
              <w:rPr/>
              <w:t>Không yêu cầu người dân đính kèm bản chụp thẻ BHYT khi hệ thống đã khai thác được dữ liệu (Hệ thống tự động kết nối với CSDL quốc gia về bảo hiểm để lấy thông tin về thẻ BHYT)</w:t>
            </w:r>
          </w:p>
        </w:tc>
        <w:tc>
          <w:tcPr>
            <w:tcW w:w="1953" w:type="dxa"/>
            <w:tcBorders>
              <w:bottom w:val="single" w:sz="8" w:space="0" w:color="000000"/>
              <w:end w:val="single" w:sz="8" w:space="0" w:color="000000"/>
            </w:tcBorders>
            <w:vAlign w:val="center"/>
          </w:tcPr>
          <w:p>
            <w:pPr>
              <w:pStyle w:val="Normal"/>
              <w:bidi w:val="0"/>
              <w:spacing w:before="120" w:after="0"/>
              <w:jc w:val="center"/>
              <w:rPr/>
            </w:pPr>
            <w:r>
              <w:rPr/>
              <w:t>CSDL quốc gia về bảo hiểm</w:t>
            </w:r>
          </w:p>
        </w:tc>
      </w:tr>
      <w:tr>
        <w:trPr/>
        <w:tc>
          <w:tcPr>
            <w:tcW w:w="79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954" w:type="dxa"/>
            <w:tcBorders>
              <w:bottom w:val="single" w:sz="8" w:space="0" w:color="000000"/>
              <w:end w:val="single" w:sz="8" w:space="0" w:color="000000"/>
            </w:tcBorders>
            <w:vAlign w:val="center"/>
          </w:tcPr>
          <w:p>
            <w:pPr>
              <w:pStyle w:val="Normal"/>
              <w:bidi w:val="0"/>
              <w:spacing w:before="120" w:after="0"/>
              <w:jc w:val="center"/>
              <w:rPr/>
            </w:pPr>
            <w:r>
              <w:rPr/>
              <w:t>Giấy tờ chứng minh nhân thân</w:t>
            </w:r>
          </w:p>
        </w:tc>
        <w:tc>
          <w:tcPr>
            <w:tcW w:w="1057" w:type="dxa"/>
            <w:tcBorders>
              <w:bottom w:val="single" w:sz="8" w:space="0" w:color="000000"/>
              <w:end w:val="single" w:sz="8" w:space="0" w:color="000000"/>
            </w:tcBorders>
            <w:vAlign w:val="center"/>
          </w:tcPr>
          <w:p>
            <w:pPr>
              <w:pStyle w:val="Normal"/>
              <w:bidi w:val="0"/>
              <w:spacing w:before="120" w:after="0"/>
              <w:jc w:val="center"/>
              <w:rPr/>
            </w:pPr>
            <w:r>
              <w:rPr/>
              <w:t> </w:t>
            </w:r>
          </w:p>
        </w:tc>
        <w:tc>
          <w:tcPr>
            <w:tcW w:w="906" w:type="dxa"/>
            <w:gridSpan w:val="2"/>
            <w:tcBorders>
              <w:bottom w:val="single" w:sz="8" w:space="0" w:color="000000"/>
              <w:end w:val="single" w:sz="8" w:space="0" w:color="000000"/>
            </w:tcBorders>
            <w:vAlign w:val="center"/>
          </w:tcPr>
          <w:p>
            <w:pPr>
              <w:pStyle w:val="Normal"/>
              <w:bidi w:val="0"/>
              <w:spacing w:before="120" w:after="0"/>
              <w:jc w:val="center"/>
              <w:rPr/>
            </w:pPr>
            <w:r>
              <w:rPr/>
              <w:t>01</w:t>
            </w:r>
          </w:p>
        </w:tc>
        <w:tc>
          <w:tcPr>
            <w:tcW w:w="3307" w:type="dxa"/>
            <w:gridSpan w:val="2"/>
            <w:tcBorders>
              <w:bottom w:val="single" w:sz="8" w:space="0" w:color="000000"/>
              <w:end w:val="single" w:sz="8" w:space="0" w:color="000000"/>
            </w:tcBorders>
            <w:vAlign w:val="center"/>
          </w:tcPr>
          <w:p>
            <w:pPr>
              <w:pStyle w:val="Normal"/>
              <w:bidi w:val="0"/>
              <w:spacing w:before="120" w:after="0"/>
              <w:rPr/>
            </w:pPr>
            <w:r>
              <w:rPr/>
              <w:t>Không yêu cầu người dân đính kèm bản chụp giấy tờ chứng minh nhân thân khi hệ thống đã khai thác được dữ liệu (Hệ thống tự động kết nối với CSDL quốc gia về dân cư để lấy thông tin về thẻ BHYT)</w:t>
            </w:r>
          </w:p>
        </w:tc>
        <w:tc>
          <w:tcPr>
            <w:tcW w:w="1953" w:type="dxa"/>
            <w:tcBorders>
              <w:bottom w:val="single" w:sz="8" w:space="0" w:color="000000"/>
              <w:end w:val="single" w:sz="8" w:space="0" w:color="000000"/>
            </w:tcBorders>
            <w:vAlign w:val="center"/>
          </w:tcPr>
          <w:p>
            <w:pPr>
              <w:pStyle w:val="Normal"/>
              <w:bidi w:val="0"/>
              <w:spacing w:before="120" w:after="0"/>
              <w:jc w:val="center"/>
              <w:rPr/>
            </w:pPr>
            <w:r>
              <w:rPr/>
              <w:t>CSDL quốc gia về dân cư</w:t>
            </w:r>
          </w:p>
        </w:tc>
      </w:tr>
    </w:tbl>
    <w:p>
      <w:pPr>
        <w:pStyle w:val="Normal"/>
        <w:bidi w:val="0"/>
        <w:spacing w:before="120" w:after="280"/>
        <w:rPr>
          <w:b/>
          <w:bCs/>
        </w:rPr>
      </w:pPr>
      <w:r>
        <w:rPr>
          <w:b/>
          <w:bCs/>
        </w:rPr>
        <w:t>7. Cơ sở dữ liệu kết nối</w:t>
      </w:r>
    </w:p>
    <w:p>
      <w:pPr>
        <w:pStyle w:val="Normal"/>
        <w:bidi w:val="0"/>
        <w:spacing w:before="120" w:after="280"/>
        <w:rPr/>
      </w:pPr>
      <w:r>
        <w:rPr/>
        <w:t>- Cơ sở dữ liệu quốc gia về bảo hiểm: Khai thác thông tin thẻ BHYT.</w:t>
      </w:r>
    </w:p>
    <w:p>
      <w:pPr>
        <w:pStyle w:val="Normal"/>
        <w:bidi w:val="0"/>
        <w:spacing w:before="120" w:after="280"/>
        <w:rPr/>
      </w:pPr>
      <w:r>
        <w:rPr/>
        <w:t xml:space="preserve">- Cơ sở dữ liệu quốc gia về dân cư: Khai thác thông tin về Căn cước công dân hoặc Thẻ Căn cước, Giấy chứng nhận căn cước và giấy tờ chứng minh nhân thân khác theo quy định tại </w:t>
      </w:r>
      <w:bookmarkStart w:id="15" w:name="dc_3"/>
      <w:r>
        <w:rPr/>
        <w:t>điểm b khoản 1 Điều 37 của Nghị định số 188/2025/NĐ-CP</w:t>
      </w:r>
      <w:bookmarkEnd w:id="15"/>
      <w:r>
        <w:rPr/>
        <w:t xml:space="preserve"> quy định chi tiết và hướng dẫn thi hành một số điều Luật BHYT khi hệ thống đã khai thác được dữ liệu.</w:t>
      </w:r>
    </w:p>
    <w:p>
      <w:pPr>
        <w:pStyle w:val="Normal"/>
        <w:bidi w:val="0"/>
        <w:spacing w:before="120" w:after="280"/>
        <w:rPr>
          <w:b/>
          <w:bCs/>
        </w:rPr>
      </w:pPr>
      <w:r>
        <w:rPr>
          <w:b/>
          <w:bCs/>
        </w:rPr>
        <w:t>8. Mô tả chi tiết:</w:t>
      </w:r>
    </w:p>
    <w:p>
      <w:pPr>
        <w:pStyle w:val="Normal"/>
        <w:bidi w:val="0"/>
        <w:spacing w:before="120" w:after="280"/>
        <w:rPr/>
      </w:pPr>
      <w:r>
        <w:rPr>
          <w:b/>
          <w:bCs/>
        </w:rPr>
        <w:t xml:space="preserve">Bước 1: </w:t>
      </w:r>
      <w:r>
        <w:rPr/>
        <w:t>Người dân (Người bệnh hoặc thân nhân) đăng nhập Cổng DVC quốc gia (VNeID), chọn (thủ tục 1.014140) thanh toán trực tiếp chi phí khám bệnh, chữa bệnh.</w:t>
      </w:r>
    </w:p>
    <w:p>
      <w:pPr>
        <w:pStyle w:val="Normal"/>
        <w:bidi w:val="0"/>
        <w:spacing w:before="120" w:after="280"/>
        <w:rPr>
          <w:i/>
          <w:iCs/>
        </w:rPr>
      </w:pPr>
      <w:r>
        <w:rPr>
          <w:i/>
          <w:iCs/>
        </w:rPr>
        <w:t xml:space="preserve">(Hồ sơ thực hiện theo </w:t>
      </w:r>
      <w:bookmarkStart w:id="16" w:name="dc_4"/>
      <w:r>
        <w:rPr>
          <w:i/>
          <w:iCs/>
        </w:rPr>
        <w:t>khoản 2, 3, 4 Điều 55 Nghị định 188/2025/NĐ-CP</w:t>
      </w:r>
      <w:bookmarkEnd w:id="16"/>
      <w:r>
        <w:rPr>
          <w:i/>
          <w:iCs/>
        </w:rPr>
        <w:t>.)</w:t>
      </w:r>
    </w:p>
    <w:p>
      <w:pPr>
        <w:pStyle w:val="Normal"/>
        <w:bidi w:val="0"/>
        <w:spacing w:before="120" w:after="280"/>
        <w:rPr/>
      </w:pPr>
      <w:r>
        <w:rPr>
          <w:b/>
          <w:bCs/>
        </w:rPr>
        <w:t xml:space="preserve">Bước 2: </w:t>
      </w:r>
      <w:r>
        <w:rPr/>
        <w:t>Hệ thống điều hướng/tích hợp với Hệ thống thông tin giải quyết TTHC Cơ quan Bảo hiểm xã hội kết nối CSDL quốc gia về bảo hiểm để lấy thông tin thẻ BHYT và xác thực giấy tờ chứng minh nhân thân với CSDL quốc gia về dân cư.</w:t>
      </w:r>
    </w:p>
    <w:p>
      <w:pPr>
        <w:pStyle w:val="Normal"/>
        <w:bidi w:val="0"/>
        <w:spacing w:before="120" w:after="280"/>
        <w:rPr/>
      </w:pPr>
      <w:r>
        <w:rPr>
          <w:b/>
          <w:bCs/>
        </w:rPr>
        <w:t xml:space="preserve">Bước 3: </w:t>
      </w:r>
      <w:r>
        <w:rPr/>
        <w:t>Tiếp nhận, kiểm tra hồ sơ; trường hợp cần bổ sung theo quy định thì gửi thông báo trên hệ thống.</w:t>
      </w:r>
    </w:p>
    <w:p>
      <w:pPr>
        <w:pStyle w:val="Normal"/>
        <w:bidi w:val="0"/>
        <w:spacing w:before="120" w:after="280"/>
        <w:rPr/>
      </w:pPr>
      <w:r>
        <w:rPr>
          <w:b/>
          <w:bCs/>
        </w:rPr>
        <w:t xml:space="preserve">Bước 4: </w:t>
      </w:r>
      <w:r>
        <w:rPr/>
        <w:t>Thẩm định, xử lý, ký số kết quả trên hệ thống.</w:t>
      </w:r>
    </w:p>
    <w:p>
      <w:pPr>
        <w:pStyle w:val="Normal"/>
        <w:bidi w:val="0"/>
        <w:spacing w:before="120" w:after="280"/>
        <w:rPr/>
      </w:pPr>
      <w:r>
        <w:rPr>
          <w:b/>
          <w:bCs/>
        </w:rPr>
        <w:t xml:space="preserve">Bước 5: </w:t>
      </w:r>
      <w:r>
        <w:rPr/>
        <w:t>Trả kết quả điện tử và cập nhật trạng thái hoàn thành.</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