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2719"/>
        <w:gridCol w:w="7253"/>
      </w:tblGrid>
      <w:tr>
        <w:trPr/>
        <w:tc>
          <w:tcPr>
            <w:tcW w:w="2719" w:type="dxa"/>
            <w:tcBorders/>
          </w:tcPr>
          <w:p>
            <w:pPr>
              <w:pStyle w:val="Normal"/>
              <w:bidi w:val="0"/>
              <w:spacing w:before="0" w:after="0"/>
              <w:jc w:val="center"/>
              <w:rPr/>
            </w:pPr>
            <w:r>
              <w:rPr>
                <w:b/>
                <w:bCs/>
              </w:rPr>
              <w:t>BỘ Y TẾ</w:t>
              <w:br/>
              <w:t>--------</w:t>
            </w:r>
          </w:p>
        </w:tc>
        <w:tc>
          <w:tcPr>
            <w:tcW w:w="7253"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719" w:type="dxa"/>
            <w:tcBorders/>
          </w:tcPr>
          <w:p>
            <w:pPr>
              <w:pStyle w:val="Normal"/>
              <w:bidi w:val="0"/>
              <w:spacing w:before="0" w:after="0"/>
              <w:jc w:val="center"/>
              <w:rPr/>
            </w:pPr>
            <w:r>
              <w:rPr/>
              <w:t>Số: 590/QĐ-BYT</w:t>
            </w:r>
          </w:p>
        </w:tc>
        <w:tc>
          <w:tcPr>
            <w:tcW w:w="7253" w:type="dxa"/>
            <w:tcBorders/>
          </w:tcPr>
          <w:p>
            <w:pPr>
              <w:pStyle w:val="Normal"/>
              <w:bidi w:val="0"/>
              <w:spacing w:before="0" w:after="0"/>
              <w:jc w:val="end"/>
              <w:rPr/>
            </w:pPr>
            <w:r>
              <w:rPr>
                <w:i/>
                <w:iCs/>
              </w:rPr>
              <w:t>Hà Nội, ngày 10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VỀ VIỆC CÔNG BỐ THỦ TỤC HÀNH CHÍNH BỊ BÃI BỎ LĨNH VỰC MỸ PHẨM QUY ĐỊNH TẠI THÔNG TƯ SỐ 03/2026/TT-BYT NGÀY 12 THÁNG 02 NĂM 2026 CỦA BỘ TRƯỞNG BỘ Y TẾ BÃI BỎ MỘT SỐ VĂN BẢN QUY PHẠM PHÁP LUẬT DO BỘ TRƯỞNG BỘ Y TẾ BAN HÀNH</w:t>
      </w:r>
      <w:bookmarkEnd w:id="1"/>
    </w:p>
    <w:p>
      <w:pPr>
        <w:pStyle w:val="Normal"/>
        <w:bidi w:val="0"/>
        <w:spacing w:before="0" w:after="120"/>
        <w:jc w:val="center"/>
        <w:rPr>
          <w:b/>
          <w:bCs/>
          <w:sz w:val="24"/>
        </w:rPr>
      </w:pPr>
      <w:r>
        <w:rPr>
          <w:b/>
          <w:bCs/>
          <w:sz w:val="24"/>
        </w:rPr>
        <w:t>BỘ TRƯỞNG BỘ Y TẾ</w:t>
      </w:r>
    </w:p>
    <w:p>
      <w:pPr>
        <w:pStyle w:val="Normal"/>
        <w:bidi w:val="0"/>
        <w:spacing w:before="0" w:after="120"/>
        <w:rPr>
          <w:i/>
          <w:iCs/>
        </w:rPr>
      </w:pPr>
      <w:r>
        <w:rPr>
          <w:i/>
          <w:iCs/>
        </w:rPr>
        <w:t>Căn cứ Nghị định số 42/2025/NĐ-CP ngày 27 tháng 02 năm 2025 của Chính phủ quy định chức năng, nhiệm vụ, quyền hạn và cơ cấu tổ chức của Bộ Y tế;</w:t>
      </w:r>
    </w:p>
    <w:p>
      <w:pPr>
        <w:pStyle w:val="Normal"/>
        <w:bidi w:val="0"/>
        <w:spacing w:before="0" w:after="120"/>
        <w:rPr>
          <w:i/>
          <w:iCs/>
        </w:rPr>
      </w:pPr>
      <w:r>
        <w:rPr>
          <w:i/>
          <w:iCs/>
        </w:rPr>
        <w:t>Căn cứ Nghị định số 63/2010/NĐ-CP ngày 08 tháng 6 năm 2010 của Chính phủ về kiểm soát thủ tục hành chính; Nghị định số 48/2013/NĐ-CP ngày 14 tháng 5 năm 2013 của Chính phủ về sửa đổi, bổ sung một số Điều của các Nghị định liên quan đến kiểm soát thủ tục hành chính; Nghị định số 92/2017/NĐ-CP ngày 07 tháng 8 năm 2017 của Chính phủ sửa đổi, bổ sung một số điều của các Nghị định liên quan đến kiểm soát thủ tục hành chính;</w:t>
      </w:r>
    </w:p>
    <w:p>
      <w:pPr>
        <w:pStyle w:val="Normal"/>
        <w:bidi w:val="0"/>
        <w:spacing w:before="0" w:after="120"/>
        <w:rPr>
          <w:i/>
          <w:iCs/>
        </w:rPr>
      </w:pPr>
      <w:r>
        <w:rPr>
          <w:i/>
          <w:iCs/>
        </w:rPr>
        <w:t>Căn cứ Thông tư số 02/2017/TT-VPCP ngày 31 tháng 10 năm 2017 của Văn phòng Chính phủ hướng dẫn về nghiệp vụ kiểm soát thủ tục hành chính;</w:t>
      </w:r>
    </w:p>
    <w:p>
      <w:pPr>
        <w:pStyle w:val="Normal"/>
        <w:bidi w:val="0"/>
        <w:spacing w:before="0" w:after="120"/>
        <w:rPr>
          <w:i/>
          <w:iCs/>
        </w:rPr>
      </w:pPr>
      <w:r>
        <w:rPr>
          <w:i/>
          <w:iCs/>
        </w:rPr>
        <w:t>Căn cứ Thông tư số 03/2026/TT-BYT ngày 12 tháng 02 năm 2026 của Bộ trưởng Bộ Y tế bãi bỏ một số văn bản quy phạm pháp luật do Bộ trưởng Bộ Y tế ban hành; Theo đề nghị của Cục trưởng Cục Quản lý Dược.</w:t>
      </w:r>
    </w:p>
    <w:p>
      <w:pPr>
        <w:pStyle w:val="Normal"/>
        <w:bidi w:val="0"/>
        <w:spacing w:before="0" w:after="120"/>
        <w:jc w:val="center"/>
        <w:rPr>
          <w:b/>
          <w:bCs/>
          <w:sz w:val="24"/>
        </w:rPr>
      </w:pPr>
      <w:r>
        <w:rPr>
          <w:b/>
          <w:bCs/>
          <w:sz w:val="24"/>
        </w:rPr>
        <w:t>QUYẾT ĐỊNH:</w:t>
      </w:r>
    </w:p>
    <w:p>
      <w:pPr>
        <w:pStyle w:val="Normal"/>
        <w:bidi w:val="0"/>
        <w:spacing w:before="0" w:after="120"/>
        <w:rPr/>
      </w:pPr>
      <w:bookmarkStart w:id="2" w:name="dieu_1"/>
      <w:r>
        <w:rPr>
          <w:b/>
          <w:bCs/>
        </w:rPr>
        <w:t xml:space="preserve">Điều 1. </w:t>
      </w:r>
      <w:r>
        <w:rPr/>
        <w:t>Công bố kèm theo Quyết định này 04 (bốn) thủ tục hành chính bị bãi bỏ lĩnh vực Mỹ phẩm thuộc phạm vi quản lý của Bộ Y tế quy định tại Thông tư số 03/2026/TT-BYT ngày 12 tháng 02 năm 2026 của Bộ trưởng Bộ Y tế bãi bỏ một số văn bản quy phạm pháp luật do Bộ trưởng Bộ Y tế ban hành.</w:t>
      </w:r>
      <w:bookmarkEnd w:id="2"/>
    </w:p>
    <w:p>
      <w:pPr>
        <w:pStyle w:val="Normal"/>
        <w:bidi w:val="0"/>
        <w:spacing w:before="0" w:after="120"/>
        <w:rPr/>
      </w:pPr>
      <w:bookmarkStart w:id="3" w:name="dieu_2"/>
      <w:r>
        <w:rPr>
          <w:b/>
          <w:bCs/>
        </w:rPr>
        <w:t xml:space="preserve">Điều 2. </w:t>
      </w:r>
      <w:r>
        <w:rPr/>
        <w:t>Quyết định này có hiệu lực thi hành kể từ ngày 15 tháng 02 năm 2026.</w:t>
      </w:r>
      <w:bookmarkEnd w:id="3"/>
    </w:p>
    <w:p>
      <w:pPr>
        <w:pStyle w:val="Normal"/>
        <w:bidi w:val="0"/>
        <w:spacing w:before="0" w:after="120"/>
        <w:rPr/>
      </w:pPr>
      <w:r>
        <w:rPr/>
        <w:t>Bãi bỏ các thủ tục hành chính: Cấp giấy xác nhận nội dung quảng cáo mỹ phẩm (mã thủ tục hành chính 1.002483); Cấp lại giấy xác nhận nội dung quảng cáo mỹ phẩm trong trường hợp bị mất hoặc hư hỏng (mã thủ tục hành chính 1.000990); Cấp lại giấy xác nhận nội dung quảng cáo mỹ phẩm trong trường hợp hết hiệu lực tại khoản 2 Điều 21 Thông tư số 09/2015/TT-BYT (mã thủ tục hành chính 1.000793); Cấp lại giấy xác nhận nội dung quảng cáo mỹ phẩm khi có thay đổi về tên, địa chỉ của tổ chức, cá nhân chịu trách nhiệm và không thay đổi nội dung quảng cáo (mã thủ tục hành chính 1.000662) quy định tại Quyết định số 3904/QĐ-BYT ngày 18 tháng 9 năm 2015 của Bộ trưởng Bộ Y tế về việc công bố thủ tục hành chính được sửa đổi, bổ sung và thủ tục hành chính bị bãi bỏ thuộc phạm vi chức năng quản lý của Bộ Y tế.</w:t>
      </w:r>
    </w:p>
    <w:p>
      <w:pPr>
        <w:pStyle w:val="Normal"/>
        <w:bidi w:val="0"/>
        <w:spacing w:before="0" w:after="120"/>
        <w:rPr/>
      </w:pPr>
      <w:r>
        <w:rPr/>
        <w:t>Bãi bỏ nội dung quy định về mức phí đối với thủ tục Cấp giấy xác nhận nội dung quảng cáo mỹ phẩm (mã thủ tục hành chính 1.002483) quy định tại số thứ tự 2, Phần II. Thủ tục hành chính cấp địa phương, Mục A. Lĩnh vực dược, mỹ phẩm, Danh mục thủ tục hành chính ban hành kèm theo Quyết định số 3246/QĐ-BYT ngày 16 tháng 8 năm 2023 của Bộ trưởng Bộ Y tế về việc công bố danh mục thủ tục hành chính sửa đổi, bổ sung mức phí theo Thông tư số 41/2023/TT-BTC ngày 12 tháng 06 năm 2023 của Bộ trưởng Bộ Tài chính thuộc phạm vi chức năng quản lý của Bộ Y tế.</w:t>
      </w:r>
    </w:p>
    <w:p>
      <w:pPr>
        <w:pStyle w:val="Normal"/>
        <w:bidi w:val="0"/>
        <w:spacing w:before="0" w:after="120"/>
        <w:rPr/>
      </w:pPr>
      <w:bookmarkStart w:id="4" w:name="dieu_3"/>
      <w:r>
        <w:rPr>
          <w:b/>
          <w:bCs/>
        </w:rPr>
        <w:t xml:space="preserve">Điều 3. </w:t>
      </w:r>
      <w:r>
        <w:rPr/>
        <w:t>Các Ông, Bà: Chánh Văn phòng Bộ; Cục trưởng Cục Quản lý Dược; Thủ trưởng các Vụ, Cục; Giám đốc Sở Y tế các tỉnh, thành phố và Thủ trưởng các đơn vị, cá nhân có liên quan chịu trách nhiệm thi hành Quyết định này./.</w:t>
      </w:r>
      <w:bookmarkEnd w:id="4"/>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72"/>
        <w:gridCol w:w="4668"/>
      </w:tblGrid>
      <w:tr>
        <w:trPr/>
        <w:tc>
          <w:tcPr>
            <w:tcW w:w="3972" w:type="dxa"/>
            <w:tcBorders/>
          </w:tcPr>
          <w:p>
            <w:pPr>
              <w:pStyle w:val="Normal"/>
              <w:bidi w:val="0"/>
              <w:spacing w:before="0" w:after="120"/>
              <w:rPr>
                <w:b/>
                <w:bCs/>
                <w:i/>
                <w:iCs/>
                <w:sz w:val="16"/>
              </w:rPr>
            </w:pPr>
            <w:r>
              <w:rPr>
                <w:b/>
                <w:bCs/>
                <w:i/>
                <w:iCs/>
                <w:sz w:val="16"/>
              </w:rPr>
              <w:t> </w:t>
            </w:r>
          </w:p>
          <w:p>
            <w:pPr>
              <w:pStyle w:val="Normal"/>
              <w:bidi w:val="0"/>
              <w:spacing w:before="0" w:after="0"/>
              <w:rPr/>
            </w:pPr>
            <w:r>
              <w:rPr>
                <w:b/>
                <w:bCs/>
                <w:i/>
                <w:iCs/>
              </w:rPr>
              <w:t>Nơi nhận:</w:t>
              <w:br/>
            </w:r>
            <w:r>
              <w:rPr>
                <w:sz w:val="16"/>
              </w:rPr>
              <w:t>- Như Điều 3;</w:t>
              <w:br/>
              <w:t>- Bộ trưởng (để b/c);</w:t>
              <w:br/>
              <w:t>- Các đ/c Thứ trưởng;</w:t>
              <w:br/>
              <w:t>- Cục KSTTHC - Bộ Tư pháp;</w:t>
              <w:br/>
              <w:t>- UBND tỉnh, thành phố;</w:t>
              <w:br/>
              <w:t>- Sở Y tế tỉnh, thành phố;</w:t>
              <w:br/>
              <w:t>- Cổng TTĐT - Bộ Y tế;</w:t>
              <w:br/>
              <w:t>- Phòng KSTTHC - VP BYT;</w:t>
              <w:br/>
              <w:t>- Lưu: VT, QLD.</w:t>
            </w:r>
          </w:p>
        </w:tc>
        <w:tc>
          <w:tcPr>
            <w:tcW w:w="4668" w:type="dxa"/>
            <w:tcBorders/>
          </w:tcPr>
          <w:p>
            <w:pPr>
              <w:pStyle w:val="Normal"/>
              <w:bidi w:val="0"/>
              <w:spacing w:before="0" w:after="0"/>
              <w:jc w:val="center"/>
              <w:rPr>
                <w:b/>
                <w:bCs/>
              </w:rPr>
            </w:pPr>
            <w:r>
              <w:rPr>
                <w:b/>
                <w:bCs/>
              </w:rPr>
              <w:t>KT. BỘ TRƯỞNG</w:t>
              <w:br/>
              <w:t>THỨ TRƯỞNG</w:t>
              <w:br/>
              <w:br/>
              <w:br/>
              <w:br/>
              <w:br/>
              <w:t>Nguyễn Tri Thức</w:t>
            </w:r>
          </w:p>
        </w:tc>
      </w:tr>
    </w:tbl>
    <w:p>
      <w:pPr>
        <w:pStyle w:val="Normal"/>
        <w:bidi w:val="0"/>
        <w:spacing w:before="0" w:after="120"/>
        <w:rPr/>
      </w:pPr>
      <w:r>
        <w:rPr/>
        <w:t> </w:t>
      </w:r>
    </w:p>
    <w:p>
      <w:pPr>
        <w:pStyle w:val="Normal"/>
        <w:bidi w:val="0"/>
        <w:spacing w:before="0" w:after="120"/>
        <w:jc w:val="center"/>
        <w:rPr>
          <w:b/>
          <w:bCs/>
        </w:rPr>
      </w:pPr>
      <w:bookmarkStart w:id="5" w:name="chuong_pl"/>
      <w:r>
        <w:rPr>
          <w:b/>
          <w:bCs/>
        </w:rPr>
        <w:t>THỦ TỤC HÀNH CHÍNH BỊ BÃI BỎ LĨNH VỰC MỸ PHẨM THUỘC PHẠM VI QUẢN LÝ CỦA BỘ Y TẾ</w:t>
      </w:r>
      <w:bookmarkEnd w:id="5"/>
    </w:p>
    <w:p>
      <w:pPr>
        <w:pStyle w:val="Normal"/>
        <w:bidi w:val="0"/>
        <w:spacing w:before="0" w:after="120"/>
        <w:jc w:val="center"/>
        <w:rPr>
          <w:i/>
          <w:iCs/>
        </w:rPr>
      </w:pPr>
      <w:r>
        <w:rPr>
          <w:i/>
          <w:iCs/>
        </w:rPr>
        <w:t>(Kèm theo Quyết định số 590/QĐ-BYT ngày 10 tháng 3 năm 2026 của Bộ trưởng Bộ Y tế)</w:t>
      </w:r>
    </w:p>
    <w:tbl>
      <w:tblPr>
        <w:tblW w:w="5000" w:type="pct"/>
        <w:jc w:val="start"/>
        <w:tblInd w:w="0" w:type="dxa"/>
        <w:tblLayout w:type="fixed"/>
        <w:tblCellMar>
          <w:top w:w="28" w:type="dxa"/>
          <w:start w:w="108" w:type="dxa"/>
          <w:bottom w:w="28" w:type="dxa"/>
          <w:end w:w="108" w:type="dxa"/>
        </w:tblCellMar>
      </w:tblPr>
      <w:tblGrid>
        <w:gridCol w:w="895"/>
        <w:gridCol w:w="1311"/>
        <w:gridCol w:w="1596"/>
        <w:gridCol w:w="3361"/>
        <w:gridCol w:w="1484"/>
        <w:gridCol w:w="1323"/>
        <w:gridCol w:w="2"/>
      </w:tblGrid>
      <w:tr>
        <w:trPr/>
        <w:tc>
          <w:tcPr>
            <w:tcW w:w="8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1311"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Số hồ sơ TTHC</w:t>
            </w:r>
          </w:p>
        </w:tc>
        <w:tc>
          <w:tcPr>
            <w:tcW w:w="1596"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thủ tục hành chính</w:t>
            </w:r>
          </w:p>
        </w:tc>
        <w:tc>
          <w:tcPr>
            <w:tcW w:w="3361"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VBQPPL quy định việc bãi bỏ thủ tục hành chính</w:t>
            </w:r>
          </w:p>
        </w:tc>
        <w:tc>
          <w:tcPr>
            <w:tcW w:w="1484"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Lĩnh vực</w:t>
            </w:r>
          </w:p>
        </w:tc>
        <w:tc>
          <w:tcPr>
            <w:tcW w:w="1325"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Cơ quan thực hiện</w:t>
            </w:r>
          </w:p>
        </w:tc>
      </w:tr>
      <w:tr>
        <w:trPr/>
        <w:tc>
          <w:tcPr>
            <w:tcW w:w="9970" w:type="dxa"/>
            <w:gridSpan w:val="6"/>
            <w:tcBorders>
              <w:start w:val="single" w:sz="8" w:space="0" w:color="000000"/>
              <w:bottom w:val="single" w:sz="8" w:space="0" w:color="000000"/>
              <w:end w:val="single" w:sz="8" w:space="0" w:color="000000"/>
            </w:tcBorders>
          </w:tcPr>
          <w:p>
            <w:pPr>
              <w:pStyle w:val="Normal"/>
              <w:bidi w:val="0"/>
              <w:snapToGrid w:val="false"/>
              <w:spacing w:before="0" w:after="0"/>
              <w:rPr/>
            </w:pPr>
            <w:r>
              <w:rPr>
                <w:b/>
                <w:bCs/>
              </w:rPr>
              <w:t>Thủ tục hành chính cấp tỉnhThủ tục hành chính cấp tỉnhThủ tục hành chính cấp tỉnhThủ tục hành chính cấp tỉnhThủ tục hành chính cấp tỉnhThủ tục hành chính cấp tỉnh</w:t>
            </w:r>
          </w:p>
        </w:tc>
      </w:tr>
      <w:tr>
        <w:trPr/>
        <w:tc>
          <w:tcPr>
            <w:tcW w:w="895"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1311" w:type="dxa"/>
            <w:tcBorders>
              <w:bottom w:val="single" w:sz="8" w:space="0" w:color="000000"/>
              <w:end w:val="single" w:sz="8" w:space="0" w:color="000000"/>
            </w:tcBorders>
          </w:tcPr>
          <w:p>
            <w:pPr>
              <w:pStyle w:val="Normal"/>
              <w:bidi w:val="0"/>
              <w:spacing w:before="0" w:after="0"/>
              <w:jc w:val="center"/>
              <w:rPr/>
            </w:pPr>
            <w:r>
              <w:rPr/>
              <w:t>1.002483</w:t>
            </w:r>
          </w:p>
        </w:tc>
        <w:tc>
          <w:tcPr>
            <w:tcW w:w="1596" w:type="dxa"/>
            <w:tcBorders>
              <w:bottom w:val="single" w:sz="8" w:space="0" w:color="000000"/>
              <w:end w:val="single" w:sz="8" w:space="0" w:color="000000"/>
            </w:tcBorders>
          </w:tcPr>
          <w:p>
            <w:pPr>
              <w:pStyle w:val="Normal"/>
              <w:bidi w:val="0"/>
              <w:spacing w:before="0" w:after="0"/>
              <w:rPr/>
            </w:pPr>
            <w:r>
              <w:rPr/>
              <w:t>Cấp giấy xác nhận nội dung quảng cáo mỹ phẩm</w:t>
            </w:r>
          </w:p>
        </w:tc>
        <w:tc>
          <w:tcPr>
            <w:tcW w:w="3361" w:type="dxa"/>
            <w:tcBorders>
              <w:bottom w:val="single" w:sz="8" w:space="0" w:color="000000"/>
              <w:end w:val="single" w:sz="8" w:space="0" w:color="000000"/>
            </w:tcBorders>
          </w:tcPr>
          <w:p>
            <w:pPr>
              <w:pStyle w:val="Normal"/>
              <w:bidi w:val="0"/>
              <w:spacing w:before="0" w:after="0"/>
              <w:rPr/>
            </w:pPr>
            <w:r>
              <w:rPr/>
              <w:t>Thông tư số 03/2026/TT-BYT ngày 12 tháng 02 năm 2026 của Bộ trưởng Bộ Y tế bãi bỏ một số văn bản quy phạm pháp luật do Bộ trưởng Bộ Y tế ban hành</w:t>
            </w:r>
          </w:p>
        </w:tc>
        <w:tc>
          <w:tcPr>
            <w:tcW w:w="1484" w:type="dxa"/>
            <w:tcBorders>
              <w:bottom w:val="single" w:sz="8" w:space="0" w:color="000000"/>
              <w:end w:val="single" w:sz="8" w:space="0" w:color="000000"/>
            </w:tcBorders>
          </w:tcPr>
          <w:p>
            <w:pPr>
              <w:pStyle w:val="Normal"/>
              <w:bidi w:val="0"/>
              <w:spacing w:before="0" w:after="0"/>
              <w:jc w:val="center"/>
              <w:rPr/>
            </w:pPr>
            <w:r>
              <w:rPr/>
              <w:t>Mỹ phẩm</w:t>
            </w:r>
          </w:p>
        </w:tc>
        <w:tc>
          <w:tcPr>
            <w:tcW w:w="1325" w:type="dxa"/>
            <w:tcBorders>
              <w:bottom w:val="single" w:sz="8" w:space="0" w:color="000000"/>
              <w:end w:val="single" w:sz="8" w:space="0" w:color="000000"/>
            </w:tcBorders>
          </w:tcPr>
          <w:p>
            <w:pPr>
              <w:pStyle w:val="Normal"/>
              <w:bidi w:val="0"/>
              <w:spacing w:before="0" w:after="0"/>
              <w:jc w:val="center"/>
              <w:rPr/>
            </w:pPr>
            <w:r>
              <w:rPr/>
              <w:t>Sở Y tế</w:t>
            </w:r>
          </w:p>
        </w:tc>
      </w:tr>
      <w:tr>
        <w:trPr/>
        <w:tc>
          <w:tcPr>
            <w:tcW w:w="895" w:type="dxa"/>
            <w:tcBorders>
              <w:start w:val="single" w:sz="8" w:space="0" w:color="000000"/>
              <w:bottom w:val="single" w:sz="8" w:space="0" w:color="000000"/>
              <w:end w:val="single" w:sz="8" w:space="0" w:color="000000"/>
            </w:tcBorders>
          </w:tcPr>
          <w:p>
            <w:pPr>
              <w:pStyle w:val="Normal"/>
              <w:bidi w:val="0"/>
              <w:spacing w:before="0" w:after="0"/>
              <w:jc w:val="center"/>
              <w:rPr/>
            </w:pPr>
            <w:r>
              <w:rPr/>
              <w:t>2.</w:t>
            </w:r>
          </w:p>
        </w:tc>
        <w:tc>
          <w:tcPr>
            <w:tcW w:w="1311" w:type="dxa"/>
            <w:tcBorders>
              <w:bottom w:val="single" w:sz="8" w:space="0" w:color="000000"/>
              <w:end w:val="single" w:sz="8" w:space="0" w:color="000000"/>
            </w:tcBorders>
          </w:tcPr>
          <w:p>
            <w:pPr>
              <w:pStyle w:val="Normal"/>
              <w:bidi w:val="0"/>
              <w:spacing w:before="0" w:after="0"/>
              <w:jc w:val="center"/>
              <w:rPr/>
            </w:pPr>
            <w:r>
              <w:rPr/>
              <w:t>1.000990</w:t>
            </w:r>
          </w:p>
        </w:tc>
        <w:tc>
          <w:tcPr>
            <w:tcW w:w="1596" w:type="dxa"/>
            <w:tcBorders>
              <w:bottom w:val="single" w:sz="8" w:space="0" w:color="000000"/>
              <w:end w:val="single" w:sz="8" w:space="0" w:color="000000"/>
            </w:tcBorders>
          </w:tcPr>
          <w:p>
            <w:pPr>
              <w:pStyle w:val="Normal"/>
              <w:bidi w:val="0"/>
              <w:spacing w:before="0" w:after="0"/>
              <w:rPr/>
            </w:pPr>
            <w:r>
              <w:rPr/>
              <w:t>Cấp lại giấy xác nhận nội dung quảng cáo mỹ phẩm trong trường hợp bị mất hoặc hư hỏng</w:t>
            </w:r>
          </w:p>
        </w:tc>
        <w:tc>
          <w:tcPr>
            <w:tcW w:w="3361" w:type="dxa"/>
            <w:tcBorders>
              <w:bottom w:val="single" w:sz="8" w:space="0" w:color="000000"/>
              <w:end w:val="single" w:sz="8" w:space="0" w:color="000000"/>
            </w:tcBorders>
          </w:tcPr>
          <w:p>
            <w:pPr>
              <w:pStyle w:val="Normal"/>
              <w:bidi w:val="0"/>
              <w:spacing w:before="0" w:after="0"/>
              <w:rPr/>
            </w:pPr>
            <w:r>
              <w:rPr/>
              <w:t>Thông tư số 03/2026/TT-BYT ngày 12 tháng 02 năm 2026 của Bộ trưởng Bộ Y tế bãi bỏ một số văn bản quy phạm pháp luật do Bộ trưởng Bộ Y tế ban hành</w:t>
            </w:r>
          </w:p>
        </w:tc>
        <w:tc>
          <w:tcPr>
            <w:tcW w:w="1484" w:type="dxa"/>
            <w:tcBorders>
              <w:bottom w:val="single" w:sz="8" w:space="0" w:color="000000"/>
              <w:end w:val="single" w:sz="8" w:space="0" w:color="000000"/>
            </w:tcBorders>
          </w:tcPr>
          <w:p>
            <w:pPr>
              <w:pStyle w:val="Normal"/>
              <w:bidi w:val="0"/>
              <w:spacing w:before="0" w:after="0"/>
              <w:jc w:val="center"/>
              <w:rPr/>
            </w:pPr>
            <w:r>
              <w:rPr/>
              <w:t>Mỹ phẩm</w:t>
            </w:r>
          </w:p>
        </w:tc>
        <w:tc>
          <w:tcPr>
            <w:tcW w:w="1325" w:type="dxa"/>
            <w:tcBorders>
              <w:bottom w:val="single" w:sz="8" w:space="0" w:color="000000"/>
              <w:end w:val="single" w:sz="8" w:space="0" w:color="000000"/>
            </w:tcBorders>
          </w:tcPr>
          <w:p>
            <w:pPr>
              <w:pStyle w:val="Normal"/>
              <w:bidi w:val="0"/>
              <w:spacing w:before="0" w:after="0"/>
              <w:jc w:val="center"/>
              <w:rPr/>
            </w:pPr>
            <w:r>
              <w:rPr/>
              <w:t>Sở Y tế</w:t>
            </w:r>
          </w:p>
        </w:tc>
      </w:tr>
      <w:tr>
        <w:trPr/>
        <w:tc>
          <w:tcPr>
            <w:tcW w:w="895" w:type="dxa"/>
            <w:tcBorders>
              <w:start w:val="single" w:sz="8" w:space="0" w:color="000000"/>
              <w:bottom w:val="single" w:sz="8" w:space="0" w:color="000000"/>
              <w:end w:val="single" w:sz="8" w:space="0" w:color="000000"/>
            </w:tcBorders>
          </w:tcPr>
          <w:p>
            <w:pPr>
              <w:pStyle w:val="Normal"/>
              <w:bidi w:val="0"/>
              <w:spacing w:before="0" w:after="0"/>
              <w:jc w:val="center"/>
              <w:rPr/>
            </w:pPr>
            <w:r>
              <w:rPr/>
              <w:t>3.</w:t>
            </w:r>
          </w:p>
        </w:tc>
        <w:tc>
          <w:tcPr>
            <w:tcW w:w="1311" w:type="dxa"/>
            <w:tcBorders>
              <w:bottom w:val="single" w:sz="8" w:space="0" w:color="000000"/>
              <w:end w:val="single" w:sz="8" w:space="0" w:color="000000"/>
            </w:tcBorders>
          </w:tcPr>
          <w:p>
            <w:pPr>
              <w:pStyle w:val="Normal"/>
              <w:bidi w:val="0"/>
              <w:spacing w:before="0" w:after="0"/>
              <w:jc w:val="center"/>
              <w:rPr/>
            </w:pPr>
            <w:r>
              <w:rPr/>
              <w:t>1.000793</w:t>
            </w:r>
          </w:p>
        </w:tc>
        <w:tc>
          <w:tcPr>
            <w:tcW w:w="1596" w:type="dxa"/>
            <w:tcBorders>
              <w:bottom w:val="single" w:sz="8" w:space="0" w:color="000000"/>
              <w:end w:val="single" w:sz="8" w:space="0" w:color="000000"/>
            </w:tcBorders>
          </w:tcPr>
          <w:p>
            <w:pPr>
              <w:pStyle w:val="Normal"/>
              <w:bidi w:val="0"/>
              <w:spacing w:before="0" w:after="0"/>
              <w:rPr/>
            </w:pPr>
            <w:r>
              <w:rPr/>
              <w:t>Cấp lại giấy xác nhận nội dung quảng cáo mỹ phẩm trong trường hợp hết hiệu lực tại Khoản 2 Điều 21 Thông tư số 09/2015/TT-BYT</w:t>
            </w:r>
          </w:p>
        </w:tc>
        <w:tc>
          <w:tcPr>
            <w:tcW w:w="3361" w:type="dxa"/>
            <w:tcBorders>
              <w:bottom w:val="single" w:sz="8" w:space="0" w:color="000000"/>
              <w:end w:val="single" w:sz="8" w:space="0" w:color="000000"/>
            </w:tcBorders>
          </w:tcPr>
          <w:p>
            <w:pPr>
              <w:pStyle w:val="Normal"/>
              <w:bidi w:val="0"/>
              <w:spacing w:before="0" w:after="0"/>
              <w:rPr/>
            </w:pPr>
            <w:r>
              <w:rPr/>
              <w:t>Thông tư số 03/2026/TT-BYT ngày 12 tháng 02 năm 2026 của Bộ trưởng Bộ Y tế bãi bỏ một số văn bản quy phạm pháp luật do Bộ trưởng Bộ Y tế ban hành</w:t>
            </w:r>
          </w:p>
        </w:tc>
        <w:tc>
          <w:tcPr>
            <w:tcW w:w="1484" w:type="dxa"/>
            <w:tcBorders>
              <w:bottom w:val="single" w:sz="8" w:space="0" w:color="000000"/>
              <w:end w:val="single" w:sz="8" w:space="0" w:color="000000"/>
            </w:tcBorders>
          </w:tcPr>
          <w:p>
            <w:pPr>
              <w:pStyle w:val="Normal"/>
              <w:bidi w:val="0"/>
              <w:spacing w:before="0" w:after="0"/>
              <w:jc w:val="center"/>
              <w:rPr/>
            </w:pPr>
            <w:r>
              <w:rPr/>
              <w:t>Mỹ phẩm</w:t>
            </w:r>
          </w:p>
        </w:tc>
        <w:tc>
          <w:tcPr>
            <w:tcW w:w="1325" w:type="dxa"/>
            <w:tcBorders>
              <w:bottom w:val="single" w:sz="8" w:space="0" w:color="000000"/>
              <w:end w:val="single" w:sz="8" w:space="0" w:color="000000"/>
            </w:tcBorders>
          </w:tcPr>
          <w:p>
            <w:pPr>
              <w:pStyle w:val="Normal"/>
              <w:bidi w:val="0"/>
              <w:spacing w:before="0" w:after="0"/>
              <w:jc w:val="center"/>
              <w:rPr/>
            </w:pPr>
            <w:r>
              <w:rPr/>
              <w:t>Sở Y tế</w:t>
            </w:r>
          </w:p>
        </w:tc>
      </w:tr>
      <w:tr>
        <w:trPr/>
        <w:tc>
          <w:tcPr>
            <w:tcW w:w="895" w:type="dxa"/>
            <w:tcBorders>
              <w:start w:val="single" w:sz="8" w:space="0" w:color="000000"/>
              <w:bottom w:val="single" w:sz="8" w:space="0" w:color="000000"/>
              <w:end w:val="single" w:sz="8" w:space="0" w:color="000000"/>
            </w:tcBorders>
          </w:tcPr>
          <w:p>
            <w:pPr>
              <w:pStyle w:val="Normal"/>
              <w:bidi w:val="0"/>
              <w:spacing w:before="0" w:after="0"/>
              <w:jc w:val="center"/>
              <w:rPr/>
            </w:pPr>
            <w:r>
              <w:rPr/>
              <w:t>4.</w:t>
            </w:r>
          </w:p>
        </w:tc>
        <w:tc>
          <w:tcPr>
            <w:tcW w:w="1311" w:type="dxa"/>
            <w:tcBorders>
              <w:bottom w:val="single" w:sz="8" w:space="0" w:color="000000"/>
              <w:end w:val="single" w:sz="8" w:space="0" w:color="000000"/>
            </w:tcBorders>
          </w:tcPr>
          <w:p>
            <w:pPr>
              <w:pStyle w:val="Normal"/>
              <w:bidi w:val="0"/>
              <w:spacing w:before="0" w:after="0"/>
              <w:jc w:val="center"/>
              <w:rPr/>
            </w:pPr>
            <w:r>
              <w:rPr/>
              <w:t>1.000662</w:t>
            </w:r>
          </w:p>
        </w:tc>
        <w:tc>
          <w:tcPr>
            <w:tcW w:w="1596" w:type="dxa"/>
            <w:tcBorders>
              <w:bottom w:val="single" w:sz="8" w:space="0" w:color="000000"/>
              <w:end w:val="single" w:sz="8" w:space="0" w:color="000000"/>
            </w:tcBorders>
          </w:tcPr>
          <w:p>
            <w:pPr>
              <w:pStyle w:val="Normal"/>
              <w:bidi w:val="0"/>
              <w:spacing w:before="0" w:after="0"/>
              <w:rPr/>
            </w:pPr>
            <w:r>
              <w:rPr/>
              <w:t>Cấp lại giấy xác nhận nội dung quảng cáo mỹ phẩm khi có thay đổi về tên, địa chỉ của tổ chức, cá nhân chịu trách nhiệm và không thay đổi nội dung quảng cáo</w:t>
            </w:r>
          </w:p>
        </w:tc>
        <w:tc>
          <w:tcPr>
            <w:tcW w:w="3361" w:type="dxa"/>
            <w:tcBorders>
              <w:bottom w:val="single" w:sz="8" w:space="0" w:color="000000"/>
              <w:end w:val="single" w:sz="8" w:space="0" w:color="000000"/>
            </w:tcBorders>
          </w:tcPr>
          <w:p>
            <w:pPr>
              <w:pStyle w:val="Normal"/>
              <w:bidi w:val="0"/>
              <w:spacing w:before="0" w:after="0"/>
              <w:rPr/>
            </w:pPr>
            <w:r>
              <w:rPr/>
              <w:t>Thông tư số 03/2026/TT- BYT ngày 12 tháng 02 năm 2026 của Bộ trưởng Bộ Y tế bãi bỏ một số văn bản quy phạm pháp luật do Bộ trưởng Bộ Y tế ban hành</w:t>
            </w:r>
          </w:p>
        </w:tc>
        <w:tc>
          <w:tcPr>
            <w:tcW w:w="1484" w:type="dxa"/>
            <w:tcBorders>
              <w:bottom w:val="single" w:sz="8" w:space="0" w:color="000000"/>
              <w:end w:val="single" w:sz="8" w:space="0" w:color="000000"/>
            </w:tcBorders>
          </w:tcPr>
          <w:p>
            <w:pPr>
              <w:pStyle w:val="Normal"/>
              <w:bidi w:val="0"/>
              <w:spacing w:before="0" w:after="0"/>
              <w:jc w:val="center"/>
              <w:rPr/>
            </w:pPr>
            <w:r>
              <w:rPr/>
              <w:t>Mỹ phẩm</w:t>
            </w:r>
          </w:p>
        </w:tc>
        <w:tc>
          <w:tcPr>
            <w:tcW w:w="1325" w:type="dxa"/>
            <w:tcBorders>
              <w:bottom w:val="single" w:sz="8" w:space="0" w:color="000000"/>
              <w:end w:val="single" w:sz="8" w:space="0" w:color="000000"/>
            </w:tcBorders>
          </w:tcPr>
          <w:p>
            <w:pPr>
              <w:pStyle w:val="Normal"/>
              <w:bidi w:val="0"/>
              <w:spacing w:before="0" w:after="0"/>
              <w:jc w:val="center"/>
              <w:rPr/>
            </w:pPr>
            <w:r>
              <w:rPr/>
              <w:t>Sở Y tế</w:t>
            </w:r>
          </w:p>
        </w:tc>
      </w:tr>
    </w:tbl>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