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color w:val="000000"/>
                <w:sz w:val="20"/>
              </w:rPr>
              <w:t>ỦY BAN NHÂN DÂN</w:t>
            </w:r>
            <w:r>
              <w:rPr>
                <w:color w:val="000000"/>
                <w:sz w:val="20"/>
              </w:rPr>
              <w:br/>
            </w:r>
            <w:r>
              <w:rPr>
                <w:b/>
                <w:bCs/>
                <w:color w:val="000000"/>
                <w:sz w:val="20"/>
              </w:rPr>
              <w:t>TỈNH THANH HÓA</w:t>
              <w:br/>
              <w:t>--------</w:t>
            </w:r>
          </w:p>
        </w:tc>
        <w:tc>
          <w:tcPr>
            <w:tcW w:w="6607" w:type="dxa"/>
            <w:tcBorders/>
          </w:tcPr>
          <w:p>
            <w:pPr>
              <w:pStyle w:val="Normal"/>
              <w:bidi w:val="0"/>
              <w:spacing w:before="0" w:after="0"/>
              <w:jc w:val="center"/>
              <w:rPr/>
            </w:pPr>
            <w:r>
              <w:rPr>
                <w:b/>
                <w:bCs/>
                <w:sz w:val="20"/>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color w:val="000000"/>
                <w:sz w:val="20"/>
              </w:rPr>
              <w:t>Số: 732/QĐ-UBND</w:t>
            </w:r>
          </w:p>
        </w:tc>
        <w:tc>
          <w:tcPr>
            <w:tcW w:w="6607" w:type="dxa"/>
            <w:tcBorders/>
          </w:tcPr>
          <w:p>
            <w:pPr>
              <w:pStyle w:val="Normal"/>
              <w:bidi w:val="0"/>
              <w:spacing w:before="0" w:after="0"/>
              <w:jc w:val="end"/>
              <w:rPr/>
            </w:pPr>
            <w:r>
              <w:rPr>
                <w:i/>
                <w:iCs/>
                <w:color w:val="000000"/>
                <w:sz w:val="20"/>
              </w:rPr>
              <w:t xml:space="preserve">Thanh Hóa, ngày 16 tháng 3 năm 2026 </w:t>
            </w:r>
          </w:p>
        </w:tc>
      </w:tr>
    </w:tbl>
    <w:p>
      <w:pPr>
        <w:pStyle w:val="Normal"/>
        <w:bidi w:val="0"/>
        <w:spacing w:before="0" w:after="120"/>
        <w:rPr>
          <w:sz w:val="20"/>
        </w:rPr>
      </w:pPr>
      <w:r>
        <w:rPr>
          <w:sz w:val="20"/>
        </w:rPr>
        <w:t> </w:t>
      </w:r>
    </w:p>
    <w:p>
      <w:pPr>
        <w:pStyle w:val="Normal"/>
        <w:bidi w:val="0"/>
        <w:spacing w:before="0" w:after="120"/>
        <w:jc w:val="center"/>
        <w:rPr>
          <w:b/>
          <w:bCs/>
          <w:sz w:val="24"/>
        </w:rPr>
      </w:pPr>
      <w:r>
        <w:rPr>
          <w:b/>
          <w:bCs/>
          <w:sz w:val="24"/>
        </w:rPr>
        <w:t>QUYẾT ĐỊNH</w:t>
      </w:r>
    </w:p>
    <w:p>
      <w:pPr>
        <w:pStyle w:val="Normal"/>
        <w:bidi w:val="0"/>
        <w:spacing w:before="0" w:after="120"/>
        <w:jc w:val="center"/>
        <w:rPr>
          <w:sz w:val="20"/>
        </w:rPr>
      </w:pPr>
      <w:r>
        <w:rPr>
          <w:sz w:val="20"/>
        </w:rPr>
        <w:t>BÃI BỎ MỘT PHẦN NỘI DUNG QUY ĐỊNH CHI TIẾT VỀ QUẢN LÝ CHẤT THẢI RẮN SINH HOẠT CỦA HỘ GIA ĐÌNH, CÁ NHÂN TRÊN ĐỊA BÀN TỈNH THANH HOÁ BAN HÀNH KÈM THEO QUYẾT ĐỊNH SỐ 13/2022/QĐ-UBND NGÀY 02/3/2022 CỦA UBND TỈNH</w:t>
      </w:r>
    </w:p>
    <w:p>
      <w:pPr>
        <w:pStyle w:val="Normal"/>
        <w:bidi w:val="0"/>
        <w:spacing w:before="0" w:after="120"/>
        <w:jc w:val="center"/>
        <w:rPr>
          <w:b/>
          <w:bCs/>
          <w:sz w:val="24"/>
        </w:rPr>
      </w:pPr>
      <w:r>
        <w:rPr>
          <w:b/>
          <w:bCs/>
          <w:sz w:val="24"/>
        </w:rPr>
        <w:t>ỦY BAN NHÂN DÂN TỈNH THANH HÓA</w:t>
      </w:r>
    </w:p>
    <w:p>
      <w:pPr>
        <w:pStyle w:val="Normal"/>
        <w:bidi w:val="0"/>
        <w:spacing w:before="0" w:after="120"/>
        <w:rPr>
          <w:i/>
          <w:iCs/>
          <w:sz w:val="20"/>
        </w:rPr>
      </w:pPr>
      <w:r>
        <w:rPr>
          <w:i/>
          <w:iCs/>
          <w:sz w:val="20"/>
        </w:rPr>
        <w:t>Căn cứ Luật Tổ chức chính quyền địa phương ngày 16/6/2025;</w:t>
      </w:r>
    </w:p>
    <w:p>
      <w:pPr>
        <w:pStyle w:val="Normal"/>
        <w:bidi w:val="0"/>
        <w:spacing w:before="0" w:after="120"/>
        <w:rPr>
          <w:i/>
          <w:iCs/>
          <w:sz w:val="20"/>
        </w:rPr>
      </w:pPr>
      <w:r>
        <w:rPr>
          <w:i/>
          <w:iCs/>
          <w:sz w:val="20"/>
        </w:rPr>
        <w:t>Căn cứ Luật Ban hành văn bản quy phạm pháp luật ngày 19/02/2025;</w:t>
      </w:r>
    </w:p>
    <w:p>
      <w:pPr>
        <w:pStyle w:val="Normal"/>
        <w:bidi w:val="0"/>
        <w:spacing w:before="0" w:after="120"/>
        <w:rPr>
          <w:i/>
          <w:iCs/>
          <w:sz w:val="20"/>
        </w:rPr>
      </w:pPr>
      <w:r>
        <w:rPr>
          <w:i/>
          <w:iCs/>
          <w:sz w:val="20"/>
        </w:rPr>
        <w:t>Căn cứ các Nghị định của Chính phủ: Số 30/2020/NĐ -CP ngày 05/3/2020 về công tác văn thư; số 78/2025/NĐ-CP ngày 01/4/2025 quy định chi tiết mộ t số điều và biện pháp để tổ chức, hướng dẫn thi hành Luật Ban hành văn bả n quy phạm pháp luật; số 79/2025/NĐ-CP ngày 01/4/2025 về kiểm tra, rà soát, hệ thống hoá và xử lý văn bản quy phạm pháp luật;</w:t>
      </w:r>
    </w:p>
    <w:p>
      <w:pPr>
        <w:pStyle w:val="Normal"/>
        <w:bidi w:val="0"/>
        <w:spacing w:before="0" w:after="120"/>
        <w:rPr>
          <w:i/>
          <w:iCs/>
          <w:sz w:val="20"/>
        </w:rPr>
      </w:pPr>
      <w:r>
        <w:rPr>
          <w:i/>
          <w:iCs/>
          <w:sz w:val="20"/>
        </w:rPr>
        <w:t>Căn cứ Kết luận kiểm tra số 02/KL-KTVB&amp;QLXLVPHC ngày 05/9/2025 của Cục Kiểm tra văn bản và Quản lý xử lý vi phạm hành chính – Bộ Tư pháp đối với Quyết định số 13/2022/QĐ-UBND ngày 02/3/2022 của Ủy ban nhân d â n tỉnh Thanh Hóa ban hành quy định chi tiết quản lý chất thải rắn sinh hoạt của hộ gia đình, cá nhân trên địa bàn tỉnh Thanh Hóa;</w:t>
      </w:r>
    </w:p>
    <w:p>
      <w:pPr>
        <w:pStyle w:val="Normal"/>
        <w:bidi w:val="0"/>
        <w:spacing w:before="0" w:after="120"/>
        <w:rPr>
          <w:i/>
          <w:iCs/>
          <w:sz w:val="20"/>
        </w:rPr>
      </w:pPr>
      <w:r>
        <w:rPr>
          <w:i/>
          <w:iCs/>
          <w:sz w:val="20"/>
        </w:rPr>
        <w:t>Theo đề nghị của Giám đốc Sở Nông nghiệp và Môi trường tại Tờ trình số 332/TTr-SNNMT ngày 04/3/2026 về việc đề nghị ban hành Quyết định của UBND tỉnh bãi bỏ một phần nội dung của Quy định ban hành kèm theo Quyết định số 13/2022/QĐ-UBND ngày 02/3/2022 của UBND tỉnh về việc ban hành quy định chi tiết quản lý chất thải rắn sinh hoạt của hộ gia đình, cá nhân trên địa bàn tỉnh Thanh Hoá.</w:t>
      </w:r>
    </w:p>
    <w:p>
      <w:pPr>
        <w:pStyle w:val="Normal"/>
        <w:bidi w:val="0"/>
        <w:spacing w:before="0" w:after="120"/>
        <w:jc w:val="center"/>
        <w:rPr>
          <w:b/>
          <w:bCs/>
          <w:sz w:val="24"/>
        </w:rPr>
      </w:pPr>
      <w:r>
        <w:rPr>
          <w:b/>
          <w:bCs/>
          <w:sz w:val="24"/>
        </w:rPr>
        <w:t>QUYẾT ĐỊNH:</w:t>
      </w:r>
    </w:p>
    <w:p>
      <w:pPr>
        <w:pStyle w:val="Normal"/>
        <w:bidi w:val="0"/>
        <w:spacing w:before="0" w:after="120"/>
        <w:rPr/>
      </w:pPr>
      <w:r>
        <w:rPr>
          <w:b/>
          <w:bCs/>
          <w:sz w:val="20"/>
        </w:rPr>
        <w:t xml:space="preserve">Điều 1. </w:t>
      </w:r>
      <w:r>
        <w:rPr>
          <w:sz w:val="20"/>
        </w:rPr>
        <w:t>Bãi bỏ một phần nội dung Quy định chi tiết về quản lý chất thải rắn sinh hoạt của hộ gia đình, cá nhân trên địa bàn tỉnh Thanh Hoá ban hành kèm theo Quyết định số 13/2022/QĐ-UBND ngày 02/3/2022 của UBND tỉnh; cụ thể như sau:</w:t>
      </w:r>
    </w:p>
    <w:p>
      <w:pPr>
        <w:pStyle w:val="Normal"/>
        <w:bidi w:val="0"/>
        <w:spacing w:before="0" w:after="120"/>
        <w:rPr>
          <w:sz w:val="20"/>
        </w:rPr>
      </w:pPr>
      <w:r>
        <w:rPr>
          <w:sz w:val="20"/>
        </w:rPr>
        <w:t>1. Bãi bỏ khoản 3 Điều 4 của Quy định chi tiết về quản lý chất thải rắn sinh hoạt của hộ gia đình, cá nhân trên địa bàn tỉnh Thanh Hoá ban hành kèm theo Quyết định số 13/2022/QĐ-UBND ngày 02/3/2022 của UBND tỉnh.</w:t>
      </w:r>
    </w:p>
    <w:p>
      <w:pPr>
        <w:pStyle w:val="Normal"/>
        <w:bidi w:val="0"/>
        <w:spacing w:before="0" w:after="120"/>
        <w:rPr>
          <w:color w:val="000000"/>
          <w:sz w:val="20"/>
        </w:rPr>
      </w:pPr>
      <w:r>
        <w:rPr>
          <w:color w:val="000000"/>
          <w:sz w:val="20"/>
        </w:rPr>
        <w:t xml:space="preserve">2. Bãi bỏ gạch đầu dòng thứ 5 khoản 2 Điều 5 của Quy định chi tiết về quản lý chất thải rắn sinh hoạt của hộ gia đình, cá nhân trên địa bàn tỉnh Thanh Hoá ban hành kèm theo Quyết định số 13/2022/QĐ-UBND ngày 02/3/2022 của UBND tỉnh. </w:t>
      </w:r>
    </w:p>
    <w:p>
      <w:pPr>
        <w:pStyle w:val="Normal"/>
        <w:bidi w:val="0"/>
        <w:spacing w:before="0" w:after="120"/>
        <w:rPr/>
      </w:pPr>
      <w:r>
        <w:rPr>
          <w:b/>
          <w:bCs/>
          <w:color w:val="000000"/>
          <w:sz w:val="20"/>
        </w:rPr>
        <w:t xml:space="preserve">Điều 2. </w:t>
      </w:r>
      <w:r>
        <w:rPr>
          <w:color w:val="000000"/>
          <w:sz w:val="20"/>
        </w:rPr>
        <w:t xml:space="preserve">Quyết định này có hiệu lực thi hành kể từ ngày ký. </w:t>
      </w:r>
    </w:p>
    <w:p>
      <w:pPr>
        <w:pStyle w:val="Normal"/>
        <w:bidi w:val="0"/>
        <w:spacing w:before="0" w:after="120"/>
        <w:rPr>
          <w:color w:val="000000"/>
          <w:sz w:val="20"/>
        </w:rPr>
      </w:pPr>
      <w:r>
        <w:rPr>
          <w:color w:val="000000"/>
          <w:sz w:val="20"/>
        </w:rPr>
        <w:t xml:space="preserve">Chánh Văn phòng Ủy ban nhân dân tỉnh; Giám đốc các Sở, Thủ trưởng các ban, ngành cấp tỉnh; Chủ tịch Ủy ban nhân dân các xã, phường và các cơ quan, tổ chức, cá nhân có liên quan chịu trách nhiệm thi hành Quyết định này./. </w:t>
      </w:r>
    </w:p>
    <w:p>
      <w:pPr>
        <w:pStyle w:val="Normal"/>
        <w:bidi w:val="0"/>
        <w:spacing w:before="0" w:after="120"/>
        <w:rPr>
          <w:color w:val="000000"/>
          <w:sz w:val="20"/>
        </w:rPr>
      </w:pPr>
      <w:r>
        <w:rPr>
          <w:color w:val="000000"/>
          <w:sz w:val="20"/>
        </w:rPr>
        <w:t> </w:t>
      </w:r>
    </w:p>
    <w:tbl>
      <w:tblPr>
        <w:tblW w:w="8610" w:type="dxa"/>
        <w:jc w:val="start"/>
        <w:tblInd w:w="0" w:type="dxa"/>
        <w:tblLayout w:type="fixed"/>
        <w:tblCellMar>
          <w:top w:w="0" w:type="dxa"/>
          <w:start w:w="108" w:type="dxa"/>
          <w:bottom w:w="0" w:type="dxa"/>
          <w:end w:w="108" w:type="dxa"/>
        </w:tblCellMar>
      </w:tblPr>
      <w:tblGrid>
        <w:gridCol w:w="4304"/>
        <w:gridCol w:w="4306"/>
      </w:tblGrid>
      <w:tr>
        <w:trPr/>
        <w:tc>
          <w:tcPr>
            <w:tcW w:w="4304" w:type="dxa"/>
            <w:tcBorders/>
          </w:tcPr>
          <w:p>
            <w:pPr>
              <w:pStyle w:val="Normal"/>
              <w:bidi w:val="0"/>
              <w:spacing w:before="0" w:after="120"/>
              <w:rPr>
                <w:b/>
                <w:bCs/>
                <w:i/>
                <w:iCs/>
                <w:color w:val="000000"/>
                <w:sz w:val="16"/>
              </w:rPr>
            </w:pPr>
            <w:r>
              <w:rPr>
                <w:b/>
                <w:bCs/>
                <w:i/>
                <w:iCs/>
                <w:color w:val="000000"/>
                <w:sz w:val="16"/>
              </w:rPr>
              <w:t> </w:t>
            </w:r>
          </w:p>
          <w:p>
            <w:pPr>
              <w:pStyle w:val="Normal"/>
              <w:bidi w:val="0"/>
              <w:spacing w:before="0" w:after="0"/>
              <w:rPr/>
            </w:pPr>
            <w:r>
              <w:rPr>
                <w:b/>
                <w:bCs/>
                <w:i/>
                <w:iCs/>
                <w:color w:val="000000"/>
                <w:sz w:val="20"/>
              </w:rPr>
              <w:t xml:space="preserve">Nơi nhận: </w:t>
              <w:br/>
            </w:r>
            <w:r>
              <w:rPr>
                <w:color w:val="000000"/>
                <w:sz w:val="16"/>
              </w:rPr>
              <w:t xml:space="preserve">- Như Điều 2 QĐ; </w:t>
              <w:br/>
              <w:t>- Văn phòng Chính phủ (để b/c);</w:t>
              <w:br/>
              <w:t>- Bộ Nông nghiệp và Môi trường (để b/c);</w:t>
              <w:br/>
              <w:t xml:space="preserve">- Bộ Tư pháp (để b/c); </w:t>
              <w:br/>
              <w:t>- Thường trực Tỉnh uỷ (để b/c);</w:t>
              <w:br/>
              <w:t>- Thường trực HĐND tỉnh (để b/c);</w:t>
              <w:br/>
              <w:t>- Chủ tịch UBND tỉnh (để b/c);</w:t>
              <w:br/>
              <w:t xml:space="preserve">- Các PCT UBND tỉnh; </w:t>
              <w:br/>
              <w:t xml:space="preserve">- Đoàn ĐBQH tỉnh; </w:t>
              <w:br/>
              <w:t xml:space="preserve">- Ủy ban MTTQ Việt Nam tỉnh; </w:t>
              <w:br/>
              <w:t xml:space="preserve">- Báo và Phát thanh, truyền hình Thanh Hóa; </w:t>
              <w:br/>
              <w:t xml:space="preserve">- Cổng Thông tin điện tử tỉnh; </w:t>
              <w:br/>
              <w:t xml:space="preserve">- Trung tâm Thông tin và Công báo tỉnh; </w:t>
              <w:br/>
              <w:t xml:space="preserve">- Lưu: VT, NNMT. </w:t>
            </w:r>
          </w:p>
        </w:tc>
        <w:tc>
          <w:tcPr>
            <w:tcW w:w="4306" w:type="dxa"/>
            <w:tcBorders/>
          </w:tcPr>
          <w:p>
            <w:pPr>
              <w:pStyle w:val="Normal"/>
              <w:bidi w:val="0"/>
              <w:spacing w:before="0" w:after="0"/>
              <w:jc w:val="center"/>
              <w:rPr/>
            </w:pPr>
            <w:r>
              <w:rPr>
                <w:b/>
                <w:bCs/>
                <w:color w:val="000000"/>
                <w:sz w:val="20"/>
              </w:rPr>
              <w:t>TM. ỦY BAN NHÂN DÂN</w:t>
            </w:r>
            <w:r>
              <w:rPr>
                <w:color w:val="000000"/>
                <w:sz w:val="20"/>
              </w:rPr>
              <w:br/>
            </w:r>
            <w:r>
              <w:rPr>
                <w:b/>
                <w:bCs/>
                <w:color w:val="000000"/>
                <w:sz w:val="20"/>
              </w:rPr>
              <w:t>KT. CHỦ TỊCH</w:t>
            </w:r>
            <w:r>
              <w:rPr>
                <w:color w:val="000000"/>
                <w:sz w:val="20"/>
              </w:rPr>
              <w:br/>
            </w:r>
            <w:r>
              <w:rPr>
                <w:b/>
                <w:bCs/>
                <w:color w:val="000000"/>
                <w:sz w:val="20"/>
              </w:rPr>
              <w:t>PHÓ CHỦ TỊCH</w:t>
              <w:br/>
              <w:br/>
              <w:br/>
              <w:br/>
            </w:r>
            <w:r>
              <w:rPr>
                <w:color w:val="000000"/>
                <w:sz w:val="20"/>
              </w:rPr>
              <w:br/>
            </w:r>
            <w:r>
              <w:rPr>
                <w:b/>
                <w:bCs/>
                <w:color w:val="000000"/>
                <w:sz w:val="20"/>
              </w:rPr>
              <w:t>Cao Văn Cường</w:t>
            </w:r>
          </w:p>
        </w:tc>
      </w:tr>
    </w:tbl>
    <w:p>
      <w:pPr>
        <w:pStyle w:val="Normal"/>
        <w:bidi w:val="0"/>
        <w:spacing w:before="0" w:after="120"/>
        <w:rPr>
          <w:sz w:val="20"/>
        </w:rPr>
      </w:pPr>
      <w:r>
        <w:rPr>
          <w:sz w:val="20"/>
        </w:rPr>
        <w:t> </w:t>
      </w:r>
    </w:p>
    <w:p>
      <w:pPr>
        <w:pStyle w:val="Normal"/>
        <w:bidi w:val="0"/>
        <w:spacing w:before="0" w:after="120"/>
        <w:rPr>
          <w:sz w:val="20"/>
        </w:rPr>
      </w:pPr>
      <w:r>
        <w:rPr>
          <w:sz w:val="2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