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769"/>
        <w:gridCol w:w="6203"/>
      </w:tblGrid>
      <w:tr>
        <w:trPr/>
        <w:tc>
          <w:tcPr>
            <w:tcW w:w="3769" w:type="dxa"/>
            <w:tcBorders/>
          </w:tcPr>
          <w:p>
            <w:pPr>
              <w:pStyle w:val="Normal"/>
              <w:bidi w:val="0"/>
              <w:spacing w:before="120" w:after="0"/>
              <w:jc w:val="center"/>
              <w:rPr/>
            </w:pPr>
            <w:r>
              <w:rPr>
                <w:b/>
                <w:bCs/>
              </w:rPr>
              <w:t xml:space="preserve">ỦY BAN NHÂN DÂN </w:t>
              <w:br/>
              <w:t>TỈNH QUẢNG TRỊ</w:t>
              <w:br/>
              <w:t>-------</w:t>
            </w:r>
          </w:p>
        </w:tc>
        <w:tc>
          <w:tcPr>
            <w:tcW w:w="6203"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769" w:type="dxa"/>
            <w:tcBorders/>
          </w:tcPr>
          <w:p>
            <w:pPr>
              <w:pStyle w:val="Normal"/>
              <w:bidi w:val="0"/>
              <w:spacing w:before="120" w:after="0"/>
              <w:jc w:val="center"/>
              <w:rPr/>
            </w:pPr>
            <w:r>
              <w:rPr/>
              <w:t>Số: 794/QĐ-UBND</w:t>
            </w:r>
          </w:p>
        </w:tc>
        <w:tc>
          <w:tcPr>
            <w:tcW w:w="6203" w:type="dxa"/>
            <w:tcBorders/>
          </w:tcPr>
          <w:p>
            <w:pPr>
              <w:pStyle w:val="Normal"/>
              <w:bidi w:val="0"/>
              <w:spacing w:before="120" w:after="0"/>
              <w:jc w:val="end"/>
              <w:rPr/>
            </w:pPr>
            <w:r>
              <w:rPr>
                <w:i/>
                <w:iCs/>
              </w:rPr>
              <w:t>Quảng Trị, ngày 09 tháng 3 năm 2026</w:t>
            </w:r>
          </w:p>
        </w:tc>
      </w:tr>
    </w:tbl>
    <w:p>
      <w:pPr>
        <w:pStyle w:val="Normal"/>
        <w:bidi w:val="0"/>
        <w:spacing w:before="120" w:after="280"/>
        <w:rPr/>
      </w:pPr>
      <w:r>
        <w:rPr/>
        <w:t> </w:t>
      </w:r>
    </w:p>
    <w:p>
      <w:pPr>
        <w:pStyle w:val="Normal"/>
        <w:bidi w:val="0"/>
        <w:spacing w:before="120" w:after="280"/>
        <w:jc w:val="center"/>
        <w:rPr>
          <w:b/>
          <w:bCs/>
          <w:sz w:val="24"/>
        </w:rPr>
      </w:pPr>
      <w:r>
        <w:rPr>
          <w:b/>
          <w:bCs/>
          <w:sz w:val="24"/>
        </w:rPr>
        <w:t>QUYẾT ĐỊNH</w:t>
      </w:r>
    </w:p>
    <w:p>
      <w:pPr>
        <w:pStyle w:val="Normal"/>
        <w:bidi w:val="0"/>
        <w:spacing w:before="120" w:after="280"/>
        <w:jc w:val="center"/>
        <w:rPr/>
      </w:pPr>
      <w:r>
        <w:rPr/>
        <w:t>CÔNG BỐ DANH MỤC THỦ TỤC HÀNH CHÍNH MỚI BAN HÀNH TRONG LĨNH VỰC PHÁT THANH TRUYỀN HÌNH VÀ THÔNG TIN ĐIỆN TỬ THUỘC THẨM QUYỀN GIẢI QUYẾT CỦA SỞ VĂN HÓA, THỂ THAO VÀ DU LỊCH TỈNH QUẢNG TRỊ</w:t>
      </w:r>
    </w:p>
    <w:p>
      <w:pPr>
        <w:pStyle w:val="Normal"/>
        <w:bidi w:val="0"/>
        <w:spacing w:before="120" w:after="280"/>
        <w:jc w:val="center"/>
        <w:rPr>
          <w:b/>
          <w:bCs/>
          <w:sz w:val="24"/>
        </w:rPr>
      </w:pPr>
      <w:r>
        <w:rPr>
          <w:b/>
          <w:bCs/>
          <w:sz w:val="24"/>
        </w:rPr>
        <w:t>CHỦ TỊCH ỦY BAN NHÂN DÂN TỈNH QUẢNG TRỊ</w:t>
      </w:r>
    </w:p>
    <w:p>
      <w:pPr>
        <w:pStyle w:val="Normal"/>
        <w:bidi w:val="0"/>
        <w:spacing w:before="120" w:after="280"/>
        <w:rPr>
          <w:i/>
          <w:iCs/>
        </w:rPr>
      </w:pPr>
      <w:r>
        <w:rPr>
          <w:i/>
          <w:iCs/>
        </w:rPr>
        <w:t>Căn cứ Luật Tổ chức chính quyền địa phương ngày 16/6/2025;</w:t>
      </w:r>
    </w:p>
    <w:p>
      <w:pPr>
        <w:pStyle w:val="Normal"/>
        <w:bidi w:val="0"/>
        <w:spacing w:before="120" w:after="280"/>
        <w:rPr>
          <w:i/>
          <w:iCs/>
        </w:rPr>
      </w:pPr>
      <w:r>
        <w:rPr>
          <w:i/>
          <w:iCs/>
        </w:rPr>
        <w:t>Căn cứ Nghị định số 63/2010/NĐ-CP ngày 08/6/2010 của Chính phủ về kiểm soát thủ tục hành chính;</w:t>
      </w:r>
    </w:p>
    <w:p>
      <w:pPr>
        <w:pStyle w:val="Normal"/>
        <w:bidi w:val="0"/>
        <w:spacing w:before="120" w:after="280"/>
        <w:rPr>
          <w:i/>
          <w:iCs/>
        </w:rPr>
      </w:pPr>
      <w:r>
        <w:rPr>
          <w:i/>
          <w:iCs/>
        </w:rPr>
        <w:t>Căn cứ Nghị định số 92/2017/NĐ-CP ngày 07/8/2017 của Chính phủ sửa đổi, bổ sung một số điều của các nghị định liên quan đến kiểm soát thủ tục hành chính;</w:t>
      </w:r>
    </w:p>
    <w:p>
      <w:pPr>
        <w:pStyle w:val="Normal"/>
        <w:bidi w:val="0"/>
        <w:spacing w:before="120" w:after="280"/>
        <w:rPr>
          <w:i/>
          <w:iCs/>
        </w:rPr>
      </w:pPr>
      <w:r>
        <w:rPr>
          <w:i/>
          <w:iCs/>
        </w:rPr>
        <w:t>Căn cứ Thông tư số 02/2017/TT-VPCP ngày 31/10/2017 của Bộ trưởng, Chủ nhiệm Văn phòng Chính phủ về việc hướng dẫn về nghiệp vụ kiểm soát thủ tục hành chính;</w:t>
      </w:r>
    </w:p>
    <w:p>
      <w:pPr>
        <w:pStyle w:val="Normal"/>
        <w:bidi w:val="0"/>
        <w:spacing w:before="120" w:after="280"/>
        <w:rPr>
          <w:i/>
          <w:iCs/>
        </w:rPr>
      </w:pPr>
      <w:r>
        <w:rPr>
          <w:i/>
          <w:iCs/>
        </w:rPr>
        <w:t>Căn cứ Quyết định số 304/QĐ-BVHTTDL ngày 11/02/2026 của Bộ trưởng Bộ Văn hóa, Thể thao và Du lịch về việc công bố thủ tục hành chính mới ban hành, được thay thế trong lĩnh vực Phát thanh truyền hình và thông tin điện tử thuộc phạm vi chức năng quản lý của Bộ Văn hóa, Thể thao và Du lịch;</w:t>
      </w:r>
    </w:p>
    <w:p>
      <w:pPr>
        <w:pStyle w:val="Normal"/>
        <w:bidi w:val="0"/>
        <w:spacing w:before="120" w:after="280"/>
        <w:rPr>
          <w:i/>
          <w:iCs/>
        </w:rPr>
      </w:pPr>
      <w:r>
        <w:rPr>
          <w:i/>
          <w:iCs/>
        </w:rPr>
        <w:t>Theo đề nghị của Giám đốc Sở Văn hóa, Thể thao và Du lịch tại Tờ trình số 710/TTr-SVHTTDL ngày 27/02/2026 và đề nghị của Chánh văn phòng UBND tỉnh.</w:t>
      </w:r>
    </w:p>
    <w:p>
      <w:pPr>
        <w:pStyle w:val="Normal"/>
        <w:bidi w:val="0"/>
        <w:spacing w:before="120" w:after="280"/>
        <w:jc w:val="center"/>
        <w:rPr>
          <w:b/>
          <w:bCs/>
          <w:sz w:val="24"/>
        </w:rPr>
      </w:pPr>
      <w:r>
        <w:rPr>
          <w:b/>
          <w:bCs/>
          <w:sz w:val="24"/>
        </w:rPr>
        <w:t>QUYẾT ĐỊNH:</w:t>
      </w:r>
    </w:p>
    <w:p>
      <w:pPr>
        <w:pStyle w:val="Normal"/>
        <w:bidi w:val="0"/>
        <w:spacing w:before="120" w:after="280"/>
        <w:rPr/>
      </w:pPr>
      <w:r>
        <w:rPr>
          <w:b/>
          <w:bCs/>
        </w:rPr>
        <w:t>Điều 1</w:t>
      </w:r>
      <w:r>
        <w:rPr/>
        <w:t xml:space="preserve">. Công bố kèm theo Quyết định này Danh mục thủ tục hành chính mới ban hành trong lĩnh vực Phát thanh truyền hình và thông tin điện tử thuộc thẩm quyền giải quyết của Sở Văn hóa, Thể thao và Du lịch tỉnh Quảng Trị </w:t>
      </w:r>
      <w:r>
        <w:rPr>
          <w:i/>
          <w:iCs/>
        </w:rPr>
        <w:t>(có Phụ lục kèm theo).</w:t>
      </w:r>
    </w:p>
    <w:p>
      <w:pPr>
        <w:pStyle w:val="Normal"/>
        <w:bidi w:val="0"/>
        <w:spacing w:before="120" w:after="280"/>
        <w:rPr/>
      </w:pPr>
      <w:r>
        <w:rPr>
          <w:b/>
          <w:bCs/>
        </w:rPr>
        <w:t xml:space="preserve">Điều 2. </w:t>
      </w:r>
      <w:r>
        <w:rPr/>
        <w:t>Tổ chức thực hiện</w:t>
      </w:r>
    </w:p>
    <w:p>
      <w:pPr>
        <w:pStyle w:val="Normal"/>
        <w:bidi w:val="0"/>
        <w:spacing w:before="120" w:after="280"/>
        <w:rPr/>
      </w:pPr>
      <w:r>
        <w:rPr/>
        <w:t>1. Sở Văn hóa, Thể thao và Du lịch:</w:t>
      </w:r>
    </w:p>
    <w:p>
      <w:pPr>
        <w:pStyle w:val="Normal"/>
        <w:bidi w:val="0"/>
        <w:spacing w:before="120" w:after="280"/>
        <w:rPr/>
      </w:pPr>
      <w:r>
        <w:rPr/>
        <w:t>a) Tổ chức xây dựng và trình Chủ tịch UBND tỉnh phê duyệt quy trình nội bộ giải quyết TTHC, làm cơ sở để cập nhật, điều chỉnh trên Hệ thống thông tin giải quyết TTHC tập trung của Bộ Văn hóa, Thể thao và Du lịch, đảm bảo phù hợp với quy trình thực hiện tại địa phương.</w:t>
      </w:r>
    </w:p>
    <w:p>
      <w:pPr>
        <w:pStyle w:val="Normal"/>
        <w:bidi w:val="0"/>
        <w:spacing w:before="120" w:after="280"/>
        <w:rPr/>
      </w:pPr>
      <w:r>
        <w:rPr/>
        <w:t>Trường hợp các TTHC chưa được triển khai thực hiện trên Hệ thống thông tin giải quyết TTHC tập trung của Bộ Văn hóa, Thể thao và Du lịch thì tiếp tục tham mưu trình Chủ tịch UBND tỉnh phê duyệt các quy trình cung cấp dịch vụ công trực tuyến được công bố tại Quyết định này để thiết lập quy trình điện tử lên Hệ thống thông tin giải quyết TTHC của tỉnh. Hoàn thành trước ngày 10/03/2026.</w:t>
      </w:r>
    </w:p>
    <w:p>
      <w:pPr>
        <w:pStyle w:val="Normal"/>
        <w:bidi w:val="0"/>
        <w:spacing w:before="120" w:after="280"/>
        <w:rPr/>
      </w:pPr>
      <w:r>
        <w:rPr/>
        <w:t>b) Thực hiện giải quyết TTHC, niêm yết công khai, hướng dẫn, tổ chức tiếp nhận và trả kết quả giải quyết TTHC cho tổ chức, cá nhân theo đúng quy định.</w:t>
      </w:r>
    </w:p>
    <w:p>
      <w:pPr>
        <w:pStyle w:val="Normal"/>
        <w:bidi w:val="0"/>
        <w:spacing w:before="120" w:after="280"/>
        <w:rPr/>
      </w:pPr>
      <w:r>
        <w:rPr/>
        <w:t>2. Các cơ quan, đơn vị, địa phương có trách nhiệm tổ chức thực hiện tiếp nhận và giải quyết TTHC không phụ thuộc vào địa giới hành chính theo quy định.</w:t>
      </w:r>
    </w:p>
    <w:p>
      <w:pPr>
        <w:pStyle w:val="Normal"/>
        <w:bidi w:val="0"/>
        <w:spacing w:before="120" w:after="280"/>
        <w:rPr/>
      </w:pPr>
      <w:r>
        <w:rPr/>
        <w:t>3. Văn phòng UBND tỉnh đăng tải công khai TTHC trên Cơ sở dữ liệu quốc gia về TTHC; hướng dẫn, theo dõi, đôn đốc và kiểm tra việc thực hiện công khai TTHC tại các cơ quan, đơn vị có liên quan.</w:t>
      </w:r>
    </w:p>
    <w:p>
      <w:pPr>
        <w:pStyle w:val="Normal"/>
        <w:bidi w:val="0"/>
        <w:spacing w:before="120" w:after="280"/>
        <w:rPr/>
      </w:pPr>
      <w:r>
        <w:rPr>
          <w:b/>
          <w:bCs/>
        </w:rPr>
        <w:t xml:space="preserve">Điều 3. </w:t>
      </w:r>
      <w:r>
        <w:rPr/>
        <w:t>Quyết định này có hiệu lực thi hành kể từ ngày ký.</w:t>
      </w:r>
    </w:p>
    <w:p>
      <w:pPr>
        <w:pStyle w:val="Normal"/>
        <w:bidi w:val="0"/>
        <w:spacing w:before="120" w:after="280"/>
        <w:rPr/>
      </w:pPr>
      <w:r>
        <w:rPr>
          <w:b/>
          <w:bCs/>
        </w:rPr>
        <w:t>Điều 4</w:t>
      </w:r>
      <w:r>
        <w:rPr/>
        <w:t>. Chánh Văn phòng UBND tỉnh, Giám đốc Sở Văn hóa, Thể thao và Du lịch, Giám đốc Trung tâm Phục vụ hành chính công tỉnh; Chủ tịch UBND các xã, phường, đặc khu và các tổ chức, cá nhân có liên quan chịu trách nhiệm thi hành Quyết định này./.</w:t>
      </w:r>
    </w:p>
    <w:p>
      <w:pPr>
        <w:pStyle w:val="Normal"/>
        <w:bidi w:val="0"/>
        <w:spacing w:before="120" w:after="280"/>
        <w:rPr>
          <w:b/>
          <w:bCs/>
        </w:rPr>
      </w:pPr>
      <w:r>
        <w:rPr>
          <w:b/>
          <w:bCs/>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0"/>
              <w:rPr/>
            </w:pPr>
            <w:r>
              <w:rPr/>
              <w:t> </w:t>
            </w:r>
          </w:p>
        </w:tc>
        <w:tc>
          <w:tcPr>
            <w:tcW w:w="4986" w:type="dxa"/>
            <w:tcBorders/>
          </w:tcPr>
          <w:p>
            <w:pPr>
              <w:pStyle w:val="Normal"/>
              <w:bidi w:val="0"/>
              <w:spacing w:before="120" w:after="0"/>
              <w:jc w:val="center"/>
              <w:rPr>
                <w:b/>
                <w:bCs/>
              </w:rPr>
            </w:pPr>
            <w:r>
              <w:rPr>
                <w:b/>
                <w:bCs/>
              </w:rPr>
              <w:t xml:space="preserve">KT. CHỦ TỊCH </w:t>
              <w:br/>
              <w:t>PHÓ CHỦ TỊCH</w:t>
              <w:br/>
              <w:br/>
              <w:br/>
              <w:br/>
              <w:br/>
              <w:t>Hoàng Xuân Tân</w:t>
            </w:r>
          </w:p>
        </w:tc>
      </w:tr>
    </w:tbl>
    <w:p>
      <w:pPr>
        <w:pStyle w:val="Normal"/>
        <w:bidi w:val="0"/>
        <w:spacing w:before="120" w:after="280"/>
        <w:jc w:val="center"/>
        <w:rPr>
          <w:b/>
          <w:bCs/>
          <w:sz w:val="24"/>
        </w:rPr>
      </w:pPr>
      <w:r>
        <w:rPr>
          <w:b/>
          <w:bCs/>
          <w:sz w:val="24"/>
        </w:rPr>
        <w:t> </w:t>
      </w:r>
    </w:p>
    <w:p>
      <w:pPr>
        <w:pStyle w:val="Normal"/>
        <w:bidi w:val="0"/>
        <w:spacing w:before="120" w:after="280"/>
        <w:jc w:val="center"/>
        <w:rPr/>
      </w:pPr>
      <w:r>
        <w:rPr>
          <w:b/>
          <w:bCs/>
          <w:sz w:val="24"/>
        </w:rPr>
        <w:t>PHỤ LỤC</w:t>
      </w:r>
    </w:p>
    <w:p>
      <w:pPr>
        <w:pStyle w:val="Normal"/>
        <w:bidi w:val="0"/>
        <w:spacing w:before="120" w:after="280"/>
        <w:jc w:val="center"/>
        <w:rPr/>
      </w:pPr>
      <w:r>
        <w:rPr/>
        <w:t>DANH MỤC THỦ TỤC HÀNH CHÍNH MỚI BAN HÀNH TRONG LĨNH VỰC PHÁT THANH TRUYỀN HÌNH VÀ THÔNG TIN ĐIỆN TỬ THUỘC THẨM QUYỀN GIẢI QUYẾT CỦA SỞ VĂN HÓA, THỂ THAO VÀ DU LỊCH TỈNH QUẢNG TRỊ</w:t>
        <w:br/>
      </w:r>
      <w:r>
        <w:rPr>
          <w:i/>
          <w:iCs/>
        </w:rPr>
        <w:t>(Kèm theo Quyết định số 794/QĐ-UBND ngày 09 tháng 3 năm 2026 của Chủ tịch UBND tỉnh Quảng Trị)</w:t>
      </w:r>
    </w:p>
    <w:tbl>
      <w:tblPr>
        <w:tblW w:w="5000" w:type="pct"/>
        <w:jc w:val="start"/>
        <w:tblInd w:w="-10" w:type="dxa"/>
        <w:tblLayout w:type="fixed"/>
        <w:tblCellMar>
          <w:top w:w="0" w:type="dxa"/>
          <w:start w:w="0" w:type="dxa"/>
          <w:bottom w:w="0" w:type="dxa"/>
          <w:end w:w="0" w:type="dxa"/>
        </w:tblCellMar>
      </w:tblPr>
      <w:tblGrid>
        <w:gridCol w:w="572"/>
        <w:gridCol w:w="2268"/>
        <w:gridCol w:w="1091"/>
        <w:gridCol w:w="1194"/>
        <w:gridCol w:w="997"/>
        <w:gridCol w:w="2584"/>
        <w:gridCol w:w="1266"/>
      </w:tblGrid>
      <w:tr>
        <w:trPr/>
        <w:tc>
          <w:tcPr>
            <w:tcW w:w="57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STT</w:t>
            </w:r>
          </w:p>
        </w:tc>
        <w:tc>
          <w:tcPr>
            <w:tcW w:w="2268"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Tên thủ tục hành chính/ Mã số TTHC</w:t>
            </w:r>
          </w:p>
        </w:tc>
        <w:tc>
          <w:tcPr>
            <w:tcW w:w="1091"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Thời gian giải quyết</w:t>
            </w:r>
          </w:p>
        </w:tc>
        <w:tc>
          <w:tcPr>
            <w:tcW w:w="1194"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Địa điểm thực hiện</w:t>
            </w:r>
          </w:p>
        </w:tc>
        <w:tc>
          <w:tcPr>
            <w:tcW w:w="997"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Phí, lệ phí</w:t>
            </w:r>
          </w:p>
        </w:tc>
        <w:tc>
          <w:tcPr>
            <w:tcW w:w="2584"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Căn cứ pháp lý</w:t>
            </w:r>
          </w:p>
        </w:tc>
        <w:tc>
          <w:tcPr>
            <w:tcW w:w="1266"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TTHC</w:t>
            </w:r>
            <w:r>
              <w:rPr/>
              <w:t xml:space="preserve"> </w:t>
            </w:r>
            <w:r>
              <w:rPr>
                <w:b/>
                <w:bCs/>
              </w:rPr>
              <w:t>thực hiện không phụ</w:t>
            </w:r>
            <w:r>
              <w:rPr/>
              <w:t xml:space="preserve"> </w:t>
            </w:r>
            <w:r>
              <w:rPr>
                <w:b/>
                <w:bCs/>
              </w:rPr>
              <w:t>thuộc vào địa</w:t>
            </w:r>
            <w:r>
              <w:rPr/>
              <w:t xml:space="preserve"> </w:t>
            </w:r>
            <w:r>
              <w:rPr>
                <w:b/>
                <w:bCs/>
              </w:rPr>
              <w:t>giới hành chính</w:t>
            </w:r>
          </w:p>
        </w:tc>
      </w:tr>
      <w:tr>
        <w:trPr/>
        <w:tc>
          <w:tcPr>
            <w:tcW w:w="572"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2268" w:type="dxa"/>
            <w:tcBorders>
              <w:bottom w:val="single" w:sz="8" w:space="0" w:color="000000"/>
              <w:end w:val="single" w:sz="8" w:space="0" w:color="000000"/>
            </w:tcBorders>
            <w:vAlign w:val="center"/>
          </w:tcPr>
          <w:p>
            <w:pPr>
              <w:pStyle w:val="Normal"/>
              <w:bidi w:val="0"/>
              <w:spacing w:before="120" w:after="0"/>
              <w:jc w:val="center"/>
              <w:rPr/>
            </w:pPr>
            <w:r>
              <w:rPr/>
              <w:t>Thủ tục sửa đổi, bổ sung nội dung Giấy phép sản xuất kênh chương trình chuyên quảng cáo (cấp tỉnh)/1.014861.H50</w:t>
            </w:r>
          </w:p>
        </w:tc>
        <w:tc>
          <w:tcPr>
            <w:tcW w:w="1091" w:type="dxa"/>
            <w:tcBorders>
              <w:bottom w:val="single" w:sz="8" w:space="0" w:color="000000"/>
              <w:end w:val="single" w:sz="8" w:space="0" w:color="000000"/>
            </w:tcBorders>
            <w:vAlign w:val="center"/>
          </w:tcPr>
          <w:p>
            <w:pPr>
              <w:pStyle w:val="Normal"/>
              <w:bidi w:val="0"/>
              <w:spacing w:before="120" w:after="0"/>
              <w:jc w:val="center"/>
              <w:rPr/>
            </w:pPr>
            <w:r>
              <w:rPr/>
              <w:t>10 ngày làm việc kể từ ngày nhận được hồ sơ hợp lệ</w:t>
            </w:r>
          </w:p>
        </w:tc>
        <w:tc>
          <w:tcPr>
            <w:tcW w:w="1194" w:type="dxa"/>
            <w:tcBorders>
              <w:bottom w:val="single" w:sz="8" w:space="0" w:color="000000"/>
              <w:end w:val="single" w:sz="8" w:space="0" w:color="000000"/>
            </w:tcBorders>
            <w:vAlign w:val="center"/>
          </w:tcPr>
          <w:p>
            <w:pPr>
              <w:pStyle w:val="Normal"/>
              <w:bidi w:val="0"/>
              <w:spacing w:before="120" w:after="0"/>
              <w:jc w:val="center"/>
              <w:rPr/>
            </w:pPr>
            <w:r>
              <w:rPr/>
              <w:t>Trung tâm Phục vụ hành chính công tỉnh/cấp xã</w:t>
            </w:r>
          </w:p>
        </w:tc>
        <w:tc>
          <w:tcPr>
            <w:tcW w:w="997" w:type="dxa"/>
            <w:tcBorders>
              <w:bottom w:val="single" w:sz="8" w:space="0" w:color="000000"/>
              <w:end w:val="single" w:sz="8" w:space="0" w:color="000000"/>
            </w:tcBorders>
            <w:vAlign w:val="center"/>
          </w:tcPr>
          <w:p>
            <w:pPr>
              <w:pStyle w:val="Normal"/>
              <w:bidi w:val="0"/>
              <w:spacing w:before="120" w:after="0"/>
              <w:jc w:val="center"/>
              <w:rPr/>
            </w:pPr>
            <w:r>
              <w:rPr/>
              <w:t>Không quy định</w:t>
            </w:r>
          </w:p>
        </w:tc>
        <w:tc>
          <w:tcPr>
            <w:tcW w:w="2584" w:type="dxa"/>
            <w:tcBorders>
              <w:bottom w:val="single" w:sz="8" w:space="0" w:color="000000"/>
              <w:end w:val="single" w:sz="8" w:space="0" w:color="000000"/>
            </w:tcBorders>
            <w:vAlign w:val="center"/>
          </w:tcPr>
          <w:p>
            <w:pPr>
              <w:pStyle w:val="Normal"/>
              <w:bidi w:val="0"/>
              <w:spacing w:before="120" w:after="280"/>
              <w:jc w:val="center"/>
              <w:rPr/>
            </w:pPr>
            <w:r>
              <w:rPr/>
              <w:t>- Luật Quảng cáo 16/2012/QH13;</w:t>
            </w:r>
          </w:p>
          <w:p>
            <w:pPr>
              <w:pStyle w:val="Normal"/>
              <w:bidi w:val="0"/>
              <w:spacing w:before="120" w:after="280"/>
              <w:jc w:val="center"/>
              <w:rPr/>
            </w:pPr>
            <w:r>
              <w:rPr/>
              <w:t>- Luật số 75/2025/QH15 Luật sửa đổi,bổ sung một số điều của Luật Quảng cáo;</w:t>
            </w:r>
          </w:p>
          <w:p>
            <w:pPr>
              <w:pStyle w:val="Normal"/>
              <w:bidi w:val="0"/>
              <w:spacing w:before="120" w:after="0"/>
              <w:jc w:val="center"/>
              <w:rPr/>
            </w:pPr>
            <w:r>
              <w:rPr/>
              <w:t>- Nghị định số 342/2025/NĐ-CP 26/12/2025 của Chính phủ Quy định chi tiết một số điều của Luật Quảng cáo.</w:t>
            </w:r>
          </w:p>
        </w:tc>
        <w:tc>
          <w:tcPr>
            <w:tcW w:w="1266" w:type="dxa"/>
            <w:tcBorders>
              <w:bottom w:val="single" w:sz="8" w:space="0" w:color="000000"/>
              <w:end w:val="single" w:sz="8" w:space="0" w:color="000000"/>
            </w:tcBorders>
            <w:vAlign w:val="center"/>
          </w:tcPr>
          <w:p>
            <w:pPr>
              <w:pStyle w:val="Normal"/>
              <w:bidi w:val="0"/>
              <w:spacing w:before="120" w:after="0"/>
              <w:jc w:val="center"/>
              <w:rPr/>
            </w:pPr>
            <w:r>
              <w:rPr/>
              <w:t>Có</w:t>
            </w:r>
          </w:p>
        </w:tc>
      </w:tr>
    </w:tbl>
    <w:p>
      <w:pPr>
        <w:pStyle w:val="Normal"/>
        <w:bidi w:val="0"/>
        <w:spacing w:before="120" w:after="280"/>
        <w:rPr/>
      </w:pPr>
      <w:r>
        <w:rPr/>
        <w:t> </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