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62"/>
        <w:gridCol w:w="6110"/>
      </w:tblGrid>
      <w:tr>
        <w:trPr/>
        <w:tc>
          <w:tcPr>
            <w:tcW w:w="3862" w:type="dxa"/>
            <w:tcBorders/>
          </w:tcPr>
          <w:p>
            <w:pPr>
              <w:pStyle w:val="Normal"/>
              <w:bidi w:val="0"/>
              <w:spacing w:before="120" w:after="0"/>
              <w:jc w:val="center"/>
              <w:rPr/>
            </w:pPr>
            <w:r>
              <w:rPr>
                <w:b/>
                <w:bCs/>
              </w:rPr>
              <w:t>VĂN PHÒNG CHÍNH PHỦ</w:t>
              <w:br/>
              <w:t>-------</w:t>
            </w:r>
          </w:p>
        </w:tc>
        <w:tc>
          <w:tcPr>
            <w:tcW w:w="6110"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62" w:type="dxa"/>
            <w:tcBorders/>
          </w:tcPr>
          <w:p>
            <w:pPr>
              <w:pStyle w:val="Normal"/>
              <w:bidi w:val="0"/>
              <w:spacing w:before="120" w:after="0"/>
              <w:jc w:val="center"/>
              <w:rPr/>
            </w:pPr>
            <w:r>
              <w:rPr/>
              <w:t>Số: 99/TB-VPCP</w:t>
            </w:r>
          </w:p>
        </w:tc>
        <w:tc>
          <w:tcPr>
            <w:tcW w:w="6110" w:type="dxa"/>
            <w:tcBorders/>
          </w:tcPr>
          <w:p>
            <w:pPr>
              <w:pStyle w:val="Normal"/>
              <w:bidi w:val="0"/>
              <w:spacing w:before="120" w:after="0"/>
              <w:jc w:val="end"/>
              <w:rPr/>
            </w:pPr>
            <w:r>
              <w:rPr>
                <w:i/>
                <w:iCs/>
              </w:rPr>
              <w:t>Hà Nội, ngày 05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BÁO</w:t>
      </w:r>
      <w:bookmarkEnd w:id="0"/>
    </w:p>
    <w:p>
      <w:pPr>
        <w:pStyle w:val="Normal"/>
        <w:bidi w:val="0"/>
        <w:spacing w:before="120" w:after="280"/>
        <w:jc w:val="center"/>
        <w:rPr/>
      </w:pPr>
      <w:bookmarkStart w:id="1" w:name="loai_1_name"/>
      <w:r>
        <w:rPr/>
        <w:t>KẾT LUẬN CỦA THỦ TƯỚNG CHÍNH PHỦ PHẠM MINH CHÍNH TẠI BUỔI KIỂM TRA TIẾN ĐỘ DỰ ÁN CAO TỐC BẮC - NAM PHÍA ĐÔNG VÀ DỰ ÁN ĐẦU TƯ XÂY DỰNG ĐƯỜNG CẤT HẠ CÁNH SỐ 2 CẢNG HÀNG KHÔNG PHÙ CÁT TRÊN ĐỊA BÀN CÁC TỈNH QUẢNG NGÃI, GIA LAI, ĐẮK LẮK VÀ KHÁNH HÒA</w:t>
      </w:r>
      <w:bookmarkEnd w:id="1"/>
    </w:p>
    <w:p>
      <w:pPr>
        <w:pStyle w:val="Normal"/>
        <w:bidi w:val="0"/>
        <w:spacing w:before="120" w:after="280"/>
        <w:rPr/>
      </w:pPr>
      <w:r>
        <w:rPr/>
        <w:t>Ngày 01 tháng 3 năm 2025, Thủ tướng Chính phủ Phạm Minh Chính đã kiểm tra và làm việc về Dự án đầu tư xây dựng cao tốc Bắc - Nam phía Đông (các đoạn: Quảng Ngãi - Hoài Nhơn, Hoài Nhơn - Quy Nhơn, Quy Nhơn - Chí Thạnh, Chí Thạnh - Vân Phong) và Dự án đầu tư xây dựng đường cất hạ cánh số 2 Cảng hàng không Phù Cát trên địa bàn các tỉnh Quảng Ngãi, Gia Lai, Đắk Lắk, Khánh Hòa. Tham gia cuộc kiểm tra có Bộ trưởng Bộ Xây dựng Trần Hồng Minh; lãnh đạo các Bộ, ngành: Xây dựng, Tài chính, Nông nghiệp và Môi trường, Tư pháp, Văn phòng Chính phủ; lãnh đạo Ủy ban nhân dân (UBND) các tỉnh: Quảng Ngãi, Gia Lai, Đắk Lắk và Khánh Hòa; đại diện các chủ đầu tư, tư vấn thiết kế, tư vấn giám sát và nhà thầu thi công của các dự án.</w:t>
      </w:r>
    </w:p>
    <w:p>
      <w:pPr>
        <w:pStyle w:val="Normal"/>
        <w:bidi w:val="0"/>
        <w:spacing w:before="120" w:after="280"/>
        <w:rPr/>
      </w:pPr>
      <w:r>
        <w:rPr/>
        <w:t>Tại hiện trường kiểm tra dự án và buổi làm việc với các cơ quan tại tỉnh Khánh Hòa, sau khi nghe báo cáo của Bộ Xây dựng, ý kiến của lãnh đạo các tỉnh và đại diện các bộ, ngành, đơn vị, Thủ tướng Chính phủ Phạm Minh Chính đã kết luận như sau:</w:t>
      </w:r>
    </w:p>
    <w:p>
      <w:pPr>
        <w:pStyle w:val="Normal"/>
        <w:bidi w:val="0"/>
        <w:spacing w:before="120" w:after="280"/>
        <w:rPr/>
      </w:pPr>
      <w:bookmarkStart w:id="2" w:name="dieu_1"/>
      <w:r>
        <w:rPr/>
        <w:t>1. Về tình hình khắc phục hậu quả bão lũ</w:t>
      </w:r>
      <w:bookmarkEnd w:id="2"/>
    </w:p>
    <w:p>
      <w:pPr>
        <w:pStyle w:val="Normal"/>
        <w:bidi w:val="0"/>
        <w:spacing w:before="120" w:after="280"/>
        <w:rPr/>
      </w:pPr>
      <w:r>
        <w:rPr/>
        <w:t xml:space="preserve">Năm 2025 thời tiết khu vực Nam Trung Bộ (từ Đà Nẵng đến Khánh Hòa) thời tiết diễn biến rất phức tạp, cực đoan gây thiệt hại rất lớn cho tính mạng, tài sản của nhân dân cũng như ảnh hưởng lớn tới tiến độ triển khai các dự án đầu tư kết cấu hạ tầng trên địa bàn các tỉnh. Trong điều kiện vô cùng khó khăn đó, phát huy tinh </w:t>
      </w:r>
      <w:r>
        <w:rPr>
          <w:i/>
          <w:iCs/>
        </w:rPr>
        <w:t>thần “lá lành đùm lá rách, tương thân, tương ái”</w:t>
      </w:r>
      <w:r>
        <w:rPr/>
        <w:t>, “</w:t>
      </w:r>
      <w:r>
        <w:rPr>
          <w:i/>
          <w:iCs/>
        </w:rPr>
        <w:t>tình đồng chí, nghĩa đồng bào”</w:t>
      </w:r>
      <w:r>
        <w:rPr/>
        <w:t xml:space="preserve"> các địa phương đã nhanh chóng khắc phục hậu quả bão lũ, ổn định cuộc sống người dân.</w:t>
      </w:r>
    </w:p>
    <w:p>
      <w:pPr>
        <w:pStyle w:val="Normal"/>
        <w:bidi w:val="0"/>
        <w:spacing w:before="120" w:after="280"/>
        <w:rPr/>
      </w:pPr>
      <w:r>
        <w:rPr/>
        <w:t>Thay mặt Chính phủ, Thủ tướng Chính phủ biểu dương sự cố gắng, nỗ lực của Đảng bộ, chính quyền, quân và dân các tỉnh Quảng Ngãi, Gia Lai, Đắk Lắk và Khánh Hòa đã kịp thời vượt qua khó khăn, nỗ lực, cố gắng khắc phục hậu quả của đợt bão lũ vừa qua, đặc biệt trong công tác sửa chữa, xây mới nhà ở cho người dân bị ảnh hưởng bởi mưa, lũ. Thủ tướng Chính phủ đề nghị ngoài việc chăm lo chỗ ở cho người dân, các địa phương cần tiếp tục quan tâm tới tâm tư, nguyện vọng của người dân, ưu tiên đầu tư hoàn thiện cơ sở hạ tầng thiết yếu về giáo dục, y tế, tôn giáo... để ổn định đời sống, sinh kế, nâng cao đời sống vật chất, tinh thần của người dân.</w:t>
      </w:r>
    </w:p>
    <w:p>
      <w:pPr>
        <w:pStyle w:val="Normal"/>
        <w:bidi w:val="0"/>
        <w:spacing w:before="120" w:after="280"/>
        <w:rPr/>
      </w:pPr>
      <w:bookmarkStart w:id="3" w:name="dieu_2"/>
      <w:r>
        <w:rPr/>
        <w:t>2. Về các đoạn tuyến cao tốc thuộc dự án cao tốc Bắc - Nam phía Đông trên địa bàn các tỉnh</w:t>
      </w:r>
      <w:bookmarkEnd w:id="3"/>
    </w:p>
    <w:p>
      <w:pPr>
        <w:pStyle w:val="Normal"/>
        <w:bidi w:val="0"/>
        <w:spacing w:before="120" w:after="280"/>
        <w:rPr/>
      </w:pPr>
      <w:r>
        <w:rPr/>
        <w:t xml:space="preserve">Trong điều kiện khó khăn, bất lợi về thời tiết trong thời gian vừa qua, các chủ đầu tư, nhà thầu đã rất nỗ lực, tập trung nguồn lực, vượt qua khó khăn, thách thức, tổ chức thi công </w:t>
      </w:r>
      <w:r>
        <w:rPr>
          <w:i/>
          <w:iCs/>
        </w:rPr>
        <w:t>“3 ca, 4 kíp", xuyên lễ, xuyên Tết”</w:t>
      </w:r>
      <w:r>
        <w:rPr/>
        <w:t xml:space="preserve">, phát huy tinh thần </w:t>
      </w:r>
      <w:r>
        <w:rPr>
          <w:i/>
          <w:iCs/>
        </w:rPr>
        <w:t>“vượt nắng, thắng mưa, không thua bão gió”</w:t>
      </w:r>
      <w:r>
        <w:rPr/>
        <w:t xml:space="preserve">, </w:t>
      </w:r>
      <w:r>
        <w:rPr>
          <w:i/>
          <w:iCs/>
        </w:rPr>
        <w:t>“chỉ bàn làm không bàn lùi”</w:t>
      </w:r>
      <w:r>
        <w:rPr/>
        <w:t xml:space="preserve"> nhanh chóng khắc phục các thiệt hại, đẩy nhanh tiến độ thi công, hoàn thành các dự án đúng và vượt tiến độ so với hợp đồng. Đến nay, trên địa bàn các tỉnh Quảng Ngãi, Gia Lai, Đắk Lắk và Khánh Hòa đã hoàn thành 214km tuyến chính đoạn từ đầu tuyến Quảng Ngãi - Hoài Nhơn đến phía Nam hầm Cù Mông, chỉ còn 53km sẽ hoàn thành trong tháng 3 năm 2026 (41km/61km đoạn Quy Nhơn - Chí Thạnh do mưa bão cần hoàn thiện hệ thống an toàn giao thông, rãnh đỉnh, bậc nước và 12km/48km dự án Chí Thạnh - Vân Phong do mưa bão cần xử lý nền đất yếu).</w:t>
      </w:r>
    </w:p>
    <w:p>
      <w:pPr>
        <w:pStyle w:val="Normal"/>
        <w:bidi w:val="0"/>
        <w:spacing w:before="120" w:after="280"/>
        <w:rPr/>
      </w:pPr>
      <w:r>
        <w:rPr/>
        <w:t>Thay mặt Chính phủ, Thủ tướng Chính phủ biểu dương Bộ Xây dựng, các bộ, ngành, địa phương, các chủ đầu tư, các nhà thầu, công nhân, người lao động trên các công trường đã chủ động tháo gỡ các khó khăn, vướng mắc về mặt bằng, vật liệu xây dựng, tranh thủ thời tiết thuận lợi để đẩy nhanh tiến độ thi công và đặc biệt cảm ơn nhân dân nơi các dự án đi qua đã hy sinh lợi ích cá nhân, nhường đất, nhường nhà, nhường cơ sở kinh doanh, nơi thờ tự để bàn giao mặt bằng phục vụ thi công các dự án.</w:t>
      </w:r>
    </w:p>
    <w:p>
      <w:pPr>
        <w:pStyle w:val="Normal"/>
        <w:bidi w:val="0"/>
        <w:spacing w:before="120" w:after="280"/>
        <w:rPr/>
      </w:pPr>
      <w:r>
        <w:rPr/>
        <w:t>Để sớm hoàn thành các hạng mục còn lại của toàn bộ các dự án, đưa vào khai thác phát huy hiệu quả đầu tư, tạo động lực phát triển, liên kết vùng cũng như phục vụ nhu cầu đi lại, vận chuyển hàng hóa của người dân và doanh nghiệp, Thủ tướng Chính phủ yêu cầu các cơ quan, đơn vị có liên quan tập trung triển khai các nhiệm vụ trọng tâm sau:</w:t>
      </w:r>
    </w:p>
    <w:p>
      <w:pPr>
        <w:pStyle w:val="Normal"/>
        <w:bidi w:val="0"/>
        <w:spacing w:before="120" w:after="280"/>
        <w:rPr/>
      </w:pPr>
      <w:r>
        <w:rPr/>
        <w:t>a) Bộ Xây dựng chỉ đạo chủ đầu tư dự án và các cơ quan, đơn vị liên quan</w:t>
      </w:r>
    </w:p>
    <w:p>
      <w:pPr>
        <w:pStyle w:val="Normal"/>
        <w:bidi w:val="0"/>
        <w:spacing w:before="120" w:after="280"/>
        <w:rPr/>
      </w:pPr>
      <w:r>
        <w:rPr/>
        <w:t>- Huy động mọi nguồn lực, khẩn trương hoàn thiện các thủ tục nghiệm thu đưa vào khai thác sử dụng đối với các đoạn tuyến đã hoàn thành thi công xây dựng trước ngày 10 tháng 3 năm 2026. Đối với 53km còn lại, yêu cầu các nhà thầu tập trung nguồn lực tài chính, tăng cường nhân lực, thiết bị, tranh thủ thời tiết thuận lợi tổ chức thi công “3 ca, 4 kíp”, đảm bảo chất lượng và hoàn thành trong tháng 3 năm 2026.</w:t>
      </w:r>
    </w:p>
    <w:p>
      <w:pPr>
        <w:pStyle w:val="Normal"/>
        <w:bidi w:val="0"/>
        <w:spacing w:before="120" w:after="280"/>
        <w:rPr/>
      </w:pPr>
      <w:r>
        <w:rPr/>
        <w:t>- Khẩn trương hoàn thiện các thủ tục liên quan và tổ chức triển khai thi công hoàn thiện các ống hầm để đưa vào khai thác đồng bộ trong năm 2026; đẩy nhanh tiến độ triển khai hệ thống giám sát điều hành giao thông, trạm dừng nghỉ theo quy định, bảo đảm đưa vào khai thác đồng bộ với các dự án cao tốc.</w:t>
      </w:r>
    </w:p>
    <w:p>
      <w:pPr>
        <w:pStyle w:val="Normal"/>
        <w:bidi w:val="0"/>
        <w:spacing w:before="120" w:after="280"/>
        <w:rPr/>
      </w:pPr>
      <w:r>
        <w:rPr/>
        <w:t>- Phối hợp chặt chẽ với các cấp chính quyền địa phương xử lý dứt điểm các vướng mắc về giải phóng mặt bằng, hoàn thành trước ngày 15 tháng 3 năm 2026.</w:t>
      </w:r>
    </w:p>
    <w:p>
      <w:pPr>
        <w:pStyle w:val="Normal"/>
        <w:bidi w:val="0"/>
        <w:spacing w:before="120" w:after="280"/>
        <w:rPr/>
      </w:pPr>
      <w:r>
        <w:rPr/>
        <w:t>b) Ủy ban nhân dân các tỉnh nơi có dự án cao tốc đi qua</w:t>
      </w:r>
    </w:p>
    <w:p>
      <w:pPr>
        <w:pStyle w:val="Normal"/>
        <w:bidi w:val="0"/>
        <w:spacing w:before="120" w:after="280"/>
        <w:rPr/>
      </w:pPr>
      <w:r>
        <w:rPr/>
        <w:t>- Rà soát, bổ sung các nút giao, điểm kết nối với tuyến cao tốc mới được đầu tư (nếu cần) để phát huy tối đa hiệu quả đầu tư dự án; chủ động rà soát, điều chỉnh quy hoạch tỉnh, trong đó lưu ý phải gắn quy hoạch không gian phát triển mới dọc các tuyến cao tốc, từ đó tái cơ cấu cây trồng, vật nuôi, sản xuất kinh doanh, khu kinh tế, khu công nghiệp để tận dụng tối đa lợi ích dự án mang lại.</w:t>
      </w:r>
    </w:p>
    <w:p>
      <w:pPr>
        <w:pStyle w:val="Normal"/>
        <w:bidi w:val="0"/>
        <w:spacing w:before="120" w:after="280"/>
        <w:rPr/>
      </w:pPr>
      <w:r>
        <w:rPr/>
        <w:t>- Chỉ đạo các cơ quan chức năng, chính quyền địa phương xử lý dứt điểm các vướng mắc về giải phóng mặt bằng còn lại của dự án, đặc biệt tại các vị trí trạm dừng nghỉ, hoàn thành trước ngày 15 tháng 3 năm 2026; tiếp tục quan tâm, động viên người dân ở các khu vực tái định cư, có giải pháp bảo đảm người dân trong vùng dự án di dời đến nơi ở mới phải có cuộc sống tốt hơn nơi ở cũ.</w:t>
      </w:r>
    </w:p>
    <w:p>
      <w:pPr>
        <w:pStyle w:val="Normal"/>
        <w:bidi w:val="0"/>
        <w:spacing w:before="120" w:after="280"/>
        <w:rPr/>
      </w:pPr>
      <w:r>
        <w:rPr/>
        <w:t>- Tăng cường tuyên truyền, vận động nhân dân cùng tham gia giám sát, bảo vệ công trình hạ tầng giao thông, đặc biệt là hệ thống đường điện, đường cáp của hệ thống điều hành giao thông thông minh (ITS, ETC,...), nghiêm chỉnh chấp hành các quy định khi tham gia giao thông trên đường cao tốc; đồng thời chỉ đạo lực lượng công an và chính quyền cơ sở chủ động, kịp thời phát hiện, ngăn chặn, xử lý nghiêm các hành vi vi phạm.</w:t>
      </w:r>
    </w:p>
    <w:p>
      <w:pPr>
        <w:pStyle w:val="Normal"/>
        <w:bidi w:val="0"/>
        <w:spacing w:before="120" w:after="280"/>
        <w:rPr/>
      </w:pPr>
      <w:r>
        <w:rPr/>
        <w:t>c) Bộ Công an chỉ đạo Cục Cảnh sát giao thông</w:t>
      </w:r>
    </w:p>
    <w:p>
      <w:pPr>
        <w:pStyle w:val="Normal"/>
        <w:bidi w:val="0"/>
        <w:spacing w:before="120" w:after="280"/>
        <w:rPr/>
      </w:pPr>
      <w:r>
        <w:rPr/>
        <w:t>- Phối hợp, hỗ trợ Bộ Xây dựng, Chủ đầu tư, các nhà thầu trong quá trình nghiệm thu, bàn giao, đưa các dự án vào vận hành khai thác, hoàn thành trong tháng 3 năm 2026.</w:t>
      </w:r>
    </w:p>
    <w:p>
      <w:pPr>
        <w:pStyle w:val="Normal"/>
        <w:bidi w:val="0"/>
        <w:spacing w:before="120" w:after="280"/>
        <w:rPr/>
      </w:pPr>
      <w:r>
        <w:rPr/>
        <w:t>- Bố trí lực lượng tuần tra, hướng dẫn, nhắc nhở người tham gia giao thông thực hiện theo phương án tổ chức giao thông ngay khi đưa các dự án vào khai thác; xử lý nghiêm đối với các trường hợp tổ chức, cá nhân cố tình vi phạm gây mất an toàn giao thông trên tuyến, đảm bảo khai thác hiệu quả, an toàn, thông suốt.</w:t>
      </w:r>
    </w:p>
    <w:p>
      <w:pPr>
        <w:pStyle w:val="Normal"/>
        <w:bidi w:val="0"/>
        <w:spacing w:before="120" w:after="280"/>
        <w:rPr/>
      </w:pPr>
      <w:bookmarkStart w:id="4" w:name="dieu_3"/>
      <w:r>
        <w:rPr/>
        <w:t>3. Về dự án đầu tư xây dựng đường cất hạ cánh số 2 Cảng hàng không Phù Cát</w:t>
      </w:r>
      <w:bookmarkEnd w:id="4"/>
    </w:p>
    <w:p>
      <w:pPr>
        <w:pStyle w:val="Normal"/>
        <w:bidi w:val="0"/>
        <w:spacing w:before="120" w:after="280"/>
        <w:rPr/>
      </w:pPr>
      <w:r>
        <w:rPr/>
        <w:t>Thay mặt Chính phủ, Thủ tướng Chính phủ biểu dương UBND tỉnh Gia Lai đã rất nỗ lực, trách nhiệm chủ động triển khai thực hiện dự án đường cất hạ cánh số 2 Cảng hàng không Phù Cát bảo đảm tiến độ, chất lượng như đã cam kết. Thời gian vừa qua, Chính phủ đã (giao một số Cảng hàng không, sân bay cho các địa phương, doanh nghiệp triển khai đầu tư, quản lý, vận hành khai thác (Cảng hàng không Phú Quốc, Vân Đồn, sân bay Quảng Trị...) và thực tiễn cho thấy kết quả triển khai rất tốt, điều này cho thấy tính đúng đắn, khả thi của chủ trương phân cấp, phân quyền cho các địa phương, doanh nghiệp tham gia đầu tư, quản lý, vận hành khai thác hệ thống kết cấu hạ tầng của đất nước, kể cả trong lĩnh vực hàng không.</w:t>
      </w:r>
    </w:p>
    <w:p>
      <w:pPr>
        <w:pStyle w:val="Normal"/>
        <w:bidi w:val="0"/>
        <w:spacing w:before="120" w:after="280"/>
        <w:rPr/>
      </w:pPr>
      <w:r>
        <w:rPr/>
        <w:t>Để sớm hoàn thành đường cất hạ cánh số 2, phát huy hiệu quả đầu tư, Thủ tướng Chính phủ yêu cầu:</w:t>
      </w:r>
    </w:p>
    <w:p>
      <w:pPr>
        <w:pStyle w:val="Normal"/>
        <w:bidi w:val="0"/>
        <w:spacing w:before="120" w:after="280"/>
        <w:rPr/>
      </w:pPr>
      <w:r>
        <w:rPr/>
        <w:t>- UBND tỉnh Gia Lai, chủ đầu tư, nhà thầu dự án tiếp tục tập trung nguồn lực, tranh thủ thời tiết thuận lợi đẩy nhanh tiến độ thi công dự án, hoàn thành công tác xây dựng đường cất hạ cánh thứ 2 trong tháng 6 năm 2026, bảo đảm chất lượng để đưa vào khai thác trong quý III năm 2026.</w:t>
      </w:r>
    </w:p>
    <w:p>
      <w:pPr>
        <w:pStyle w:val="Normal"/>
        <w:bidi w:val="0"/>
        <w:spacing w:before="120" w:after="280"/>
        <w:rPr/>
      </w:pPr>
      <w:r>
        <w:rPr/>
        <w:t>- Bộ Xây dựng, UBND tỉnh Gia Lai nghiên cứu phương án giao Cảng hàng không Phù Cát cho tỉnh Gia Lai quản lý khai thác theo đúng chủ trương phân cấp phân quyền, phát huy tối đa lợi thế của địa phương.</w:t>
      </w:r>
    </w:p>
    <w:p>
      <w:pPr>
        <w:pStyle w:val="Normal"/>
        <w:bidi w:val="0"/>
        <w:spacing w:before="120" w:after="280"/>
        <w:rPr/>
      </w:pPr>
      <w:r>
        <w:rPr/>
        <w:t>- UBND tỉnh Gia Lai tập trung chỉ đạo đẩy nhanh tiến độ triển khai, sớm hoàn thành đưa vào khai thác tuyến cao tốc Quy Nhơn - Pleiku góp phần thúc đẩy phát triển kinh tế - xã hội và hiệu quả đầu tư của Cảng hàng không Phù Cát.</w:t>
      </w:r>
    </w:p>
    <w:p>
      <w:pPr>
        <w:pStyle w:val="Normal"/>
        <w:bidi w:val="0"/>
        <w:spacing w:before="120" w:after="280"/>
        <w:rPr/>
      </w:pPr>
      <w:bookmarkStart w:id="5" w:name="dieu_4"/>
      <w:r>
        <w:rPr/>
        <w:t>4. Về các đề xuất, kiến nghị của các địa phương</w:t>
      </w:r>
      <w:bookmarkEnd w:id="5"/>
    </w:p>
    <w:p>
      <w:pPr>
        <w:pStyle w:val="Normal"/>
        <w:bidi w:val="0"/>
        <w:spacing w:before="120" w:after="280"/>
        <w:rPr/>
      </w:pPr>
      <w:r>
        <w:rPr/>
        <w:t xml:space="preserve">Thủ tướng Chính phủ đồng ý về nguyên tắc các đề xuất, kiến nghị của các địa phương về việc hỗ trợ ngân sách trung ương đầu tư các tuyến cao tốc Nha Trang - Đà Lạt, Đăk Lắk - Phú Yên, Quy Nhơn - Pleiku; giao Bộ Tài chính, Bộ Xây dựng và các cơ quan liên quan căn cứ chức năng nhiệm vụ được giao nghiên cứu xử lý các đề xuất theo thẩm quyền, đúng quy định pháp luật, trên tinh thần 3 có </w:t>
      </w:r>
      <w:r>
        <w:rPr>
          <w:i/>
          <w:iCs/>
        </w:rPr>
        <w:t>“có đóng góp của nhà nước (cả trung ương và địa phương), có đóng góp của người dân, có đóng góp của doanh nghiệp”</w:t>
      </w:r>
      <w:r>
        <w:rPr/>
        <w:t>.</w:t>
      </w:r>
    </w:p>
    <w:p>
      <w:pPr>
        <w:pStyle w:val="Normal"/>
        <w:bidi w:val="0"/>
        <w:spacing w:before="120" w:after="280"/>
        <w:rPr/>
      </w:pPr>
      <w:bookmarkStart w:id="6" w:name="dieu_5"/>
      <w:r>
        <w:rPr/>
        <w:t>5. Bộ Xây dựng, các tỉnh, thành phố được giao là cơ quan chủ quản, cơ quan nhà nước có thẩm quyền chỉ đạo các cơ quan, đơn vị trực thuộc, chủ đầu tư các dự án chủ động kiểm tra, kiểm toán theo quy định toàn bộ quá trình triển khai từ khâu quy hoạch, quyết định chủ trương đầu tư, xác định tổng mức đầu tư, thiết kế, dự toán xây dựng công trình, đấu thầu, tổ chức thi công, nghiệm thu, bàn giao đưa công trình vào khai thác sử dụng của các dự án cao tốc, sân bay, bến cảng và các dự án hạ tầng chiến lược khác; kịp thời khắc phục những hạn chế, bất cập và đặc biệt là chống tiêu cực, tham nhũng, lợi ích nhóm.</w:t>
      </w:r>
      <w:bookmarkEnd w:id="6"/>
    </w:p>
    <w:p>
      <w:pPr>
        <w:pStyle w:val="Normal"/>
        <w:bidi w:val="0"/>
        <w:spacing w:before="120" w:after="280"/>
        <w:rPr/>
      </w:pPr>
      <w:r>
        <w:rPr/>
        <w:t>Văn phòng Chính phủ thông báo để các bộ, cơ quan, đơn vị biết, thực hiện./.</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986"/>
        <w:gridCol w:w="4986"/>
      </w:tblGrid>
      <w:tr>
        <w:trPr/>
        <w:tc>
          <w:tcPr>
            <w:tcW w:w="4986" w:type="dxa"/>
            <w:tcBorders/>
          </w:tcPr>
          <w:p>
            <w:pPr>
              <w:pStyle w:val="Normal"/>
              <w:bidi w:val="0"/>
              <w:spacing w:before="120" w:after="280"/>
              <w:rPr/>
            </w:pPr>
            <w:r>
              <w:rPr/>
              <w:t> </w:t>
            </w:r>
          </w:p>
          <w:p>
            <w:pPr>
              <w:pStyle w:val="Normal"/>
              <w:bidi w:val="0"/>
              <w:spacing w:before="120" w:after="280"/>
              <w:rPr/>
            </w:pPr>
            <w:r>
              <w:rPr>
                <w:b/>
                <w:bCs/>
                <w:i/>
                <w:iCs/>
              </w:rPr>
              <w:t>Nơi nhận:</w:t>
              <w:br/>
            </w:r>
            <w:r>
              <w:rPr/>
              <w:t>- TTgCP, PTTg Trần Hồng Hà (để b/c);</w:t>
              <w:br/>
              <w:t>- Các Bộ: XD, CA, TC, NN&amp;MТ, ТР;\</w:t>
              <w:br/>
              <w:t>- UBND các tỉnh: Quảng Ngãi, Gia Lai, Đắk Lắk, Khánh Hòa;</w:t>
              <w:br/>
              <w:t>- VPCP: BTCN, các Phó Chủ nhiệm, Trợ lý TTg,</w:t>
              <w:br/>
              <w:t>TGĐ Cổng TTĐT, các Vụ: TH, TKBT, KTTH, QHĐP, NN;</w:t>
              <w:br/>
              <w:t>- Lưu: VT, CN (2). nvv</w:t>
            </w:r>
          </w:p>
          <w:p>
            <w:pPr>
              <w:pStyle w:val="Normal"/>
              <w:bidi w:val="0"/>
              <w:spacing w:before="0" w:after="0"/>
              <w:rPr/>
            </w:pPr>
            <w:r>
              <w:rPr/>
            </w:r>
          </w:p>
        </w:tc>
        <w:tc>
          <w:tcPr>
            <w:tcW w:w="4986" w:type="dxa"/>
            <w:tcBorders/>
          </w:tcPr>
          <w:p>
            <w:pPr>
              <w:pStyle w:val="Normal"/>
              <w:bidi w:val="0"/>
              <w:spacing w:before="120" w:after="0"/>
              <w:jc w:val="center"/>
              <w:rPr/>
            </w:pPr>
            <w:r>
              <w:rPr>
                <w:b/>
                <w:bCs/>
              </w:rPr>
              <w:t>KT. BỘ TRƯỞNG, CHỦ NHIỆM</w:t>
            </w:r>
            <w:r>
              <w:rPr/>
              <w:br/>
            </w:r>
            <w:r>
              <w:rPr>
                <w:b/>
                <w:bCs/>
              </w:rPr>
              <w:t>PHÓ CHỦ NHIỆM</w:t>
            </w:r>
            <w:r>
              <w:rPr/>
              <w:br/>
              <w:br/>
              <w:br/>
              <w:br/>
              <w:br/>
            </w:r>
            <w:r>
              <w:rPr>
                <w:b/>
                <w:bCs/>
              </w:rPr>
              <w:t>Nguyễn Văn Thắng</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