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2C5B1" w14:textId="68AC76D9" w:rsidR="001C73D2" w:rsidRDefault="00B6609F" w:rsidP="001C73D2">
      <w:pPr>
        <w:ind w:firstLineChars="200" w:firstLine="1040"/>
        <w:jc w:val="center"/>
        <w:rPr>
          <w:rFonts w:eastAsia="黑体"/>
          <w:sz w:val="52"/>
        </w:rPr>
      </w:pPr>
      <w:r>
        <w:rPr>
          <w:rFonts w:eastAsia="黑体" w:hint="eastAsia"/>
          <w:sz w:val="52"/>
          <w:u w:val="single"/>
        </w:rPr>
        <w:t xml:space="preserve">  </w:t>
      </w:r>
      <w:r w:rsidR="006F44ED">
        <w:rPr>
          <w:rFonts w:eastAsia="黑体" w:hint="eastAsia"/>
          <w:sz w:val="52"/>
          <w:u w:val="single"/>
        </w:rPr>
        <w:t>智能传感器技术</w:t>
      </w:r>
      <w:r>
        <w:rPr>
          <w:rFonts w:eastAsia="黑体" w:hint="eastAsia"/>
          <w:sz w:val="52"/>
          <w:u w:val="single"/>
        </w:rPr>
        <w:t xml:space="preserve"> </w:t>
      </w:r>
      <w:r w:rsidR="001C73D2">
        <w:rPr>
          <w:rFonts w:eastAsia="黑体" w:hint="eastAsia"/>
          <w:sz w:val="52"/>
          <w:u w:val="single"/>
        </w:rPr>
        <w:t xml:space="preserve"> </w:t>
      </w:r>
      <w:r w:rsidR="001C73D2">
        <w:rPr>
          <w:rFonts w:eastAsia="黑体" w:hint="eastAsia"/>
          <w:sz w:val="52"/>
        </w:rPr>
        <w:t>课程</w:t>
      </w:r>
    </w:p>
    <w:p w14:paraId="2FC705D2" w14:textId="77777777" w:rsidR="001C73D2" w:rsidRDefault="001C73D2" w:rsidP="001C73D2">
      <w:pPr>
        <w:ind w:firstLineChars="300" w:firstLine="1560"/>
        <w:rPr>
          <w:rFonts w:eastAsia="黑体"/>
          <w:sz w:val="52"/>
        </w:rPr>
      </w:pPr>
      <w:r>
        <w:rPr>
          <w:rFonts w:eastAsia="黑体" w:hint="eastAsia"/>
          <w:sz w:val="52"/>
        </w:rPr>
        <w:t>论文（报告、案例分析）</w:t>
      </w:r>
    </w:p>
    <w:p w14:paraId="01372023" w14:textId="77777777" w:rsidR="001C73D2" w:rsidRDefault="001C73D2" w:rsidP="001C73D2">
      <w:pPr>
        <w:ind w:firstLineChars="300" w:firstLine="1560"/>
        <w:rPr>
          <w:rFonts w:eastAsia="黑体"/>
          <w:sz w:val="52"/>
        </w:rPr>
      </w:pPr>
    </w:p>
    <w:p w14:paraId="3AD87FD5" w14:textId="77777777" w:rsidR="001C73D2" w:rsidRDefault="001C73D2" w:rsidP="001C73D2">
      <w:pPr>
        <w:ind w:firstLineChars="300" w:firstLine="1560"/>
        <w:rPr>
          <w:rFonts w:eastAsia="黑体"/>
          <w:sz w:val="52"/>
        </w:rPr>
      </w:pPr>
    </w:p>
    <w:p w14:paraId="1EACF329" w14:textId="77777777" w:rsidR="001C73D2" w:rsidRDefault="001C73D2" w:rsidP="001C73D2">
      <w:pPr>
        <w:ind w:firstLineChars="300" w:firstLine="1560"/>
        <w:rPr>
          <w:rFonts w:eastAsia="黑体"/>
          <w:sz w:val="52"/>
        </w:rPr>
      </w:pPr>
    </w:p>
    <w:p w14:paraId="6BF93698" w14:textId="77777777" w:rsidR="001C73D2" w:rsidRDefault="001C73D2" w:rsidP="001C73D2">
      <w:pPr>
        <w:ind w:firstLineChars="300" w:firstLine="1560"/>
        <w:rPr>
          <w:rFonts w:eastAsia="黑体"/>
          <w:sz w:val="52"/>
        </w:rPr>
      </w:pPr>
    </w:p>
    <w:p w14:paraId="52B06917" w14:textId="77777777" w:rsidR="001C73D2" w:rsidRDefault="001C73D2" w:rsidP="001C73D2">
      <w:pPr>
        <w:ind w:firstLineChars="300" w:firstLine="1560"/>
        <w:rPr>
          <w:rFonts w:eastAsia="黑体"/>
          <w:sz w:val="52"/>
        </w:rPr>
      </w:pPr>
    </w:p>
    <w:p w14:paraId="54BC8B91" w14:textId="77777777" w:rsidR="001C73D2" w:rsidRDefault="001C73D2" w:rsidP="001C73D2">
      <w:pPr>
        <w:ind w:firstLineChars="300" w:firstLine="1560"/>
        <w:rPr>
          <w:rFonts w:eastAsia="黑体"/>
          <w:sz w:val="52"/>
        </w:rPr>
      </w:pPr>
    </w:p>
    <w:p w14:paraId="60432F50" w14:textId="77777777" w:rsidR="001C73D2" w:rsidRDefault="001C73D2" w:rsidP="001C73D2">
      <w:pPr>
        <w:ind w:firstLineChars="300" w:firstLine="1560"/>
        <w:rPr>
          <w:rFonts w:eastAsia="黑体"/>
          <w:sz w:val="52"/>
        </w:rPr>
      </w:pPr>
    </w:p>
    <w:p w14:paraId="0C7AF0A6" w14:textId="77777777" w:rsidR="001C73D2" w:rsidRDefault="001C73D2" w:rsidP="001C73D2">
      <w:pPr>
        <w:spacing w:line="360" w:lineRule="auto"/>
        <w:ind w:firstLineChars="600" w:firstLine="1920"/>
        <w:rPr>
          <w:rFonts w:ascii="宋体" w:hAnsi="宋体" w:hint="eastAsia"/>
          <w:sz w:val="32"/>
          <w:u w:val="single"/>
        </w:rPr>
      </w:pPr>
      <w:r>
        <w:rPr>
          <w:rFonts w:ascii="宋体" w:hAnsi="宋体" w:hint="eastAsia"/>
          <w:sz w:val="32"/>
        </w:rPr>
        <w:t>院    系</w:t>
      </w:r>
      <w:r>
        <w:rPr>
          <w:rFonts w:ascii="宋体" w:hAnsi="宋体" w:hint="eastAsia"/>
          <w:sz w:val="32"/>
          <w:u w:val="single"/>
        </w:rPr>
        <w:t xml:space="preserve"> 计算机与人工智能学院</w:t>
      </w:r>
      <w:r>
        <w:rPr>
          <w:rFonts w:ascii="楷体_GB2312" w:eastAsia="楷体_GB2312" w:hAnsi="宋体" w:hint="eastAsia"/>
          <w:sz w:val="32"/>
          <w:u w:val="single"/>
        </w:rPr>
        <w:t xml:space="preserve"> </w:t>
      </w:r>
    </w:p>
    <w:p w14:paraId="636EC8F3" w14:textId="56A5F6CD" w:rsidR="001C73D2" w:rsidRDefault="001C73D2" w:rsidP="001C73D2">
      <w:pPr>
        <w:spacing w:line="360" w:lineRule="auto"/>
        <w:ind w:firstLineChars="600" w:firstLine="1920"/>
        <w:rPr>
          <w:rFonts w:ascii="宋体" w:hAnsi="宋体" w:hint="eastAsia"/>
          <w:sz w:val="32"/>
          <w:u w:val="single"/>
        </w:rPr>
      </w:pPr>
      <w:r>
        <w:rPr>
          <w:rFonts w:ascii="宋体" w:hAnsi="宋体" w:hint="eastAsia"/>
          <w:sz w:val="32"/>
        </w:rPr>
        <w:t>专    业</w:t>
      </w:r>
      <w:r>
        <w:rPr>
          <w:rFonts w:ascii="宋体" w:hAnsi="宋体" w:hint="eastAsia"/>
          <w:sz w:val="32"/>
          <w:u w:val="single"/>
        </w:rPr>
        <w:t xml:space="preserve">   </w:t>
      </w:r>
      <w:r w:rsidR="006F44ED">
        <w:rPr>
          <w:rFonts w:ascii="宋体" w:hAnsi="宋体" w:hint="eastAsia"/>
          <w:sz w:val="32"/>
          <w:u w:val="single"/>
        </w:rPr>
        <w:t>计算机科学与技术</w:t>
      </w:r>
      <w:r>
        <w:rPr>
          <w:rFonts w:ascii="宋体" w:hAnsi="宋体" w:hint="eastAsia"/>
          <w:sz w:val="32"/>
          <w:u w:val="single"/>
        </w:rPr>
        <w:t xml:space="preserve">   </w:t>
      </w:r>
    </w:p>
    <w:p w14:paraId="2C1FF868" w14:textId="3A62A2AA" w:rsidR="001C73D2" w:rsidRDefault="001C73D2" w:rsidP="001C73D2">
      <w:pPr>
        <w:spacing w:line="360" w:lineRule="auto"/>
        <w:ind w:firstLineChars="600" w:firstLine="1920"/>
        <w:rPr>
          <w:rFonts w:ascii="宋体" w:hAnsi="宋体" w:hint="eastAsia"/>
          <w:sz w:val="32"/>
          <w:u w:val="single"/>
        </w:rPr>
      </w:pPr>
      <w:r>
        <w:rPr>
          <w:rFonts w:ascii="宋体" w:hAnsi="宋体" w:hint="eastAsia"/>
          <w:sz w:val="32"/>
        </w:rPr>
        <w:t>班    级</w:t>
      </w:r>
      <w:r>
        <w:rPr>
          <w:rFonts w:ascii="宋体" w:hAnsi="宋体" w:hint="eastAsia"/>
          <w:sz w:val="32"/>
          <w:u w:val="single"/>
        </w:rPr>
        <w:t xml:space="preserve">       </w:t>
      </w:r>
      <w:r>
        <w:rPr>
          <w:rFonts w:hint="eastAsia"/>
          <w:sz w:val="32"/>
          <w:u w:val="single"/>
        </w:rPr>
        <w:t xml:space="preserve">  </w:t>
      </w:r>
      <w:r w:rsidR="006F44ED">
        <w:rPr>
          <w:rFonts w:hint="eastAsia"/>
          <w:sz w:val="32"/>
          <w:u w:val="single"/>
        </w:rPr>
        <w:t>传感器</w:t>
      </w:r>
      <w:r>
        <w:rPr>
          <w:rFonts w:hint="eastAsia"/>
          <w:sz w:val="32"/>
          <w:u w:val="single"/>
        </w:rPr>
        <w:t xml:space="preserve">  </w:t>
      </w:r>
      <w:r>
        <w:rPr>
          <w:rFonts w:ascii="宋体" w:hAnsi="宋体" w:hint="eastAsia"/>
          <w:sz w:val="32"/>
          <w:u w:val="single"/>
        </w:rPr>
        <w:t xml:space="preserve">     </w:t>
      </w:r>
    </w:p>
    <w:p w14:paraId="6189775C" w14:textId="41F4A474" w:rsidR="001C73D2" w:rsidRDefault="001C73D2" w:rsidP="001C73D2">
      <w:pPr>
        <w:spacing w:line="360" w:lineRule="auto"/>
        <w:ind w:firstLineChars="600" w:firstLine="1920"/>
        <w:rPr>
          <w:rFonts w:ascii="宋体" w:hAnsi="宋体" w:hint="eastAsia"/>
          <w:sz w:val="32"/>
          <w:u w:val="single"/>
        </w:rPr>
      </w:pPr>
      <w:r>
        <w:rPr>
          <w:rFonts w:ascii="宋体" w:hAnsi="宋体" w:hint="eastAsia"/>
          <w:sz w:val="32"/>
        </w:rPr>
        <w:t>学生姓名</w:t>
      </w:r>
      <w:r>
        <w:rPr>
          <w:rFonts w:ascii="宋体" w:hAnsi="宋体" w:hint="eastAsia"/>
          <w:sz w:val="32"/>
          <w:u w:val="single"/>
        </w:rPr>
        <w:t xml:space="preserve">        </w:t>
      </w:r>
      <w:r>
        <w:rPr>
          <w:rFonts w:ascii="楷体_GB2312" w:eastAsia="楷体_GB2312" w:hAnsi="宋体" w:hint="eastAsia"/>
          <w:sz w:val="32"/>
          <w:u w:val="single"/>
        </w:rPr>
        <w:t xml:space="preserve">  </w:t>
      </w:r>
      <w:r w:rsidR="006F44ED">
        <w:rPr>
          <w:rFonts w:ascii="楷体_GB2312" w:eastAsia="楷体_GB2312" w:hAnsi="宋体" w:hint="eastAsia"/>
          <w:sz w:val="32"/>
          <w:u w:val="single"/>
        </w:rPr>
        <w:t>章宁</w:t>
      </w:r>
      <w:r>
        <w:rPr>
          <w:rFonts w:ascii="楷体_GB2312" w:eastAsia="楷体_GB2312" w:hAnsi="宋体" w:hint="eastAsia"/>
          <w:sz w:val="32"/>
          <w:u w:val="single"/>
        </w:rPr>
        <w:t xml:space="preserve">    </w:t>
      </w:r>
      <w:r>
        <w:rPr>
          <w:rFonts w:ascii="宋体" w:hAnsi="宋体" w:hint="eastAsia"/>
          <w:sz w:val="32"/>
          <w:u w:val="single"/>
        </w:rPr>
        <w:t xml:space="preserve">    </w:t>
      </w:r>
    </w:p>
    <w:p w14:paraId="71B4EC7F" w14:textId="283E96E3" w:rsidR="001C73D2" w:rsidRDefault="001C73D2" w:rsidP="001C73D2">
      <w:pPr>
        <w:spacing w:line="360" w:lineRule="auto"/>
        <w:ind w:firstLineChars="600" w:firstLine="1920"/>
        <w:rPr>
          <w:rFonts w:ascii="宋体" w:hAnsi="宋体" w:hint="eastAsia"/>
          <w:sz w:val="32"/>
          <w:u w:val="single"/>
        </w:rPr>
      </w:pPr>
      <w:r>
        <w:rPr>
          <w:rFonts w:ascii="宋体" w:hAnsi="宋体" w:hint="eastAsia"/>
          <w:sz w:val="32"/>
        </w:rPr>
        <w:t>学    号</w:t>
      </w:r>
      <w:r>
        <w:rPr>
          <w:rFonts w:ascii="宋体" w:hAnsi="宋体" w:hint="eastAsia"/>
          <w:sz w:val="32"/>
          <w:u w:val="single"/>
        </w:rPr>
        <w:t xml:space="preserve">    </w:t>
      </w:r>
      <w:r w:rsidR="006F44ED">
        <w:rPr>
          <w:rFonts w:hint="eastAsia"/>
          <w:sz w:val="32"/>
          <w:u w:val="single"/>
        </w:rPr>
        <w:t>25311081200044</w:t>
      </w:r>
      <w:r>
        <w:rPr>
          <w:rFonts w:ascii="宋体" w:hAnsi="宋体" w:hint="eastAsia"/>
          <w:sz w:val="32"/>
          <w:u w:val="single"/>
        </w:rPr>
        <w:t xml:space="preserve">    </w:t>
      </w:r>
    </w:p>
    <w:p w14:paraId="44E1A971" w14:textId="3EABE9F3" w:rsidR="001C73D2" w:rsidRDefault="001C73D2" w:rsidP="001C73D2">
      <w:pPr>
        <w:spacing w:line="360" w:lineRule="auto"/>
        <w:ind w:firstLineChars="600" w:firstLine="1920"/>
        <w:rPr>
          <w:rFonts w:ascii="宋体" w:hAnsi="宋体" w:hint="eastAsia"/>
          <w:sz w:val="32"/>
          <w:u w:val="single"/>
        </w:rPr>
      </w:pPr>
      <w:r>
        <w:rPr>
          <w:rFonts w:ascii="宋体" w:hAnsi="宋体" w:hint="eastAsia"/>
          <w:sz w:val="32"/>
        </w:rPr>
        <w:t>任课教师</w:t>
      </w:r>
      <w:r>
        <w:rPr>
          <w:rFonts w:ascii="宋体" w:hAnsi="宋体" w:hint="eastAsia"/>
          <w:sz w:val="32"/>
          <w:u w:val="single"/>
        </w:rPr>
        <w:t xml:space="preserve">        </w:t>
      </w:r>
      <w:r w:rsidR="006F44ED">
        <w:rPr>
          <w:rFonts w:ascii="宋体" w:hAnsi="宋体" w:hint="eastAsia"/>
          <w:sz w:val="32"/>
          <w:u w:val="single"/>
        </w:rPr>
        <w:t xml:space="preserve">黄红亮  </w:t>
      </w:r>
      <w:r>
        <w:rPr>
          <w:rFonts w:ascii="宋体" w:hAnsi="宋体" w:hint="eastAsia"/>
          <w:sz w:val="32"/>
          <w:u w:val="single"/>
        </w:rPr>
        <w:t xml:space="preserve"> </w:t>
      </w:r>
      <w:r>
        <w:rPr>
          <w:rFonts w:ascii="楷体_GB2312" w:eastAsia="楷体_GB2312" w:hAnsi="宋体" w:hint="eastAsia"/>
          <w:sz w:val="32"/>
          <w:u w:val="single"/>
        </w:rPr>
        <w:t xml:space="preserve">     </w:t>
      </w:r>
    </w:p>
    <w:p w14:paraId="202E1DB5" w14:textId="77777777" w:rsidR="001C73D2" w:rsidRDefault="001C73D2" w:rsidP="001C73D2">
      <w:pPr>
        <w:spacing w:line="360" w:lineRule="auto"/>
        <w:ind w:firstLineChars="600" w:firstLine="1920"/>
        <w:rPr>
          <w:rFonts w:ascii="宋体" w:hAnsi="宋体" w:hint="eastAsia"/>
          <w:sz w:val="32"/>
          <w:u w:val="single"/>
        </w:rPr>
      </w:pPr>
    </w:p>
    <w:p w14:paraId="266563C2" w14:textId="0FE019C4" w:rsidR="00CE5F91" w:rsidRPr="001C73D2" w:rsidRDefault="001C73D2" w:rsidP="001C73D2">
      <w:pPr>
        <w:spacing w:line="360" w:lineRule="auto"/>
        <w:ind w:firstLineChars="800" w:firstLine="2560"/>
        <w:rPr>
          <w:rFonts w:ascii="宋体" w:hAnsi="宋体" w:hint="eastAsia"/>
          <w:sz w:val="32"/>
        </w:rPr>
        <w:sectPr w:rsidR="00CE5F91" w:rsidRPr="001C73D2" w:rsidSect="004566CA">
          <w:pgSz w:w="11906" w:h="16838" w:code="9"/>
          <w:pgMar w:top="1440" w:right="1797" w:bottom="1440" w:left="1797" w:header="851" w:footer="992" w:gutter="0"/>
          <w:pgNumType w:chapStyle="1"/>
          <w:cols w:space="720"/>
          <w:docGrid w:type="lines" w:linePitch="312"/>
        </w:sectPr>
      </w:pPr>
      <w:r>
        <w:rPr>
          <w:rFonts w:ascii="宋体" w:hAnsi="宋体" w:hint="eastAsia"/>
          <w:sz w:val="32"/>
        </w:rPr>
        <w:t xml:space="preserve">    年    月    日</w:t>
      </w:r>
    </w:p>
    <w:p w14:paraId="1AB0DA07" w14:textId="46AC4A64" w:rsidR="00C809B3" w:rsidRPr="00C809B3" w:rsidRDefault="00C809B3" w:rsidP="002A319D">
      <w:pPr>
        <w:spacing w:line="400" w:lineRule="exact"/>
        <w:rPr>
          <w:rFonts w:eastAsia="黑体"/>
          <w:b/>
          <w:sz w:val="36"/>
        </w:rPr>
      </w:pPr>
    </w:p>
    <w:p w14:paraId="7E47C7DB" w14:textId="4DC79A4A" w:rsidR="001C73D2" w:rsidRPr="00B6609F" w:rsidRDefault="00B6609F" w:rsidP="00B6609F">
      <w:pPr>
        <w:spacing w:beforeLines="200" w:before="624" w:after="100" w:afterAutospacing="1" w:line="400" w:lineRule="exact"/>
        <w:jc w:val="center"/>
        <w:rPr>
          <w:rFonts w:eastAsia="黑体"/>
          <w:bCs/>
          <w:sz w:val="36"/>
          <w:szCs w:val="36"/>
        </w:rPr>
      </w:pPr>
      <w:r w:rsidRPr="00B6609F">
        <w:rPr>
          <w:rFonts w:eastAsia="黑体" w:hint="eastAsia"/>
          <w:bCs/>
          <w:sz w:val="36"/>
          <w:szCs w:val="36"/>
        </w:rPr>
        <w:t>面向城市峡谷自动驾驶的</w:t>
      </w:r>
      <w:r w:rsidRPr="00B6609F">
        <w:rPr>
          <w:rFonts w:eastAsia="黑体" w:hint="eastAsia"/>
          <w:bCs/>
          <w:sz w:val="36"/>
          <w:szCs w:val="36"/>
        </w:rPr>
        <w:t xml:space="preserve"> IMU/GNSS </w:t>
      </w:r>
      <w:r w:rsidRPr="00B6609F">
        <w:rPr>
          <w:rFonts w:eastAsia="黑体" w:hint="eastAsia"/>
          <w:bCs/>
          <w:sz w:val="36"/>
          <w:szCs w:val="36"/>
        </w:rPr>
        <w:t>组合导航定位技术文献调研与</w:t>
      </w:r>
      <w:r>
        <w:rPr>
          <w:rFonts w:eastAsia="黑体" w:hint="eastAsia"/>
          <w:bCs/>
          <w:sz w:val="36"/>
          <w:szCs w:val="36"/>
        </w:rPr>
        <w:t>分析</w:t>
      </w:r>
    </w:p>
    <w:p w14:paraId="26DD8A08" w14:textId="32371A64" w:rsidR="00842767" w:rsidRDefault="00B6609F" w:rsidP="00842767">
      <w:pPr>
        <w:pStyle w:val="a"/>
      </w:pPr>
      <w:r>
        <w:rPr>
          <w:rFonts w:hint="eastAsia"/>
        </w:rPr>
        <w:t>引言</w:t>
      </w:r>
    </w:p>
    <w:p w14:paraId="0D5DADA5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在自动驾驶与高级驾驶辅助系统（ADAS）中，高可靠定位是感知、决策与控制链路的基础能力之一。城市峡谷场景（高楼遮挡、</w:t>
      </w:r>
      <w:proofErr w:type="gramStart"/>
      <w:r>
        <w:rPr>
          <w:rFonts w:hint="eastAsia"/>
        </w:rPr>
        <w:t>树荫</w:t>
      </w:r>
      <w:proofErr w:type="gramEnd"/>
      <w:r>
        <w:rPr>
          <w:rFonts w:hint="eastAsia"/>
        </w:rPr>
        <w:t>与高架交错）会导致卫星可见度下降、多路径与非视距（NLOS）传播显著增强，使仅依赖 GNSS 的定位解算出现“可用性下降、漂移突变与失锁中断”等问题；而仅依赖 IMU 的惯性导航在短时内连续性好，但误差随时间快速发散，难以长期维持绝对定位精度。</w:t>
      </w:r>
    </w:p>
    <w:p w14:paraId="5DDB4CDC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因此，IMU/GNSS 组合导航通过“IMU 提供短时高频运动约束 + GNSS 提供绝对位置/速度基准”的互补机制，在车载定位、无人机导航、测量测绘与移动机器人等任务中得到广泛应用。面向城市峡谷自动驾驶，组合系统不仅要追求</w:t>
      </w:r>
      <w:proofErr w:type="gramStart"/>
      <w:r>
        <w:rPr>
          <w:rFonts w:hint="eastAsia"/>
        </w:rPr>
        <w:t>厘米级或分米级</w:t>
      </w:r>
      <w:proofErr w:type="gramEnd"/>
      <w:r>
        <w:rPr>
          <w:rFonts w:hint="eastAsia"/>
        </w:rPr>
        <w:t>精度，还要兼顾复杂遮挡下的连续性、鲁棒性与完整性（integrity）评估能力。</w:t>
      </w:r>
    </w:p>
    <w:p w14:paraId="1C051B0B" w14:textId="27CFA519" w:rsidR="001C73D2" w:rsidRPr="00842767" w:rsidRDefault="00B6609F" w:rsidP="00B6609F">
      <w:pPr>
        <w:pStyle w:val="ac"/>
        <w:rPr>
          <w:rStyle w:val="Char0"/>
          <w:rFonts w:hint="eastAsia"/>
          <w:b w:val="0"/>
          <w:bCs w:val="0"/>
          <w:color w:val="auto"/>
        </w:rPr>
      </w:pPr>
      <w:r>
        <w:rPr>
          <w:rFonts w:hint="eastAsia"/>
        </w:rPr>
        <w:t>本文围绕 IMU/GNSS 组合导航定位技术开展文献调研与分析：首先概述 IMU 与 GNSS 的测量机理和主要误差特性；随后以“融合耦合层级”为主线，将典型方案归纳为松耦合与紧/深耦合两类，并分别选取 EKF 紧耦合 RTK/INS 与</w:t>
      </w:r>
      <w:proofErr w:type="gramStart"/>
      <w:r>
        <w:rPr>
          <w:rFonts w:hint="eastAsia"/>
        </w:rPr>
        <w:t>因子图紧耦合</w:t>
      </w:r>
      <w:proofErr w:type="gramEnd"/>
      <w:r>
        <w:rPr>
          <w:rFonts w:hint="eastAsia"/>
        </w:rPr>
        <w:t xml:space="preserve"> PPP/INS 作为代表方案进行流程与性能讨论；最后总结当前挑战与发展趋势。</w:t>
      </w:r>
    </w:p>
    <w:p w14:paraId="0AEB2913" w14:textId="3B6905AE" w:rsidR="00B6609F" w:rsidRDefault="001C73D2" w:rsidP="00B6609F">
      <w:pPr>
        <w:spacing w:line="400" w:lineRule="exact"/>
        <w:ind w:firstLineChars="200" w:firstLine="562"/>
      </w:pPr>
      <w:bookmarkStart w:id="0" w:name="_Toc214818471"/>
      <w:r>
        <w:rPr>
          <w:rStyle w:val="Char0"/>
          <w:rFonts w:hint="eastAsia"/>
          <w:color w:val="000000"/>
          <w:sz w:val="28"/>
          <w:szCs w:val="28"/>
        </w:rPr>
        <w:t>关键词</w:t>
      </w:r>
      <w:bookmarkEnd w:id="0"/>
      <w:r>
        <w:rPr>
          <w:rFonts w:ascii="黑体" w:eastAsia="黑体" w:hAnsi="宋体" w:hint="eastAsia"/>
          <w:sz w:val="24"/>
        </w:rPr>
        <w:t>：</w:t>
      </w:r>
      <w:r w:rsidR="00B6609F" w:rsidRPr="00B6609F">
        <w:rPr>
          <w:rFonts w:ascii="宋体" w:hAnsi="宋体" w:hint="eastAsia"/>
          <w:sz w:val="24"/>
        </w:rPr>
        <w:t>自动驾驶 / ADAS</w:t>
      </w:r>
      <w:r w:rsidR="00842767" w:rsidRPr="00842767">
        <w:rPr>
          <w:rFonts w:ascii="宋体" w:hAnsi="宋体" w:hint="eastAsia"/>
          <w:sz w:val="24"/>
        </w:rPr>
        <w:t>；</w:t>
      </w:r>
      <w:r w:rsidR="00B6609F" w:rsidRPr="00B6609F">
        <w:rPr>
          <w:rFonts w:ascii="宋体" w:hAnsi="宋体" w:hint="eastAsia"/>
          <w:sz w:val="24"/>
        </w:rPr>
        <w:t>IMU/GNSS 组合导航</w:t>
      </w:r>
      <w:r w:rsidR="00842767" w:rsidRPr="00842767">
        <w:rPr>
          <w:rFonts w:ascii="宋体" w:hAnsi="宋体" w:hint="eastAsia"/>
          <w:sz w:val="24"/>
        </w:rPr>
        <w:t>；</w:t>
      </w:r>
      <w:r w:rsidR="00B6609F" w:rsidRPr="00B6609F">
        <w:rPr>
          <w:rFonts w:ascii="宋体" w:hAnsi="宋体" w:hint="eastAsia"/>
          <w:sz w:val="24"/>
        </w:rPr>
        <w:t>城市峡谷</w:t>
      </w:r>
      <w:r w:rsidR="00842767" w:rsidRPr="00842767">
        <w:rPr>
          <w:rFonts w:ascii="宋体" w:hAnsi="宋体" w:hint="eastAsia"/>
          <w:sz w:val="24"/>
        </w:rPr>
        <w:t>；</w:t>
      </w:r>
      <w:r w:rsidR="00B6609F" w:rsidRPr="00B6609F">
        <w:rPr>
          <w:rFonts w:ascii="宋体" w:hAnsi="宋体" w:hint="eastAsia"/>
          <w:sz w:val="24"/>
        </w:rPr>
        <w:t>紧耦合 / 松耦合</w:t>
      </w:r>
      <w:r w:rsidR="00842767" w:rsidRPr="00842767">
        <w:rPr>
          <w:rFonts w:ascii="宋体" w:hAnsi="宋体" w:hint="eastAsia"/>
          <w:sz w:val="24"/>
        </w:rPr>
        <w:t>；</w:t>
      </w:r>
      <w:r w:rsidR="00B6609F" w:rsidRPr="00B6609F">
        <w:rPr>
          <w:rFonts w:ascii="宋体" w:hAnsi="宋体" w:hint="eastAsia"/>
          <w:sz w:val="24"/>
        </w:rPr>
        <w:t>扩展卡尔曼滤波 (EKF)</w:t>
      </w:r>
      <w:r w:rsidR="00842767" w:rsidRPr="00842767">
        <w:rPr>
          <w:rFonts w:ascii="宋体" w:hAnsi="宋体" w:hint="eastAsia"/>
          <w:sz w:val="24"/>
        </w:rPr>
        <w:t>；</w:t>
      </w:r>
      <w:r w:rsidR="00B6609F" w:rsidRPr="00B6609F">
        <w:rPr>
          <w:rFonts w:ascii="宋体" w:hAnsi="宋体" w:hint="eastAsia"/>
          <w:sz w:val="24"/>
        </w:rPr>
        <w:t>因子图优化</w:t>
      </w:r>
      <w:r>
        <w:rPr>
          <w:rFonts w:ascii="宋体" w:hAnsi="宋体" w:hint="eastAsia"/>
          <w:sz w:val="24"/>
        </w:rPr>
        <w:t>；</w:t>
      </w:r>
    </w:p>
    <w:p w14:paraId="49B35596" w14:textId="77777777" w:rsidR="00B6609F" w:rsidRDefault="00B6609F" w:rsidP="00B6609F">
      <w:pPr>
        <w:pStyle w:val="a"/>
      </w:pPr>
      <w:r>
        <w:rPr>
          <w:rFonts w:hint="eastAsia"/>
        </w:rPr>
        <w:t>传感器基本原理</w:t>
      </w:r>
    </w:p>
    <w:p w14:paraId="7FE72E49" w14:textId="0D4AB679" w:rsidR="00B6609F" w:rsidRDefault="00B6609F" w:rsidP="00B6609F">
      <w:pPr>
        <w:pStyle w:val="a1"/>
        <w:rPr>
          <w:rFonts w:hint="eastAsia"/>
        </w:rPr>
      </w:pPr>
      <w:r>
        <w:rPr>
          <w:rFonts w:hint="eastAsia"/>
        </w:rPr>
        <w:t xml:space="preserve">IMU </w:t>
      </w:r>
      <w:r>
        <w:rPr>
          <w:rFonts w:hint="eastAsia"/>
        </w:rPr>
        <w:t>测量机理与误差特性</w:t>
      </w:r>
    </w:p>
    <w:p w14:paraId="62E79BB5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IMU（Inertial Measurement Unit）通常由三轴加速度计与三轴陀螺仪构成，分别输出载体坐标系下的比力（specific force）与角速度。通过捷</w:t>
      </w:r>
      <w:proofErr w:type="gramStart"/>
      <w:r>
        <w:rPr>
          <w:rFonts w:hint="eastAsia"/>
        </w:rPr>
        <w:t>联惯导</w:t>
      </w:r>
      <w:proofErr w:type="gramEnd"/>
      <w:r>
        <w:rPr>
          <w:rFonts w:hint="eastAsia"/>
        </w:rPr>
        <w:t>机械化（strapdown mechanization），可在已知初始姿态与位置的条件下，基于角速度积分更新姿态矩阵/四元数，再将比力旋转到导航坐标系并扣除重力项以更新速度与位置。</w:t>
      </w:r>
    </w:p>
    <w:p w14:paraId="6A4D4BE3" w14:textId="77777777" w:rsidR="00B6609F" w:rsidRDefault="00B6609F" w:rsidP="00B6609F">
      <w:pPr>
        <w:pStyle w:val="ac"/>
        <w:rPr>
          <w:rFonts w:hint="eastAsia"/>
        </w:rPr>
      </w:pPr>
      <w:proofErr w:type="gramStart"/>
      <w:r>
        <w:rPr>
          <w:rFonts w:hint="eastAsia"/>
        </w:rPr>
        <w:lastRenderedPageBreak/>
        <w:t>惯导的</w:t>
      </w:r>
      <w:proofErr w:type="gramEnd"/>
      <w:r>
        <w:rPr>
          <w:rFonts w:hint="eastAsia"/>
        </w:rPr>
        <w:t>优势是高频、低延迟、对外界环境依赖小；其关键限制来自传感器误差的积分放大效应。常见误差包括：零偏（bias）</w:t>
      </w:r>
      <w:proofErr w:type="gramStart"/>
      <w:r>
        <w:rPr>
          <w:rFonts w:hint="eastAsia"/>
        </w:rPr>
        <w:t>与零偏不稳定性</w:t>
      </w:r>
      <w:proofErr w:type="gramEnd"/>
      <w:r>
        <w:rPr>
          <w:rFonts w:hint="eastAsia"/>
        </w:rPr>
        <w:t>、尺度因子误差、轴间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正交、随机噪声（角随机游走/速度随机游走）以及温漂等。工程上常用一阶高斯-马尔可夫过程或随机常</w:t>
      </w:r>
      <w:proofErr w:type="gramStart"/>
      <w:r>
        <w:rPr>
          <w:rFonts w:hint="eastAsia"/>
        </w:rPr>
        <w:t>值过程对零偏</w:t>
      </w:r>
      <w:proofErr w:type="gramEnd"/>
      <w:r>
        <w:rPr>
          <w:rFonts w:hint="eastAsia"/>
        </w:rPr>
        <w:t>漂移进行建模，并在融合估计器中作为状态量进行在线估计与反馈校正。</w:t>
      </w:r>
    </w:p>
    <w:p w14:paraId="32653B34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对于低成本 MEMS IMU，角速度与比力的随机噪声更高、</w:t>
      </w:r>
      <w:proofErr w:type="gramStart"/>
      <w:r>
        <w:rPr>
          <w:rFonts w:hint="eastAsia"/>
        </w:rPr>
        <w:t>零偏稳定性</w:t>
      </w:r>
      <w:proofErr w:type="gramEnd"/>
      <w:r>
        <w:rPr>
          <w:rFonts w:hint="eastAsia"/>
        </w:rPr>
        <w:t>更差，导致</w:t>
      </w:r>
      <w:proofErr w:type="gramStart"/>
      <w:r>
        <w:rPr>
          <w:rFonts w:hint="eastAsia"/>
        </w:rPr>
        <w:t>纯惯导</w:t>
      </w:r>
      <w:proofErr w:type="gramEnd"/>
      <w:r>
        <w:rPr>
          <w:rFonts w:hint="eastAsia"/>
        </w:rPr>
        <w:t>定位误差在几十秒到数分钟内即可增长到不可接受水平。因此，IMU 在组合导航中更多承担“短时运动约束与连续性保障”的角色。</w:t>
      </w:r>
    </w:p>
    <w:p w14:paraId="709CF767" w14:textId="60390BA4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姿态更新与速度更新的典型形式可写为：</w:t>
      </w:r>
      <w:r>
        <w:t xml:space="preserve">  </w:t>
      </w:r>
    </w:p>
    <w:p w14:paraId="69891FF7" w14:textId="290D5EDF" w:rsidR="002E72C0" w:rsidRPr="002E72C0" w:rsidRDefault="00000000" w:rsidP="00B6609F">
      <w:pPr>
        <w:pStyle w:val="ac"/>
        <w:rPr>
          <w:rFonts w:hint="eastAsia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=R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 w:hint="eastAsia"/>
            </w:rPr>
            <m:t>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e>
          </m:d>
        </m:oMath>
      </m:oMathPara>
    </w:p>
    <w:p w14:paraId="5C1AE3ED" w14:textId="5DD04E27" w:rsidR="002E72C0" w:rsidRPr="002E72C0" w:rsidRDefault="00000000" w:rsidP="002E72C0">
      <w:pPr>
        <w:pStyle w:val="ac"/>
        <w:rPr>
          <w:rFonts w:hint="eastAsia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=R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/>
            </w:rPr>
            <m:t>+g</m:t>
          </m:r>
        </m:oMath>
      </m:oMathPara>
    </w:p>
    <w:p w14:paraId="50CC2F7D" w14:textId="7DF0B2B1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其中</w:t>
      </w:r>
      <w:r>
        <w:t xml:space="preserve">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ω</m:t>
            </m:r>
          </m:e>
        </m:acc>
      </m:oMath>
      <w:r>
        <w:rPr>
          <w:rFonts w:hint="eastAsia"/>
        </w:rPr>
        <w:t>、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</m:oMath>
      <w:r w:rsidR="002E72C0">
        <w:rPr>
          <w:rFonts w:hint="eastAsia"/>
        </w:rPr>
        <w:t xml:space="preserve"> </w:t>
      </w:r>
      <w:r>
        <w:rPr>
          <w:rFonts w:hint="eastAsia"/>
        </w:rPr>
        <w:t>为陀螺与加速度计量测，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</w:t>
      </w:r>
      <w:proofErr w:type="gramStart"/>
      <w:r>
        <w:rPr>
          <w:rFonts w:hint="eastAsia"/>
        </w:rPr>
        <w:t>为零偏项</w:t>
      </w:r>
      <w:proofErr w:type="gramEnd"/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</w:t>
      </w:r>
      <w:r>
        <w:rPr>
          <w:rFonts w:hint="eastAsia"/>
        </w:rPr>
        <w:t>为噪声项，</w:t>
      </w:r>
      <m:oMath>
        <m:r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为重力加速度向量。</w:t>
      </w:r>
    </w:p>
    <w:p w14:paraId="4446BF07" w14:textId="2520802D" w:rsidR="00B6609F" w:rsidRDefault="00B6609F" w:rsidP="00B6609F">
      <w:pPr>
        <w:pStyle w:val="a1"/>
        <w:rPr>
          <w:rFonts w:hint="eastAsia"/>
        </w:rPr>
      </w:pPr>
      <w:r>
        <w:rPr>
          <w:rFonts w:hint="eastAsia"/>
        </w:rPr>
        <w:t xml:space="preserve">GNSS </w:t>
      </w:r>
      <w:r>
        <w:rPr>
          <w:rFonts w:hint="eastAsia"/>
        </w:rPr>
        <w:t>观测模型与误差来源</w:t>
      </w:r>
    </w:p>
    <w:p w14:paraId="691B499B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GNSS（Global Navigation Satellite System）接收机通过测量卫星信号传播时间与相位变化获取伪距、载波相位与多普勒等观测量，并结合卫星星历与钟差模型求解接收机位置、速度与时间（PVT）。在高精度应用中，载波相位可提供毫米级的相位观测分辨率，但需要解决整周模糊度固定（ambiguity resolution）</w:t>
      </w:r>
      <w:proofErr w:type="gramStart"/>
      <w:r>
        <w:rPr>
          <w:rFonts w:hint="eastAsia"/>
        </w:rPr>
        <w:t>与周跳检测</w:t>
      </w:r>
      <w:proofErr w:type="gramEnd"/>
      <w:r>
        <w:rPr>
          <w:rFonts w:hint="eastAsia"/>
        </w:rPr>
        <w:t>等问题；差分 RTK、网络 RTK 或 PPP/PPP-RTK 等技术通过引入校正信息（OSR/SSR）进一步提升绝对定位精度与收敛速度。</w:t>
      </w:r>
    </w:p>
    <w:p w14:paraId="56E3A5E2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GNSS 观测误差主要包括：卫星钟差与轨道误差、电离层与对流层延迟、接收机钟差、多路径与 NLOS 偏差、测量噪声以及天线相位中心变化等。城市峡谷中，多路径与 NLOS 往往成为主导误差，且呈现“偏置型、非高斯、与环境强相关”的特征，使传统高斯假设下的最小二乘或 EKF 更新容易被污染。</w:t>
      </w:r>
    </w:p>
    <w:p w14:paraId="765FC27D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为提升城市环境鲁棒性，研究与工程实践中常结合信噪比（C/N0）、高度角、卫星几何、伪距残差统计、</w:t>
      </w:r>
      <w:proofErr w:type="gramStart"/>
      <w:r>
        <w:rPr>
          <w:rFonts w:hint="eastAsia"/>
        </w:rPr>
        <w:t>三维城市</w:t>
      </w:r>
      <w:proofErr w:type="gramEnd"/>
      <w:r>
        <w:rPr>
          <w:rFonts w:hint="eastAsia"/>
        </w:rPr>
        <w:t>模型或视觉/激光地图等信息进行观测质量控制，并在融合阶段采用鲁棒估计（如 Huber、Cauchy、switchable constraints）抑制异常观测的影响。</w:t>
      </w:r>
    </w:p>
    <w:p w14:paraId="369AA30C" w14:textId="77777777" w:rsidR="002E72C0" w:rsidRDefault="00B6609F" w:rsidP="00B6609F">
      <w:pPr>
        <w:pStyle w:val="ac"/>
        <w:rPr>
          <w:rFonts w:hint="eastAsia"/>
        </w:rPr>
      </w:pPr>
      <w:r>
        <w:rPr>
          <w:rFonts w:hint="eastAsia"/>
        </w:rPr>
        <w:t>常用的伪距观测模型可表示为：</w:t>
      </w:r>
      <w:r>
        <w:t xml:space="preserve">  </w:t>
      </w:r>
    </w:p>
    <w:p w14:paraId="559E0DE4" w14:textId="3A93EAE5" w:rsidR="002E72C0" w:rsidRPr="002E72C0" w:rsidRDefault="002E72C0" w:rsidP="002E72C0">
      <w:pPr>
        <w:pStyle w:val="ac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=r+c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</w:rPr>
            <m:t>+I+T+M+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0B442BE4" w14:textId="6F87AA8A" w:rsidR="00B6609F" w:rsidRPr="002E72C0" w:rsidRDefault="00B6609F" w:rsidP="002E72C0">
      <w:pPr>
        <w:pStyle w:val="ac"/>
        <w:rPr>
          <w:rFonts w:hint="eastAsia"/>
        </w:rPr>
      </w:pPr>
      <w:r>
        <w:rPr>
          <w:rFonts w:hint="eastAsia"/>
        </w:rPr>
        <w:t>其中 r 为几何距离，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2E72C0">
        <w:rPr>
          <w:rFonts w:hint="eastAsia"/>
        </w:rPr>
        <w:t>、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hint="eastAsia"/>
        </w:rPr>
        <w:t xml:space="preserve"> 分别为接收机与卫星钟差，I/T 为电离层与对流层延迟，M 为多路径/NLOS 误差项，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ρ</m:t>
            </m:r>
          </m:sub>
        </m:sSub>
      </m:oMath>
      <w:r w:rsidR="002E72C0">
        <w:rPr>
          <w:rFonts w:hint="eastAsia"/>
        </w:rPr>
        <w:t xml:space="preserve"> </w:t>
      </w:r>
      <w:r>
        <w:rPr>
          <w:rFonts w:hint="eastAsia"/>
        </w:rPr>
        <w:t>为测量噪声。</w:t>
      </w:r>
    </w:p>
    <w:p w14:paraId="3BE27EF6" w14:textId="1911E874" w:rsidR="002E72C0" w:rsidRDefault="002E72C0" w:rsidP="002E72C0">
      <w:pPr>
        <w:pStyle w:val="a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64405E9" wp14:editId="50381BE8">
            <wp:simplePos x="0" y="0"/>
            <wp:positionH relativeFrom="margin">
              <wp:align>left</wp:align>
            </wp:positionH>
            <wp:positionV relativeFrom="paragraph">
              <wp:posOffset>428263</wp:posOffset>
            </wp:positionV>
            <wp:extent cx="5761355" cy="2072640"/>
            <wp:effectExtent l="0" t="0" r="0" b="3810"/>
            <wp:wrapTopAndBottom/>
            <wp:docPr id="289867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207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09F">
        <w:rPr>
          <w:rFonts w:hint="eastAsia"/>
        </w:rPr>
        <w:t>系统方案与性能分析</w:t>
      </w:r>
    </w:p>
    <w:p w14:paraId="3EE823D2" w14:textId="3F94BEF9" w:rsidR="00B6609F" w:rsidRPr="002E72C0" w:rsidRDefault="00B6609F" w:rsidP="002E72C0">
      <w:pPr>
        <w:pStyle w:val="ac"/>
        <w:ind w:firstLine="422"/>
        <w:jc w:val="center"/>
        <w:rPr>
          <w:rFonts w:hint="eastAsia"/>
          <w:b/>
          <w:bCs/>
          <w:sz w:val="21"/>
          <w:szCs w:val="21"/>
        </w:rPr>
      </w:pPr>
      <w:r w:rsidRPr="002E72C0">
        <w:rPr>
          <w:rFonts w:hint="eastAsia"/>
          <w:b/>
          <w:bCs/>
          <w:sz w:val="21"/>
          <w:szCs w:val="21"/>
        </w:rPr>
        <w:t>图1  IMU/GNSS 组合导航系统通用框架（示意）</w:t>
      </w:r>
    </w:p>
    <w:p w14:paraId="6AB301DC" w14:textId="3F80EA28" w:rsidR="00B6609F" w:rsidRDefault="00B6609F" w:rsidP="00B6609F">
      <w:pPr>
        <w:pStyle w:val="a1"/>
        <w:numPr>
          <w:ilvl w:val="0"/>
          <w:numId w:val="12"/>
        </w:numPr>
        <w:ind w:firstLine="562"/>
        <w:rPr>
          <w:rFonts w:hint="eastAsia"/>
        </w:rPr>
      </w:pPr>
      <w:r>
        <w:rPr>
          <w:rFonts w:hint="eastAsia"/>
        </w:rPr>
        <w:t>方案分类：松耦合与紧</w:t>
      </w:r>
      <w:r>
        <w:rPr>
          <w:rFonts w:hint="eastAsia"/>
        </w:rPr>
        <w:t>/</w:t>
      </w:r>
      <w:r>
        <w:rPr>
          <w:rFonts w:hint="eastAsia"/>
        </w:rPr>
        <w:t>深耦合</w:t>
      </w:r>
    </w:p>
    <w:p w14:paraId="705B3534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按融合耦合层级划分，IMU/GNSS 组合导航可归纳为两类典型方案：</w:t>
      </w:r>
    </w:p>
    <w:p w14:paraId="7614F563" w14:textId="7BD88506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（1）松耦合（Loosely Coupled, LC）：先由 GNSS 模块独立完成 PVT/RTK/PPP 解算，输出位置/速度/时间作为观测量，再与</w:t>
      </w:r>
      <w:proofErr w:type="gramStart"/>
      <w:r>
        <w:rPr>
          <w:rFonts w:hint="eastAsia"/>
        </w:rPr>
        <w:t>惯导状态</w:t>
      </w:r>
      <w:proofErr w:type="gramEnd"/>
      <w:r>
        <w:rPr>
          <w:rFonts w:hint="eastAsia"/>
        </w:rPr>
        <w:t>通过滤波器进行融合。该类方案实现简单、对接收机改动小、工程普及度高；但当可见卫星数量不足或解算质量下降时，GNSS 输出往往中断，导致融合更新失效。</w:t>
      </w:r>
    </w:p>
    <w:p w14:paraId="46812A80" w14:textId="54A454A6" w:rsidR="00B6609F" w:rsidRDefault="002E72C0" w:rsidP="002E72C0">
      <w:pPr>
        <w:pStyle w:val="ac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0DD771C" wp14:editId="1288C4D4">
            <wp:simplePos x="0" y="0"/>
            <wp:positionH relativeFrom="column">
              <wp:posOffset>97114</wp:posOffset>
            </wp:positionH>
            <wp:positionV relativeFrom="paragraph">
              <wp:posOffset>1355307</wp:posOffset>
            </wp:positionV>
            <wp:extent cx="5278120" cy="1958200"/>
            <wp:effectExtent l="0" t="0" r="0" b="4445"/>
            <wp:wrapTopAndBottom/>
            <wp:docPr id="2" name="Picture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示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95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09F">
        <w:rPr>
          <w:rFonts w:hint="eastAsia"/>
        </w:rPr>
        <w:t>（2）紧耦合/深耦合（Tightly Coupled / Deeply Coupled, TC/DC）：直接利用 GNSS 原始观测（伪距/载波/多普勒，深耦合甚至进入跟踪环与相关器层）与 IMU 量测共同估计导航状态。其优势是可在卫星数量较少或部分信号质量差时仍维持可观测性，并可更细粒度地建模多路径/NLOS 与周跳；代价是算法与系统复杂度更高，通常需要获取原始观测与更精细的接收机信息。</w:t>
      </w:r>
    </w:p>
    <w:p w14:paraId="64485760" w14:textId="77777777" w:rsidR="00B6609F" w:rsidRPr="002E72C0" w:rsidRDefault="00B6609F" w:rsidP="002E72C0">
      <w:pPr>
        <w:pStyle w:val="ac"/>
        <w:ind w:firstLine="422"/>
        <w:jc w:val="center"/>
        <w:rPr>
          <w:rFonts w:hint="eastAsia"/>
          <w:b/>
          <w:bCs/>
          <w:sz w:val="21"/>
          <w:szCs w:val="21"/>
        </w:rPr>
      </w:pPr>
      <w:r w:rsidRPr="002E72C0">
        <w:rPr>
          <w:rFonts w:hint="eastAsia"/>
          <w:b/>
          <w:bCs/>
          <w:sz w:val="21"/>
          <w:szCs w:val="21"/>
        </w:rPr>
        <w:t>图2  松耦合与紧/深耦合方案差异（示意）</w:t>
      </w:r>
    </w:p>
    <w:p w14:paraId="464CE6C6" w14:textId="2B458A2A" w:rsidR="00B6609F" w:rsidRDefault="00B6609F" w:rsidP="00B6609F">
      <w:pPr>
        <w:pStyle w:val="a1"/>
        <w:rPr>
          <w:rFonts w:hint="eastAsia"/>
        </w:rPr>
      </w:pPr>
      <w:r>
        <w:rPr>
          <w:rFonts w:hint="eastAsia"/>
        </w:rPr>
        <w:lastRenderedPageBreak/>
        <w:t>代表性方案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：基于</w:t>
      </w:r>
      <w:r>
        <w:rPr>
          <w:rFonts w:hint="eastAsia"/>
        </w:rPr>
        <w:t xml:space="preserve"> EKF </w:t>
      </w:r>
      <w:r>
        <w:rPr>
          <w:rFonts w:hint="eastAsia"/>
        </w:rPr>
        <w:t>的紧耦合</w:t>
      </w:r>
      <w:r>
        <w:rPr>
          <w:rFonts w:hint="eastAsia"/>
        </w:rPr>
        <w:t xml:space="preserve"> RTK/INS</w:t>
      </w:r>
    </w:p>
    <w:p w14:paraId="0F3E1F29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（1）传感器构成与系统结构：车载场景中常见配置为“中低成本 MEMS IMU + 多频多星座 GNSS 接收机 + 轮速/里程计（可选）”。紧耦合 RTK/INS 一般采用误差状态扩展卡尔曼滤波（ES-EKF）框架：</w:t>
      </w:r>
      <w:proofErr w:type="gramStart"/>
      <w:r>
        <w:rPr>
          <w:rFonts w:hint="eastAsia"/>
        </w:rPr>
        <w:t>惯导机械化</w:t>
      </w:r>
      <w:proofErr w:type="gramEnd"/>
      <w:r>
        <w:rPr>
          <w:rFonts w:hint="eastAsia"/>
        </w:rPr>
        <w:t>在高频（100–1000 Hz）输出导航解；滤波器维护姿态误差、速度误差、位置误差、陀螺/</w:t>
      </w:r>
      <w:proofErr w:type="gramStart"/>
      <w:r>
        <w:rPr>
          <w:rFonts w:hint="eastAsia"/>
        </w:rPr>
        <w:t>加速度计零偏及</w:t>
      </w:r>
      <w:proofErr w:type="gramEnd"/>
      <w:r>
        <w:rPr>
          <w:rFonts w:hint="eastAsia"/>
        </w:rPr>
        <w:t xml:space="preserve">可能的尺度因子等误差状态；GNSS </w:t>
      </w:r>
      <w:proofErr w:type="gramStart"/>
      <w:r>
        <w:rPr>
          <w:rFonts w:hint="eastAsia"/>
        </w:rPr>
        <w:t>侧提供</w:t>
      </w:r>
      <w:proofErr w:type="gramEnd"/>
      <w:r>
        <w:rPr>
          <w:rFonts w:hint="eastAsia"/>
        </w:rPr>
        <w:t>伪距/载波</w:t>
      </w:r>
      <w:proofErr w:type="gramStart"/>
      <w:r>
        <w:rPr>
          <w:rFonts w:hint="eastAsia"/>
        </w:rPr>
        <w:t>相位双差或非差</w:t>
      </w:r>
      <w:proofErr w:type="gramEnd"/>
      <w:r>
        <w:rPr>
          <w:rFonts w:hint="eastAsia"/>
        </w:rPr>
        <w:t>观测，并在滤波更新中引入模糊度状态或通过外部固定结果进行约束。</w:t>
      </w:r>
    </w:p>
    <w:p w14:paraId="5D3E2A94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（2）关键处理流程：① 时间同步与外参标定（IMU 与天线相位中心杠杆臂）；② 机械化与误差状态传播（基于 IMU 噪声</w:t>
      </w:r>
      <w:proofErr w:type="gramStart"/>
      <w:r>
        <w:rPr>
          <w:rFonts w:hint="eastAsia"/>
        </w:rPr>
        <w:t>与零偏模型</w:t>
      </w:r>
      <w:proofErr w:type="gramEnd"/>
      <w:r>
        <w:rPr>
          <w:rFonts w:hint="eastAsia"/>
        </w:rPr>
        <w:t>构建系统噪声矩阵）；③ GNSS 观测预处理（</w:t>
      </w:r>
      <w:proofErr w:type="gramStart"/>
      <w:r>
        <w:rPr>
          <w:rFonts w:hint="eastAsia"/>
        </w:rPr>
        <w:t>周跳检测</w:t>
      </w:r>
      <w:proofErr w:type="gramEnd"/>
      <w:r>
        <w:rPr>
          <w:rFonts w:hint="eastAsia"/>
        </w:rPr>
        <w:t>、粗差剔除、多路径抑制、卫星选择与权重设计）；④ 滤波更新与模糊度固定（常用 LAMBDA 等整数最小二乘方法），并</w:t>
      </w:r>
      <w:proofErr w:type="gramStart"/>
      <w:r>
        <w:rPr>
          <w:rFonts w:hint="eastAsia"/>
        </w:rPr>
        <w:t>将估计</w:t>
      </w:r>
      <w:proofErr w:type="gramEnd"/>
      <w:r>
        <w:rPr>
          <w:rFonts w:hint="eastAsia"/>
        </w:rPr>
        <w:t>的误差状态反馈校正</w:t>
      </w:r>
      <w:proofErr w:type="gramStart"/>
      <w:r>
        <w:rPr>
          <w:rFonts w:hint="eastAsia"/>
        </w:rPr>
        <w:t>到惯导</w:t>
      </w:r>
      <w:proofErr w:type="gramEnd"/>
      <w:r>
        <w:rPr>
          <w:rFonts w:hint="eastAsia"/>
        </w:rPr>
        <w:t>解算链路。</w:t>
      </w:r>
    </w:p>
    <w:p w14:paraId="34F462EE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（3）性能特点：在开阔环境或卫星几何良好时，该方案可实现</w:t>
      </w:r>
      <w:proofErr w:type="gramStart"/>
      <w:r>
        <w:rPr>
          <w:rFonts w:hint="eastAsia"/>
        </w:rPr>
        <w:t>厘米级</w:t>
      </w:r>
      <w:proofErr w:type="gramEnd"/>
      <w:r>
        <w:rPr>
          <w:rFonts w:hint="eastAsia"/>
        </w:rPr>
        <w:t>平面定位精度与稳定航向估计；在城市峡谷中，紧耦合相较松耦合能显著提升“弱可用”阶段的持续性，但仍对 NLOS 偏差与载波失锁敏感。若缺乏针对 NLOS 的建模与鲁棒处理，滤波器可能出现“被错误观测拉偏”的现象，甚至导致模糊度错误固定而产生较大跳变。</w:t>
      </w:r>
    </w:p>
    <w:p w14:paraId="1E842545" w14:textId="1B9704AE" w:rsidR="00B6609F" w:rsidRDefault="00B6609F" w:rsidP="00B6609F">
      <w:pPr>
        <w:pStyle w:val="a1"/>
        <w:rPr>
          <w:rFonts w:hint="eastAsia"/>
        </w:rPr>
      </w:pPr>
      <w:r>
        <w:rPr>
          <w:rFonts w:hint="eastAsia"/>
        </w:rPr>
        <w:t>代表性方案二：基于因子图的</w:t>
      </w:r>
      <w:proofErr w:type="gramStart"/>
      <w:r>
        <w:rPr>
          <w:rFonts w:hint="eastAsia"/>
        </w:rPr>
        <w:t>鲁棒紧耦合</w:t>
      </w:r>
      <w:proofErr w:type="gramEnd"/>
      <w:r>
        <w:rPr>
          <w:rFonts w:hint="eastAsia"/>
        </w:rPr>
        <w:t xml:space="preserve"> PPP/INS</w:t>
      </w:r>
    </w:p>
    <w:p w14:paraId="4E96959E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近年来，因子图优化（Factor Graph Optimization, FGO）在组合导航中受到关注，其核心思想是将状态变量（如位姿、速度、IMU 零偏、钟差等）与传感器观测约束表示为图中的节点与因子，通过非线性最小二乘在滑动窗口内进行迭代求解。与 EKF 的单步线性化更新不同，FGO 可在窗口内反复重线性化并同时利用</w:t>
      </w:r>
      <w:proofErr w:type="gramStart"/>
      <w:r>
        <w:rPr>
          <w:rFonts w:hint="eastAsia"/>
        </w:rPr>
        <w:t>多时刻</w:t>
      </w:r>
      <w:proofErr w:type="gramEnd"/>
      <w:r>
        <w:rPr>
          <w:rFonts w:hint="eastAsia"/>
        </w:rPr>
        <w:t>信息，便于引入非高斯鲁棒核函数与复杂先验约束。</w:t>
      </w:r>
    </w:p>
    <w:p w14:paraId="01F6A82B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 xml:space="preserve">在 PPP/INS 场景中，GNSS </w:t>
      </w:r>
      <w:proofErr w:type="gramStart"/>
      <w:r>
        <w:rPr>
          <w:rFonts w:hint="eastAsia"/>
        </w:rPr>
        <w:t>端采用非差</w:t>
      </w:r>
      <w:proofErr w:type="gramEnd"/>
      <w:r>
        <w:rPr>
          <w:rFonts w:hint="eastAsia"/>
        </w:rPr>
        <w:t xml:space="preserve">载波相位与伪距观测，结合精密星历/钟差与对流层模型进行精密单点定位；当引入 PPP-RTK/SSR 校正时，可在区域范围内显著缩短收敛时间。IMU </w:t>
      </w:r>
      <w:proofErr w:type="gramStart"/>
      <w:r>
        <w:rPr>
          <w:rFonts w:hint="eastAsia"/>
        </w:rPr>
        <w:t>端可使用</w:t>
      </w:r>
      <w:proofErr w:type="gramEnd"/>
      <w:r>
        <w:rPr>
          <w:rFonts w:hint="eastAsia"/>
        </w:rPr>
        <w:t>预积分因子在两个时刻状态之间建立运动约束，从而在 GNSS 遮挡</w:t>
      </w:r>
      <w:proofErr w:type="gramStart"/>
      <w:r>
        <w:rPr>
          <w:rFonts w:hint="eastAsia"/>
        </w:rPr>
        <w:t>或周跳频发</w:t>
      </w:r>
      <w:proofErr w:type="gramEnd"/>
      <w:r>
        <w:rPr>
          <w:rFonts w:hint="eastAsia"/>
        </w:rPr>
        <w:t>时维持可解性。</w:t>
      </w:r>
    </w:p>
    <w:p w14:paraId="6E9E1DF5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为应对城市峡谷的 NLOS 与多路径偏差，FGO 框架常配合：① 基于 C/N0 与高度角的自适应权重；② 鲁棒核函数抑制异常残差；③ 可切换约束（switchable constraints）或二元变量建模观测“可信/不可信”状态；④ 与三维地图或</w:t>
      </w:r>
      <w:proofErr w:type="gramStart"/>
      <w:r>
        <w:rPr>
          <w:rFonts w:hint="eastAsia"/>
        </w:rPr>
        <w:t>车道级约束</w:t>
      </w:r>
      <w:proofErr w:type="gramEnd"/>
      <w:r>
        <w:rPr>
          <w:rFonts w:hint="eastAsia"/>
        </w:rPr>
        <w:t>融合。总体而言，该类方法在复杂环境下的鲁棒性和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扩展性较好，但</w:t>
      </w:r>
      <w:proofErr w:type="gramStart"/>
      <w:r>
        <w:rPr>
          <w:rFonts w:hint="eastAsia"/>
        </w:rPr>
        <w:t>对算力与</w:t>
      </w:r>
      <w:proofErr w:type="gramEnd"/>
      <w:r>
        <w:rPr>
          <w:rFonts w:hint="eastAsia"/>
        </w:rPr>
        <w:t>实现</w:t>
      </w:r>
      <w:proofErr w:type="gramStart"/>
      <w:r>
        <w:rPr>
          <w:rFonts w:hint="eastAsia"/>
        </w:rPr>
        <w:t>工程化提出</w:t>
      </w:r>
      <w:proofErr w:type="gramEnd"/>
      <w:r>
        <w:rPr>
          <w:rFonts w:hint="eastAsia"/>
        </w:rPr>
        <w:t>更高要求。</w:t>
      </w:r>
    </w:p>
    <w:p w14:paraId="42F043E1" w14:textId="35012717" w:rsidR="00B6609F" w:rsidRDefault="00B6609F" w:rsidP="00B6609F">
      <w:pPr>
        <w:pStyle w:val="a1"/>
        <w:rPr>
          <w:rFonts w:hint="eastAsia"/>
        </w:rPr>
      </w:pPr>
      <w:r>
        <w:rPr>
          <w:rFonts w:hint="eastAsia"/>
        </w:rPr>
        <w:lastRenderedPageBreak/>
        <w:t>方案对比与适用性讨论</w:t>
      </w:r>
    </w:p>
    <w:p w14:paraId="1668F3AB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表1 给出了松耦合与紧/深耦合方案在关键维度上的对比总结。</w:t>
      </w:r>
    </w:p>
    <w:p w14:paraId="3C9DAD09" w14:textId="77777777" w:rsidR="002E72C0" w:rsidRDefault="002E72C0" w:rsidP="002E72C0">
      <w:pPr>
        <w:pStyle w:val="ac"/>
        <w:ind w:firstLineChars="0" w:firstLine="0"/>
        <w:rPr>
          <w:rFonts w:hint="eastAsia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604"/>
        <w:gridCol w:w="2016"/>
        <w:gridCol w:w="1604"/>
        <w:gridCol w:w="1520"/>
        <w:gridCol w:w="1548"/>
      </w:tblGrid>
      <w:tr w:rsidR="002E72C0" w14:paraId="68C11330" w14:textId="77777777" w:rsidTr="00B77CE2">
        <w:trPr>
          <w:jc w:val="center"/>
        </w:trPr>
        <w:tc>
          <w:tcPr>
            <w:tcW w:w="1769" w:type="dxa"/>
          </w:tcPr>
          <w:p w14:paraId="750D5D68" w14:textId="77777777" w:rsidR="002E72C0" w:rsidRPr="002E72C0" w:rsidRDefault="002E72C0" w:rsidP="00B77CE2">
            <w:pPr>
              <w:spacing w:line="288" w:lineRule="auto"/>
              <w:jc w:val="center"/>
              <w:rPr>
                <w:rFonts w:ascii="宋体" w:hAnsi="宋体" w:hint="eastAsia"/>
                <w:sz w:val="24"/>
              </w:rPr>
            </w:pPr>
            <w:r w:rsidRPr="002E72C0">
              <w:rPr>
                <w:rFonts w:ascii="宋体" w:hAnsi="宋体"/>
                <w:b/>
                <w:sz w:val="24"/>
              </w:rPr>
              <w:t>方案类别</w:t>
            </w:r>
          </w:p>
        </w:tc>
        <w:tc>
          <w:tcPr>
            <w:tcW w:w="1769" w:type="dxa"/>
          </w:tcPr>
          <w:p w14:paraId="1CC555EB" w14:textId="77777777" w:rsidR="002E72C0" w:rsidRPr="002E72C0" w:rsidRDefault="002E72C0" w:rsidP="00B77CE2">
            <w:pPr>
              <w:spacing w:line="288" w:lineRule="auto"/>
              <w:jc w:val="center"/>
              <w:rPr>
                <w:rFonts w:ascii="宋体" w:hAnsi="宋体" w:hint="eastAsia"/>
                <w:sz w:val="24"/>
              </w:rPr>
            </w:pPr>
            <w:r w:rsidRPr="002E72C0">
              <w:rPr>
                <w:rFonts w:ascii="宋体" w:hAnsi="宋体"/>
                <w:b/>
                <w:sz w:val="24"/>
              </w:rPr>
              <w:t>融合观测</w:t>
            </w:r>
          </w:p>
        </w:tc>
        <w:tc>
          <w:tcPr>
            <w:tcW w:w="1769" w:type="dxa"/>
          </w:tcPr>
          <w:p w14:paraId="597DEB04" w14:textId="77777777" w:rsidR="002E72C0" w:rsidRPr="002E72C0" w:rsidRDefault="002E72C0" w:rsidP="00B77CE2">
            <w:pPr>
              <w:spacing w:line="288" w:lineRule="auto"/>
              <w:jc w:val="center"/>
              <w:rPr>
                <w:rFonts w:ascii="宋体" w:hAnsi="宋体" w:hint="eastAsia"/>
                <w:sz w:val="24"/>
              </w:rPr>
            </w:pPr>
            <w:proofErr w:type="gramStart"/>
            <w:r w:rsidRPr="002E72C0">
              <w:rPr>
                <w:rFonts w:ascii="宋体" w:hAnsi="宋体"/>
                <w:b/>
                <w:sz w:val="24"/>
              </w:rPr>
              <w:t>典型实现</w:t>
            </w:r>
            <w:proofErr w:type="gramEnd"/>
          </w:p>
        </w:tc>
        <w:tc>
          <w:tcPr>
            <w:tcW w:w="1769" w:type="dxa"/>
          </w:tcPr>
          <w:p w14:paraId="4EADDFB4" w14:textId="77777777" w:rsidR="002E72C0" w:rsidRPr="002E72C0" w:rsidRDefault="002E72C0" w:rsidP="00B77CE2">
            <w:pPr>
              <w:spacing w:line="288" w:lineRule="auto"/>
              <w:jc w:val="center"/>
              <w:rPr>
                <w:rFonts w:ascii="宋体" w:hAnsi="宋体" w:hint="eastAsia"/>
                <w:sz w:val="24"/>
              </w:rPr>
            </w:pPr>
            <w:r w:rsidRPr="002E72C0">
              <w:rPr>
                <w:rFonts w:ascii="宋体" w:hAnsi="宋体"/>
                <w:b/>
                <w:sz w:val="24"/>
              </w:rPr>
              <w:t>主要优势</w:t>
            </w:r>
          </w:p>
        </w:tc>
        <w:tc>
          <w:tcPr>
            <w:tcW w:w="1769" w:type="dxa"/>
          </w:tcPr>
          <w:p w14:paraId="7F6BE1C4" w14:textId="77777777" w:rsidR="002E72C0" w:rsidRPr="002E72C0" w:rsidRDefault="002E72C0" w:rsidP="00B77CE2">
            <w:pPr>
              <w:spacing w:line="288" w:lineRule="auto"/>
              <w:jc w:val="center"/>
              <w:rPr>
                <w:rFonts w:ascii="宋体" w:hAnsi="宋体" w:hint="eastAsia"/>
                <w:sz w:val="24"/>
              </w:rPr>
            </w:pPr>
            <w:r w:rsidRPr="002E72C0">
              <w:rPr>
                <w:rFonts w:ascii="宋体" w:hAnsi="宋体"/>
                <w:b/>
                <w:sz w:val="24"/>
              </w:rPr>
              <w:t>主要局限</w:t>
            </w:r>
          </w:p>
        </w:tc>
      </w:tr>
      <w:tr w:rsidR="002E72C0" w14:paraId="4CD2FB67" w14:textId="77777777" w:rsidTr="00B77CE2">
        <w:trPr>
          <w:jc w:val="center"/>
        </w:trPr>
        <w:tc>
          <w:tcPr>
            <w:tcW w:w="1769" w:type="dxa"/>
            <w:vAlign w:val="center"/>
          </w:tcPr>
          <w:p w14:paraId="520A035C" w14:textId="77777777" w:rsidR="002E72C0" w:rsidRPr="002E72C0" w:rsidRDefault="002E72C0" w:rsidP="00B77CE2">
            <w:pPr>
              <w:spacing w:line="288" w:lineRule="auto"/>
              <w:jc w:val="center"/>
              <w:rPr>
                <w:rFonts w:ascii="宋体" w:hAnsi="宋体" w:hint="eastAsia"/>
                <w:sz w:val="24"/>
              </w:rPr>
            </w:pPr>
            <w:r w:rsidRPr="002E72C0">
              <w:rPr>
                <w:rFonts w:ascii="宋体" w:hAnsi="宋体"/>
                <w:sz w:val="24"/>
              </w:rPr>
              <w:t>松耦合（LC）</w:t>
            </w:r>
          </w:p>
        </w:tc>
        <w:tc>
          <w:tcPr>
            <w:tcW w:w="1769" w:type="dxa"/>
            <w:vAlign w:val="center"/>
          </w:tcPr>
          <w:p w14:paraId="652FC1FA" w14:textId="77777777" w:rsidR="002E72C0" w:rsidRPr="002E72C0" w:rsidRDefault="002E72C0" w:rsidP="00B77CE2">
            <w:pPr>
              <w:spacing w:line="288" w:lineRule="auto"/>
              <w:rPr>
                <w:rFonts w:ascii="宋体" w:hAnsi="宋体" w:hint="eastAsia"/>
                <w:sz w:val="24"/>
              </w:rPr>
            </w:pPr>
            <w:r w:rsidRPr="002E72C0">
              <w:rPr>
                <w:rFonts w:ascii="宋体" w:hAnsi="宋体"/>
                <w:sz w:val="24"/>
              </w:rPr>
              <w:t>GNSS 解算输出（PVT/RTK/PPP）</w:t>
            </w:r>
          </w:p>
        </w:tc>
        <w:tc>
          <w:tcPr>
            <w:tcW w:w="1769" w:type="dxa"/>
            <w:vAlign w:val="center"/>
          </w:tcPr>
          <w:p w14:paraId="743180B0" w14:textId="77777777" w:rsidR="002E72C0" w:rsidRPr="002E72C0" w:rsidRDefault="002E72C0" w:rsidP="00B77CE2">
            <w:pPr>
              <w:spacing w:line="288" w:lineRule="auto"/>
              <w:rPr>
                <w:rFonts w:ascii="宋体" w:hAnsi="宋体" w:hint="eastAsia"/>
                <w:sz w:val="24"/>
              </w:rPr>
            </w:pPr>
            <w:r w:rsidRPr="002E72C0">
              <w:rPr>
                <w:rFonts w:ascii="宋体" w:hAnsi="宋体"/>
                <w:sz w:val="24"/>
              </w:rPr>
              <w:t>GNSS 解算 + ES-EKF</w:t>
            </w:r>
          </w:p>
        </w:tc>
        <w:tc>
          <w:tcPr>
            <w:tcW w:w="1769" w:type="dxa"/>
            <w:vAlign w:val="center"/>
          </w:tcPr>
          <w:p w14:paraId="2A22DD38" w14:textId="77777777" w:rsidR="002E72C0" w:rsidRPr="002E72C0" w:rsidRDefault="002E72C0" w:rsidP="00B77CE2">
            <w:pPr>
              <w:spacing w:line="288" w:lineRule="auto"/>
              <w:rPr>
                <w:rFonts w:ascii="宋体" w:hAnsi="宋体" w:hint="eastAsia"/>
                <w:sz w:val="24"/>
              </w:rPr>
            </w:pPr>
            <w:r w:rsidRPr="002E72C0">
              <w:rPr>
                <w:rFonts w:ascii="宋体" w:hAnsi="宋体"/>
                <w:sz w:val="24"/>
              </w:rPr>
              <w:t>实现简单；对接收机要求低；工程成熟</w:t>
            </w:r>
          </w:p>
        </w:tc>
        <w:tc>
          <w:tcPr>
            <w:tcW w:w="1769" w:type="dxa"/>
            <w:vAlign w:val="center"/>
          </w:tcPr>
          <w:p w14:paraId="168D7BCC" w14:textId="77777777" w:rsidR="002E72C0" w:rsidRPr="002E72C0" w:rsidRDefault="002E72C0" w:rsidP="00B77CE2">
            <w:pPr>
              <w:spacing w:line="288" w:lineRule="auto"/>
              <w:rPr>
                <w:rFonts w:ascii="宋体" w:hAnsi="宋体" w:hint="eastAsia"/>
                <w:sz w:val="24"/>
              </w:rPr>
            </w:pPr>
            <w:r w:rsidRPr="002E72C0">
              <w:rPr>
                <w:rFonts w:ascii="宋体" w:hAnsi="宋体"/>
                <w:sz w:val="24"/>
              </w:rPr>
              <w:t>卫星不足/解算中断时无法更新；难细化建模 NLOS/</w:t>
            </w:r>
            <w:proofErr w:type="gramStart"/>
            <w:r w:rsidRPr="002E72C0">
              <w:rPr>
                <w:rFonts w:ascii="宋体" w:hAnsi="宋体"/>
                <w:sz w:val="24"/>
              </w:rPr>
              <w:t>周跳</w:t>
            </w:r>
            <w:proofErr w:type="gramEnd"/>
          </w:p>
        </w:tc>
      </w:tr>
      <w:tr w:rsidR="002E72C0" w14:paraId="70EA711E" w14:textId="77777777" w:rsidTr="00B77CE2">
        <w:trPr>
          <w:jc w:val="center"/>
        </w:trPr>
        <w:tc>
          <w:tcPr>
            <w:tcW w:w="1769" w:type="dxa"/>
            <w:vAlign w:val="center"/>
          </w:tcPr>
          <w:p w14:paraId="55038465" w14:textId="77777777" w:rsidR="002E72C0" w:rsidRPr="002E72C0" w:rsidRDefault="002E72C0" w:rsidP="00B77CE2">
            <w:pPr>
              <w:spacing w:line="288" w:lineRule="auto"/>
              <w:jc w:val="center"/>
              <w:rPr>
                <w:rFonts w:ascii="宋体" w:hAnsi="宋体" w:hint="eastAsia"/>
                <w:sz w:val="24"/>
              </w:rPr>
            </w:pPr>
            <w:r w:rsidRPr="002E72C0">
              <w:rPr>
                <w:rFonts w:ascii="宋体" w:hAnsi="宋体"/>
                <w:sz w:val="24"/>
              </w:rPr>
              <w:t>紧耦合（TC）</w:t>
            </w:r>
          </w:p>
        </w:tc>
        <w:tc>
          <w:tcPr>
            <w:tcW w:w="1769" w:type="dxa"/>
            <w:vAlign w:val="center"/>
          </w:tcPr>
          <w:p w14:paraId="02FAF8B4" w14:textId="77777777" w:rsidR="002E72C0" w:rsidRPr="002E72C0" w:rsidRDefault="002E72C0" w:rsidP="00B77CE2">
            <w:pPr>
              <w:spacing w:line="288" w:lineRule="auto"/>
              <w:rPr>
                <w:rFonts w:ascii="宋体" w:hAnsi="宋体" w:hint="eastAsia"/>
                <w:sz w:val="24"/>
              </w:rPr>
            </w:pPr>
            <w:r w:rsidRPr="002E72C0">
              <w:rPr>
                <w:rFonts w:ascii="宋体" w:hAnsi="宋体"/>
                <w:sz w:val="24"/>
              </w:rPr>
              <w:t>伪距/载波/多普勒等原始观测</w:t>
            </w:r>
          </w:p>
        </w:tc>
        <w:tc>
          <w:tcPr>
            <w:tcW w:w="1769" w:type="dxa"/>
            <w:vAlign w:val="center"/>
          </w:tcPr>
          <w:p w14:paraId="7123B4FB" w14:textId="77777777" w:rsidR="002E72C0" w:rsidRPr="002E72C0" w:rsidRDefault="002E72C0" w:rsidP="00B77CE2">
            <w:pPr>
              <w:spacing w:line="288" w:lineRule="auto"/>
              <w:rPr>
                <w:rFonts w:ascii="宋体" w:hAnsi="宋体" w:hint="eastAsia"/>
                <w:sz w:val="24"/>
              </w:rPr>
            </w:pPr>
            <w:r w:rsidRPr="002E72C0">
              <w:rPr>
                <w:rFonts w:ascii="宋体" w:hAnsi="宋体"/>
                <w:sz w:val="24"/>
              </w:rPr>
              <w:t>ES-EKF 紧耦合 RTK/INS</w:t>
            </w:r>
          </w:p>
        </w:tc>
        <w:tc>
          <w:tcPr>
            <w:tcW w:w="1769" w:type="dxa"/>
            <w:vAlign w:val="center"/>
          </w:tcPr>
          <w:p w14:paraId="01E2E5BE" w14:textId="77777777" w:rsidR="002E72C0" w:rsidRPr="002E72C0" w:rsidRDefault="002E72C0" w:rsidP="00B77CE2">
            <w:pPr>
              <w:spacing w:line="288" w:lineRule="auto"/>
              <w:rPr>
                <w:rFonts w:ascii="宋体" w:hAnsi="宋体" w:hint="eastAsia"/>
                <w:sz w:val="24"/>
              </w:rPr>
            </w:pPr>
            <w:r w:rsidRPr="002E72C0">
              <w:rPr>
                <w:rFonts w:ascii="宋体" w:hAnsi="宋体"/>
                <w:sz w:val="24"/>
              </w:rPr>
              <w:t>弱可用场景可维持可观测性；可统一权重与质量控制</w:t>
            </w:r>
          </w:p>
        </w:tc>
        <w:tc>
          <w:tcPr>
            <w:tcW w:w="1769" w:type="dxa"/>
            <w:vAlign w:val="center"/>
          </w:tcPr>
          <w:p w14:paraId="78946B6F" w14:textId="77777777" w:rsidR="002E72C0" w:rsidRPr="002E72C0" w:rsidRDefault="002E72C0" w:rsidP="00B77CE2">
            <w:pPr>
              <w:spacing w:line="288" w:lineRule="auto"/>
              <w:rPr>
                <w:rFonts w:ascii="宋体" w:hAnsi="宋体" w:hint="eastAsia"/>
                <w:sz w:val="24"/>
              </w:rPr>
            </w:pPr>
            <w:r w:rsidRPr="002E72C0">
              <w:rPr>
                <w:rFonts w:ascii="宋体" w:hAnsi="宋体"/>
                <w:sz w:val="24"/>
              </w:rPr>
              <w:t>实现复杂；需要原始观测与更精细同步/标定；对异常</w:t>
            </w:r>
            <w:proofErr w:type="gramStart"/>
            <w:r w:rsidRPr="002E72C0">
              <w:rPr>
                <w:rFonts w:ascii="宋体" w:hAnsi="宋体"/>
                <w:sz w:val="24"/>
              </w:rPr>
              <w:t>观测仍</w:t>
            </w:r>
            <w:proofErr w:type="gramEnd"/>
            <w:r w:rsidRPr="002E72C0">
              <w:rPr>
                <w:rFonts w:ascii="宋体" w:hAnsi="宋体"/>
                <w:sz w:val="24"/>
              </w:rPr>
              <w:t>敏感</w:t>
            </w:r>
          </w:p>
        </w:tc>
      </w:tr>
      <w:tr w:rsidR="002E72C0" w14:paraId="754FA35B" w14:textId="77777777" w:rsidTr="00B77CE2">
        <w:trPr>
          <w:jc w:val="center"/>
        </w:trPr>
        <w:tc>
          <w:tcPr>
            <w:tcW w:w="1769" w:type="dxa"/>
            <w:vAlign w:val="center"/>
          </w:tcPr>
          <w:p w14:paraId="6D027D1D" w14:textId="77777777" w:rsidR="002E72C0" w:rsidRPr="002E72C0" w:rsidRDefault="002E72C0" w:rsidP="00B77CE2">
            <w:pPr>
              <w:spacing w:line="288" w:lineRule="auto"/>
              <w:jc w:val="center"/>
              <w:rPr>
                <w:rFonts w:ascii="宋体" w:hAnsi="宋体" w:hint="eastAsia"/>
                <w:sz w:val="24"/>
              </w:rPr>
            </w:pPr>
            <w:r w:rsidRPr="002E72C0">
              <w:rPr>
                <w:rFonts w:ascii="宋体" w:hAnsi="宋体"/>
                <w:sz w:val="24"/>
              </w:rPr>
              <w:t>深耦合（DC）</w:t>
            </w:r>
          </w:p>
        </w:tc>
        <w:tc>
          <w:tcPr>
            <w:tcW w:w="1769" w:type="dxa"/>
            <w:vAlign w:val="center"/>
          </w:tcPr>
          <w:p w14:paraId="1386AD0F" w14:textId="77777777" w:rsidR="002E72C0" w:rsidRPr="002E72C0" w:rsidRDefault="002E72C0" w:rsidP="00B77CE2">
            <w:pPr>
              <w:spacing w:line="288" w:lineRule="auto"/>
              <w:rPr>
                <w:rFonts w:ascii="宋体" w:hAnsi="宋体" w:hint="eastAsia"/>
                <w:sz w:val="24"/>
              </w:rPr>
            </w:pPr>
            <w:r w:rsidRPr="002E72C0">
              <w:rPr>
                <w:rFonts w:ascii="宋体" w:hAnsi="宋体"/>
                <w:sz w:val="24"/>
              </w:rPr>
              <w:t>观测甚至进入跟踪环/相关器层</w:t>
            </w:r>
          </w:p>
        </w:tc>
        <w:tc>
          <w:tcPr>
            <w:tcW w:w="1769" w:type="dxa"/>
            <w:vAlign w:val="center"/>
          </w:tcPr>
          <w:p w14:paraId="30A9E51A" w14:textId="77777777" w:rsidR="002E72C0" w:rsidRPr="002E72C0" w:rsidRDefault="002E72C0" w:rsidP="00B77CE2">
            <w:pPr>
              <w:spacing w:line="288" w:lineRule="auto"/>
              <w:rPr>
                <w:rFonts w:ascii="宋体" w:hAnsi="宋体" w:hint="eastAsia"/>
                <w:sz w:val="24"/>
              </w:rPr>
            </w:pPr>
            <w:r w:rsidRPr="002E72C0">
              <w:rPr>
                <w:rFonts w:ascii="宋体" w:hAnsi="宋体"/>
                <w:sz w:val="24"/>
              </w:rPr>
              <w:t>INS 辅助跟踪环/联合估计</w:t>
            </w:r>
          </w:p>
        </w:tc>
        <w:tc>
          <w:tcPr>
            <w:tcW w:w="1769" w:type="dxa"/>
            <w:vAlign w:val="center"/>
          </w:tcPr>
          <w:p w14:paraId="00C6E952" w14:textId="77777777" w:rsidR="002E72C0" w:rsidRPr="002E72C0" w:rsidRDefault="002E72C0" w:rsidP="00B77CE2">
            <w:pPr>
              <w:spacing w:line="288" w:lineRule="auto"/>
              <w:rPr>
                <w:rFonts w:ascii="宋体" w:hAnsi="宋体" w:hint="eastAsia"/>
                <w:sz w:val="24"/>
              </w:rPr>
            </w:pPr>
            <w:r w:rsidRPr="002E72C0">
              <w:rPr>
                <w:rFonts w:ascii="宋体" w:hAnsi="宋体"/>
                <w:sz w:val="24"/>
              </w:rPr>
              <w:t>极弱信号条件下提升跟踪与抗失锁能力</w:t>
            </w:r>
          </w:p>
        </w:tc>
        <w:tc>
          <w:tcPr>
            <w:tcW w:w="1769" w:type="dxa"/>
            <w:vAlign w:val="center"/>
          </w:tcPr>
          <w:p w14:paraId="69F19E37" w14:textId="77777777" w:rsidR="002E72C0" w:rsidRPr="002E72C0" w:rsidRDefault="002E72C0" w:rsidP="00B77CE2">
            <w:pPr>
              <w:spacing w:line="288" w:lineRule="auto"/>
              <w:rPr>
                <w:rFonts w:ascii="宋体" w:hAnsi="宋体" w:hint="eastAsia"/>
                <w:sz w:val="24"/>
              </w:rPr>
            </w:pPr>
            <w:r w:rsidRPr="002E72C0">
              <w:rPr>
                <w:rFonts w:ascii="宋体" w:hAnsi="宋体"/>
                <w:sz w:val="24"/>
              </w:rPr>
              <w:t>接收机与算法耦合最深，工程门槛高；可移植性较差</w:t>
            </w:r>
          </w:p>
        </w:tc>
      </w:tr>
      <w:tr w:rsidR="002E72C0" w14:paraId="6E31CF9A" w14:textId="77777777" w:rsidTr="00B77CE2">
        <w:trPr>
          <w:jc w:val="center"/>
        </w:trPr>
        <w:tc>
          <w:tcPr>
            <w:tcW w:w="1769" w:type="dxa"/>
            <w:vAlign w:val="center"/>
          </w:tcPr>
          <w:p w14:paraId="0B3ADDA3" w14:textId="77777777" w:rsidR="002E72C0" w:rsidRPr="002E72C0" w:rsidRDefault="002E72C0" w:rsidP="00B77CE2">
            <w:pPr>
              <w:spacing w:line="288" w:lineRule="auto"/>
              <w:jc w:val="center"/>
              <w:rPr>
                <w:rFonts w:ascii="宋体" w:hAnsi="宋体" w:hint="eastAsia"/>
                <w:sz w:val="24"/>
              </w:rPr>
            </w:pPr>
            <w:r w:rsidRPr="002E72C0">
              <w:rPr>
                <w:rFonts w:ascii="宋体" w:hAnsi="宋体"/>
                <w:sz w:val="24"/>
              </w:rPr>
              <w:t>优化式（FGO）紧耦合</w:t>
            </w:r>
          </w:p>
        </w:tc>
        <w:tc>
          <w:tcPr>
            <w:tcW w:w="1769" w:type="dxa"/>
            <w:vAlign w:val="center"/>
          </w:tcPr>
          <w:p w14:paraId="6C556831" w14:textId="77777777" w:rsidR="002E72C0" w:rsidRPr="002E72C0" w:rsidRDefault="002E72C0" w:rsidP="00B77CE2">
            <w:pPr>
              <w:spacing w:line="288" w:lineRule="auto"/>
              <w:rPr>
                <w:rFonts w:ascii="宋体" w:hAnsi="宋体" w:hint="eastAsia"/>
                <w:sz w:val="24"/>
              </w:rPr>
            </w:pPr>
            <w:r w:rsidRPr="002E72C0">
              <w:rPr>
                <w:rFonts w:ascii="宋体" w:hAnsi="宋体"/>
                <w:sz w:val="24"/>
              </w:rPr>
              <w:t>原始观测 + IMU 预积分因子</w:t>
            </w:r>
          </w:p>
        </w:tc>
        <w:tc>
          <w:tcPr>
            <w:tcW w:w="1769" w:type="dxa"/>
            <w:vAlign w:val="center"/>
          </w:tcPr>
          <w:p w14:paraId="238AFF90" w14:textId="77777777" w:rsidR="002E72C0" w:rsidRPr="002E72C0" w:rsidRDefault="002E72C0" w:rsidP="00B77CE2">
            <w:pPr>
              <w:spacing w:line="288" w:lineRule="auto"/>
              <w:rPr>
                <w:rFonts w:ascii="宋体" w:hAnsi="宋体" w:hint="eastAsia"/>
                <w:sz w:val="24"/>
              </w:rPr>
            </w:pPr>
            <w:proofErr w:type="gramStart"/>
            <w:r w:rsidRPr="002E72C0">
              <w:rPr>
                <w:rFonts w:ascii="宋体" w:hAnsi="宋体"/>
                <w:sz w:val="24"/>
              </w:rPr>
              <w:t>滑窗非线性</w:t>
            </w:r>
            <w:proofErr w:type="gramEnd"/>
            <w:r w:rsidRPr="002E72C0">
              <w:rPr>
                <w:rFonts w:ascii="宋体" w:hAnsi="宋体"/>
                <w:sz w:val="24"/>
              </w:rPr>
              <w:t>优化（鲁棒核）</w:t>
            </w:r>
          </w:p>
        </w:tc>
        <w:tc>
          <w:tcPr>
            <w:tcW w:w="1769" w:type="dxa"/>
            <w:vAlign w:val="center"/>
          </w:tcPr>
          <w:p w14:paraId="267AF02F" w14:textId="77777777" w:rsidR="002E72C0" w:rsidRPr="002E72C0" w:rsidRDefault="002E72C0" w:rsidP="00B77CE2">
            <w:pPr>
              <w:spacing w:line="288" w:lineRule="auto"/>
              <w:rPr>
                <w:rFonts w:ascii="宋体" w:hAnsi="宋体" w:hint="eastAsia"/>
                <w:sz w:val="24"/>
              </w:rPr>
            </w:pPr>
            <w:r w:rsidRPr="002E72C0">
              <w:rPr>
                <w:rFonts w:ascii="宋体" w:hAnsi="宋体"/>
                <w:sz w:val="24"/>
              </w:rPr>
              <w:t>便于引入</w:t>
            </w:r>
            <w:proofErr w:type="gramStart"/>
            <w:r w:rsidRPr="002E72C0">
              <w:rPr>
                <w:rFonts w:ascii="宋体" w:hAnsi="宋体"/>
                <w:sz w:val="24"/>
              </w:rPr>
              <w:t>非高斯鲁棒项与</w:t>
            </w:r>
            <w:proofErr w:type="gramEnd"/>
            <w:r w:rsidRPr="002E72C0">
              <w:rPr>
                <w:rFonts w:ascii="宋体" w:hAnsi="宋体"/>
                <w:sz w:val="24"/>
              </w:rPr>
              <w:t>多源先验；整体一致性好</w:t>
            </w:r>
          </w:p>
        </w:tc>
        <w:tc>
          <w:tcPr>
            <w:tcW w:w="1769" w:type="dxa"/>
            <w:vAlign w:val="center"/>
          </w:tcPr>
          <w:p w14:paraId="555D0FBE" w14:textId="77777777" w:rsidR="002E72C0" w:rsidRPr="002E72C0" w:rsidRDefault="002E72C0" w:rsidP="00B77CE2">
            <w:pPr>
              <w:spacing w:line="288" w:lineRule="auto"/>
              <w:rPr>
                <w:rFonts w:ascii="宋体" w:hAnsi="宋体" w:hint="eastAsia"/>
                <w:sz w:val="24"/>
              </w:rPr>
            </w:pPr>
            <w:proofErr w:type="gramStart"/>
            <w:r w:rsidRPr="002E72C0">
              <w:rPr>
                <w:rFonts w:ascii="宋体" w:hAnsi="宋体"/>
                <w:sz w:val="24"/>
              </w:rPr>
              <w:t>算力与</w:t>
            </w:r>
            <w:proofErr w:type="gramEnd"/>
            <w:r w:rsidRPr="002E72C0">
              <w:rPr>
                <w:rFonts w:ascii="宋体" w:hAnsi="宋体"/>
                <w:sz w:val="24"/>
              </w:rPr>
              <w:t>实现复杂度较高；实时性与稳定性</w:t>
            </w:r>
            <w:proofErr w:type="gramStart"/>
            <w:r w:rsidRPr="002E72C0">
              <w:rPr>
                <w:rFonts w:ascii="宋体" w:hAnsi="宋体"/>
                <w:sz w:val="24"/>
              </w:rPr>
              <w:t>需工程</w:t>
            </w:r>
            <w:proofErr w:type="gramEnd"/>
            <w:r w:rsidRPr="002E72C0">
              <w:rPr>
                <w:rFonts w:ascii="宋体" w:hAnsi="宋体"/>
                <w:sz w:val="24"/>
              </w:rPr>
              <w:t>调优</w:t>
            </w:r>
          </w:p>
        </w:tc>
      </w:tr>
    </w:tbl>
    <w:p w14:paraId="05ED1590" w14:textId="77777777" w:rsidR="00B6609F" w:rsidRPr="002E72C0" w:rsidRDefault="00B6609F" w:rsidP="00B6609F">
      <w:pPr>
        <w:pStyle w:val="ac"/>
        <w:rPr>
          <w:rFonts w:hint="eastAsia"/>
        </w:rPr>
      </w:pPr>
    </w:p>
    <w:p w14:paraId="7360E62A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从工程</w:t>
      </w:r>
      <w:proofErr w:type="gramStart"/>
      <w:r>
        <w:rPr>
          <w:rFonts w:hint="eastAsia"/>
        </w:rPr>
        <w:t>适</w:t>
      </w:r>
      <w:proofErr w:type="gramEnd"/>
      <w:r>
        <w:rPr>
          <w:rFonts w:hint="eastAsia"/>
        </w:rPr>
        <w:t>配角度看，若系统目标是“成本敏感 + 现有接收机接口受限”，松耦合依然具备较高性价比；若目标强调城市峡谷可用性与连续性，紧耦合及其</w:t>
      </w:r>
      <w:proofErr w:type="gramStart"/>
      <w:r>
        <w:rPr>
          <w:rFonts w:hint="eastAsia"/>
        </w:rPr>
        <w:t>鲁棒化处理</w:t>
      </w:r>
      <w:proofErr w:type="gramEnd"/>
      <w:r>
        <w:rPr>
          <w:rFonts w:hint="eastAsia"/>
        </w:rPr>
        <w:t>通常更具优势；当面临超弱信号或高动态工况（如隧道口快速进出、遮挡频繁切换），深耦合与 INS 辅助跟踪可进一步提升跟踪稳定性，但需要更深层的接收机协同设计。</w:t>
      </w:r>
    </w:p>
    <w:p w14:paraId="676AC394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此外，滤波式（EKF）与优化式（FGO）并非互斥：在资源受限的车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平台上，常采用 EKF 实时输出，再以优化式后端进行一致性提升或离线回放；在具备</w:t>
      </w:r>
      <w:proofErr w:type="gramStart"/>
      <w:r>
        <w:rPr>
          <w:rFonts w:hint="eastAsia"/>
        </w:rPr>
        <w:t>较强算力的</w:t>
      </w:r>
      <w:proofErr w:type="gramEnd"/>
      <w:r>
        <w:rPr>
          <w:rFonts w:hint="eastAsia"/>
        </w:rPr>
        <w:t>平台上，可直接</w:t>
      </w:r>
      <w:proofErr w:type="gramStart"/>
      <w:r>
        <w:rPr>
          <w:rFonts w:hint="eastAsia"/>
        </w:rPr>
        <w:t>采用滑窗</w:t>
      </w:r>
      <w:proofErr w:type="gramEnd"/>
      <w:r>
        <w:rPr>
          <w:rFonts w:hint="eastAsia"/>
        </w:rPr>
        <w:t xml:space="preserve"> FGO 实时求解，并通过边缘化策略控制窗口大小与计算复杂度。</w:t>
      </w:r>
    </w:p>
    <w:p w14:paraId="05DDFB62" w14:textId="14909F76" w:rsidR="00B6609F" w:rsidRDefault="00B6609F" w:rsidP="00B6609F">
      <w:pPr>
        <w:pStyle w:val="a"/>
      </w:pPr>
      <w:r>
        <w:rPr>
          <w:rFonts w:hint="eastAsia"/>
        </w:rPr>
        <w:lastRenderedPageBreak/>
        <w:t>问题与发展趋势</w:t>
      </w:r>
    </w:p>
    <w:p w14:paraId="30018052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（1）城市环境非视距与多路径的偏置建模：NLOS 误差往往呈现“系统性偏置 + 环境相关”，仅靠残差门限剔除容易造成可用卫星不足或误判。未来需要结合</w:t>
      </w:r>
      <w:proofErr w:type="gramStart"/>
      <w:r>
        <w:rPr>
          <w:rFonts w:hint="eastAsia"/>
        </w:rPr>
        <w:t>三维城市</w:t>
      </w:r>
      <w:proofErr w:type="gramEnd"/>
      <w:r>
        <w:rPr>
          <w:rFonts w:hint="eastAsia"/>
        </w:rPr>
        <w:t>场景（3D Building Model）、多传感器语义感知或学习型判别器，对观测可信度进行更精细的概率建模，并与鲁棒优化统一。</w:t>
      </w:r>
    </w:p>
    <w:p w14:paraId="44A49996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（2）完整性监测与安全威胁：自动驾驶对定位不仅要求“精度”，还要求“可信度量化”。在电磁干扰、欺骗（spoofing）与压制（jamming）风险上升的背景下，面向车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应用的故障检测与隔离（FDI）、保护水平（protection level）与多源一致性校验将成为关键能力。</w:t>
      </w:r>
    </w:p>
    <w:p w14:paraId="79A4FA7D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（3）低成本 IMU 的误差补偿与在线标定：MEMS 传感器存在温漂、装配应力与老化效应，外参（IMU-天线杠杆臂/安装角）在车辆长期使用中也可能发生变化。研究趋势包括将温度、标定参数与漂移过程纳入状态联合估计，以及利用车辆运动学约束（如非完整约束、轮速、转向角）提升可观测性。</w:t>
      </w:r>
    </w:p>
    <w:p w14:paraId="492A75EF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（4）多星座多频与 PPP-RTK：随着多星座（GPS/GLONASS/Galileo/BDS）与多频观测普及，紧耦合融合可获得更好的几何与冗余度。PPP-RTK/SSR 校正服务的发展，有望在广域范围提供接近 RTK 的精度与更高可用性，为车载规模化部署提供路径。</w:t>
      </w:r>
    </w:p>
    <w:p w14:paraId="7CFB3AA5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（5）跨模态融合与先验约束：在隧道、地下停车场等 GNSS 极弱区域，IMU/GNSS 往往需要与视觉、激光雷达、UWB、5G/6G 或高精地图进行多源融合。未来系统设计将更强调“场景自适应”的传感器管理与融合层级切换（如 GNSS 可用时以 GNSS 约束为主，失效时自动退化为 VIO/里程计/地图约束）。</w:t>
      </w:r>
    </w:p>
    <w:p w14:paraId="4D05D090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（6）算法工程化：面向量</w:t>
      </w:r>
      <w:proofErr w:type="gramStart"/>
      <w:r>
        <w:rPr>
          <w:rFonts w:hint="eastAsia"/>
        </w:rPr>
        <w:t>产需要</w:t>
      </w:r>
      <w:proofErr w:type="gramEnd"/>
      <w:r>
        <w:rPr>
          <w:rFonts w:hint="eastAsia"/>
        </w:rPr>
        <w:t>在实时性、鲁棒性、可维护性之间平衡。如何在车</w:t>
      </w:r>
      <w:proofErr w:type="gramStart"/>
      <w:r>
        <w:rPr>
          <w:rFonts w:hint="eastAsia"/>
        </w:rPr>
        <w:t>规算力</w:t>
      </w:r>
      <w:proofErr w:type="gramEnd"/>
      <w:r>
        <w:rPr>
          <w:rFonts w:hint="eastAsia"/>
        </w:rPr>
        <w:t>与功耗约束下实现鲁棒优化、并建立可复现的评测基准（遮挡、多路径、周跳、欺骗）与软件验证流程，是学术成果走向工程落地的关键。</w:t>
      </w:r>
    </w:p>
    <w:p w14:paraId="731F11A1" w14:textId="054E9F3F" w:rsidR="00B6609F" w:rsidRDefault="00B6609F" w:rsidP="00B6609F">
      <w:pPr>
        <w:pStyle w:val="a"/>
      </w:pPr>
      <w:r>
        <w:rPr>
          <w:rFonts w:hint="eastAsia"/>
        </w:rPr>
        <w:t>总结</w:t>
      </w:r>
    </w:p>
    <w:p w14:paraId="09F44E38" w14:textId="77777777" w:rsid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IMU/GNSS 组合导航利用两类传感器在“连续性”和“绝对基准”上的互补性，为城市峡谷自动驾驶提供了主流的高可靠定位方案。本文从测量机理与误差特性出发，以耦合层级为主线归纳了松耦合与紧/深耦合两类典型方案，并对 EKF 紧耦合 RTK/INS 与</w:t>
      </w:r>
      <w:proofErr w:type="gramStart"/>
      <w:r>
        <w:rPr>
          <w:rFonts w:hint="eastAsia"/>
        </w:rPr>
        <w:t>因子图紧耦合</w:t>
      </w:r>
      <w:proofErr w:type="gramEnd"/>
      <w:r>
        <w:rPr>
          <w:rFonts w:hint="eastAsia"/>
        </w:rPr>
        <w:t xml:space="preserve"> PPP/INS 的系统流程、优势与局限进行了对比。</w:t>
      </w:r>
    </w:p>
    <w:p w14:paraId="08FF165C" w14:textId="7C697037" w:rsidR="0011048D" w:rsidRPr="00B6609F" w:rsidRDefault="00B6609F" w:rsidP="00B6609F">
      <w:pPr>
        <w:pStyle w:val="ac"/>
        <w:rPr>
          <w:rFonts w:hint="eastAsia"/>
        </w:rPr>
      </w:pPr>
      <w:r>
        <w:rPr>
          <w:rFonts w:hint="eastAsia"/>
        </w:rPr>
        <w:t>总体来看，紧耦合与鲁棒优化在复杂遮挡环境下具备更好的可用性与可扩展</w:t>
      </w:r>
      <w:r>
        <w:rPr>
          <w:rFonts w:hint="eastAsia"/>
        </w:rPr>
        <w:lastRenderedPageBreak/>
        <w:t>性，但对原始观测获取、同步标定</w:t>
      </w:r>
      <w:proofErr w:type="gramStart"/>
      <w:r>
        <w:rPr>
          <w:rFonts w:hint="eastAsia"/>
        </w:rPr>
        <w:t>与算力</w:t>
      </w:r>
      <w:proofErr w:type="gramEnd"/>
      <w:r>
        <w:rPr>
          <w:rFonts w:hint="eastAsia"/>
        </w:rPr>
        <w:t>提出更高要求。面向未来，围绕 NLOS/多路径偏置建模、完整性监测与抗欺骗、低成本传感器在线标定、PPP-RTK 服务化以及跨模态融合等方向的协同推进，将是提升车载定位“精度-连续性-可信度”综合指标的主要路径</w:t>
      </w:r>
    </w:p>
    <w:p w14:paraId="3D097A60" w14:textId="77777777" w:rsidR="001C73D2" w:rsidRDefault="001C73D2" w:rsidP="00C809B3">
      <w:pPr>
        <w:spacing w:beforeLines="100" w:before="312" w:afterLines="100" w:after="312"/>
        <w:ind w:firstLine="641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参考文献</w:t>
      </w:r>
    </w:p>
    <w:p w14:paraId="0D2C0DCC" w14:textId="306D7895" w:rsidR="00B6609F" w:rsidRPr="00B6609F" w:rsidRDefault="00B6609F" w:rsidP="00B6609F">
      <w:pPr>
        <w:spacing w:line="400" w:lineRule="exact"/>
        <w:rPr>
          <w:rFonts w:ascii="宋体" w:hAnsi="宋体" w:hint="eastAsia"/>
          <w:sz w:val="24"/>
        </w:rPr>
      </w:pPr>
      <w:r w:rsidRPr="00B6609F">
        <w:rPr>
          <w:rFonts w:ascii="宋体" w:hAnsi="宋体"/>
          <w:sz w:val="24"/>
        </w:rPr>
        <w:t>[1] Groves P D. Principles of GNSS, Inertial, and Multisensor Integrated Navigation Systems[M]. 2nd ed. Boston: Artech House, 2013.</w:t>
      </w:r>
    </w:p>
    <w:p w14:paraId="6E19F943" w14:textId="77777777" w:rsidR="00B6609F" w:rsidRPr="00B6609F" w:rsidRDefault="00B6609F" w:rsidP="00B6609F">
      <w:pPr>
        <w:spacing w:line="400" w:lineRule="exact"/>
        <w:rPr>
          <w:rFonts w:ascii="宋体" w:hAnsi="宋体" w:hint="eastAsia"/>
          <w:sz w:val="24"/>
        </w:rPr>
      </w:pPr>
      <w:r w:rsidRPr="00B6609F">
        <w:rPr>
          <w:rFonts w:ascii="宋体" w:hAnsi="宋体"/>
          <w:sz w:val="24"/>
        </w:rPr>
        <w:t>[2] Titterton D H, Weston J L. Strapdown Inertial Navigation Technology[M]. 2nd ed. London: The Institution of Engineering and Technology, 2004.</w:t>
      </w:r>
    </w:p>
    <w:p w14:paraId="757C7B58" w14:textId="77777777" w:rsidR="00B6609F" w:rsidRPr="00B6609F" w:rsidRDefault="00B6609F" w:rsidP="00B6609F">
      <w:pPr>
        <w:spacing w:line="400" w:lineRule="exact"/>
        <w:rPr>
          <w:rFonts w:ascii="宋体" w:hAnsi="宋体" w:hint="eastAsia"/>
          <w:sz w:val="24"/>
        </w:rPr>
      </w:pPr>
      <w:r w:rsidRPr="00B6609F">
        <w:rPr>
          <w:rFonts w:ascii="宋体" w:hAnsi="宋体"/>
          <w:sz w:val="24"/>
        </w:rPr>
        <w:t>[3] Kaplan E D, Hegarty C J. Understanding GPS/GNSS: Principles and Applications[M]. 3rd ed. Norwood, MA: Artech House, 2017.</w:t>
      </w:r>
    </w:p>
    <w:p w14:paraId="4394D07C" w14:textId="77777777" w:rsidR="00B6609F" w:rsidRPr="00B6609F" w:rsidRDefault="00B6609F" w:rsidP="00B6609F">
      <w:pPr>
        <w:spacing w:line="400" w:lineRule="exact"/>
        <w:rPr>
          <w:rFonts w:ascii="宋体" w:hAnsi="宋体" w:hint="eastAsia"/>
          <w:sz w:val="24"/>
        </w:rPr>
      </w:pPr>
      <w:r w:rsidRPr="00B6609F">
        <w:rPr>
          <w:rFonts w:ascii="宋体" w:hAnsi="宋体"/>
          <w:sz w:val="24"/>
        </w:rPr>
        <w:t>[4] Misra P, Enge P. Global Positioning System: Signals, Measurements, and Performance[M]. 2nd ed. Lincoln, MA: Ganga-Jamuna Press, 2006.</w:t>
      </w:r>
    </w:p>
    <w:p w14:paraId="3F0F0614" w14:textId="77777777" w:rsidR="00B6609F" w:rsidRPr="00B6609F" w:rsidRDefault="00B6609F" w:rsidP="00B6609F">
      <w:pPr>
        <w:spacing w:line="400" w:lineRule="exact"/>
        <w:rPr>
          <w:rFonts w:ascii="宋体" w:hAnsi="宋体" w:hint="eastAsia"/>
          <w:sz w:val="24"/>
        </w:rPr>
      </w:pPr>
      <w:r w:rsidRPr="00B6609F">
        <w:rPr>
          <w:rFonts w:ascii="宋体" w:hAnsi="宋体"/>
          <w:sz w:val="24"/>
        </w:rPr>
        <w:t>[5] Teunissen P J G, Montenbruck O. Springer Handbook of Global Navigation Satellite Systems[M]. Cham: Springer, 2017.</w:t>
      </w:r>
    </w:p>
    <w:p w14:paraId="3E690FB9" w14:textId="77777777" w:rsidR="00B6609F" w:rsidRPr="00B6609F" w:rsidRDefault="00B6609F" w:rsidP="00B6609F">
      <w:pPr>
        <w:spacing w:line="400" w:lineRule="exact"/>
        <w:rPr>
          <w:rFonts w:ascii="宋体" w:hAnsi="宋体" w:hint="eastAsia"/>
          <w:sz w:val="24"/>
        </w:rPr>
      </w:pPr>
      <w:r w:rsidRPr="00B6609F">
        <w:rPr>
          <w:rFonts w:ascii="宋体" w:hAnsi="宋体"/>
          <w:sz w:val="24"/>
        </w:rPr>
        <w:t>[6] Grewal M S, Weill L R, Andrews A P. Global Positioning Systems, Inertial Navigation, and Integration[M]. 2nd ed. Hoboken: Wiley, 2007.</w:t>
      </w:r>
    </w:p>
    <w:p w14:paraId="5F8CF99B" w14:textId="77777777" w:rsidR="00B6609F" w:rsidRPr="00B6609F" w:rsidRDefault="00B6609F" w:rsidP="00B6609F">
      <w:pPr>
        <w:spacing w:line="400" w:lineRule="exact"/>
        <w:rPr>
          <w:rFonts w:ascii="宋体" w:hAnsi="宋体" w:hint="eastAsia"/>
          <w:sz w:val="24"/>
        </w:rPr>
      </w:pPr>
      <w:r w:rsidRPr="00B6609F">
        <w:rPr>
          <w:rFonts w:ascii="宋体" w:hAnsi="宋体"/>
          <w:sz w:val="24"/>
        </w:rPr>
        <w:t>[7] Wen W, Pfeifer T, Bai X, et al. Factor graph optimization for GNSS/INS integration: A comparison with the extended Kalman filter[J]. NAVIGATION, 2021, 68(2): 315-331.</w:t>
      </w:r>
    </w:p>
    <w:p w14:paraId="3E50A180" w14:textId="77777777" w:rsidR="00B6609F" w:rsidRPr="00B6609F" w:rsidRDefault="00B6609F" w:rsidP="00B6609F">
      <w:pPr>
        <w:spacing w:line="400" w:lineRule="exact"/>
        <w:rPr>
          <w:rFonts w:ascii="宋体" w:hAnsi="宋体" w:hint="eastAsia"/>
          <w:sz w:val="24"/>
        </w:rPr>
      </w:pPr>
      <w:r w:rsidRPr="00B6609F">
        <w:rPr>
          <w:rFonts w:ascii="宋体" w:hAnsi="宋体"/>
          <w:sz w:val="24"/>
        </w:rPr>
        <w:t>[8] Wang D, Dong Y, Li Q, et al. Using Allan variance to improve stochastic modeling for accurate GNSS/INS integrated navigation[J]. GPS Solutions, 2018, 22: 53.</w:t>
      </w:r>
    </w:p>
    <w:p w14:paraId="36507E72" w14:textId="77777777" w:rsidR="00B6609F" w:rsidRPr="00B6609F" w:rsidRDefault="00B6609F" w:rsidP="00B6609F">
      <w:pPr>
        <w:spacing w:line="400" w:lineRule="exact"/>
        <w:rPr>
          <w:rFonts w:ascii="宋体" w:hAnsi="宋体" w:hint="eastAsia"/>
          <w:sz w:val="24"/>
        </w:rPr>
      </w:pPr>
      <w:r w:rsidRPr="00B6609F">
        <w:rPr>
          <w:rFonts w:ascii="宋体" w:hAnsi="宋体"/>
          <w:sz w:val="24"/>
        </w:rPr>
        <w:t>[9] Hsu L T. Analysis and modeling GPS NLOS effect in highly urbanized area[J]. GPS Solutions, 2018, 22(1): 7.</w:t>
      </w:r>
    </w:p>
    <w:p w14:paraId="490FB82D" w14:textId="77777777" w:rsidR="00B6609F" w:rsidRPr="00B6609F" w:rsidRDefault="00B6609F" w:rsidP="00B6609F">
      <w:pPr>
        <w:spacing w:line="400" w:lineRule="exact"/>
        <w:rPr>
          <w:rFonts w:ascii="宋体" w:hAnsi="宋体" w:hint="eastAsia"/>
          <w:sz w:val="24"/>
        </w:rPr>
      </w:pPr>
      <w:r w:rsidRPr="00B6609F">
        <w:rPr>
          <w:rFonts w:ascii="宋体" w:hAnsi="宋体"/>
          <w:sz w:val="24"/>
        </w:rPr>
        <w:t>[10] Chiang K W, Duong T T, Liao J K. The performance analysis of a tightly coupled GPS/INS integrated system with a low-cost MEMS IMU[J]. GPS Solutions, 2014, 18(2): 217-230.</w:t>
      </w:r>
    </w:p>
    <w:p w14:paraId="7B196B3D" w14:textId="77777777" w:rsidR="00B6609F" w:rsidRPr="00B6609F" w:rsidRDefault="00B6609F" w:rsidP="00B6609F">
      <w:pPr>
        <w:spacing w:line="400" w:lineRule="exact"/>
        <w:rPr>
          <w:rFonts w:ascii="宋体" w:hAnsi="宋体" w:hint="eastAsia"/>
          <w:sz w:val="24"/>
        </w:rPr>
      </w:pPr>
      <w:r w:rsidRPr="00B6609F">
        <w:rPr>
          <w:rFonts w:ascii="宋体" w:hAnsi="宋体"/>
          <w:sz w:val="24"/>
        </w:rPr>
        <w:t>[11] Zhang B, Chen Y, Yuan Y. PPP-RTK based on undifferenced and uncombined observations: theoretical and practical aspects[J]. Journal of Geodesy, 2019, 93: 1011-1024.</w:t>
      </w:r>
    </w:p>
    <w:p w14:paraId="1933FBA6" w14:textId="77777777" w:rsidR="00B6609F" w:rsidRPr="00B6609F" w:rsidRDefault="00B6609F" w:rsidP="00B6609F">
      <w:pPr>
        <w:spacing w:line="400" w:lineRule="exact"/>
        <w:rPr>
          <w:rFonts w:ascii="宋体" w:hAnsi="宋体" w:hint="eastAsia"/>
          <w:sz w:val="24"/>
        </w:rPr>
      </w:pPr>
      <w:r w:rsidRPr="00B6609F">
        <w:rPr>
          <w:rFonts w:ascii="宋体" w:hAnsi="宋体"/>
          <w:sz w:val="24"/>
        </w:rPr>
        <w:lastRenderedPageBreak/>
        <w:t>[12] Li X, Ge M, Dai X, et al. Accuracy and reliability of multi-GNSS real-time precise positioning: GPS, GLONASS, BeiDou, and Galileo[J]. Journal of Geodesy, 2015, 89: 607-635.</w:t>
      </w:r>
    </w:p>
    <w:p w14:paraId="7A49C5C6" w14:textId="77777777" w:rsidR="00B6609F" w:rsidRPr="00B6609F" w:rsidRDefault="00B6609F" w:rsidP="00B6609F">
      <w:pPr>
        <w:spacing w:line="400" w:lineRule="exact"/>
        <w:rPr>
          <w:rFonts w:ascii="宋体" w:hAnsi="宋体" w:hint="eastAsia"/>
          <w:sz w:val="24"/>
        </w:rPr>
      </w:pPr>
      <w:r w:rsidRPr="00B6609F">
        <w:rPr>
          <w:rFonts w:ascii="宋体" w:hAnsi="宋体"/>
          <w:sz w:val="24"/>
        </w:rPr>
        <w:t>[13] Wen W, Bai X, Kan Y C, et al. Tightly coupled GNSS/INS integration via factor graph and aided by fish-eye camera[J]. IEEE Transactions on Vehicular Technology, 2019, 68(11): 10651-10662.</w:t>
      </w:r>
    </w:p>
    <w:p w14:paraId="7B353F27" w14:textId="77777777" w:rsidR="00B6609F" w:rsidRPr="00B6609F" w:rsidRDefault="00B6609F" w:rsidP="00B6609F">
      <w:pPr>
        <w:spacing w:line="400" w:lineRule="exact"/>
        <w:rPr>
          <w:rFonts w:ascii="宋体" w:hAnsi="宋体" w:hint="eastAsia"/>
          <w:sz w:val="24"/>
        </w:rPr>
      </w:pPr>
      <w:r w:rsidRPr="00B6609F">
        <w:rPr>
          <w:rFonts w:ascii="宋体" w:hAnsi="宋体"/>
          <w:sz w:val="24"/>
        </w:rPr>
        <w:t>[14] Li T, Zhang H, Han B, et al. Relative accuracy of GNSS/INS integration based on factor graph optimization[J]. IEEE Sensors Journal, 2024. doi:10.1109/JSEN.2024.3451665.</w:t>
      </w:r>
    </w:p>
    <w:p w14:paraId="4C8613C4" w14:textId="44C4AFAE" w:rsidR="0011048D" w:rsidRPr="00B6609F" w:rsidRDefault="00B6609F" w:rsidP="00B6609F">
      <w:pPr>
        <w:spacing w:line="400" w:lineRule="exact"/>
        <w:rPr>
          <w:rFonts w:ascii="宋体" w:hAnsi="宋体" w:hint="eastAsia"/>
          <w:sz w:val="24"/>
        </w:rPr>
      </w:pPr>
      <w:r w:rsidRPr="00B6609F">
        <w:rPr>
          <w:rFonts w:ascii="宋体" w:hAnsi="宋体"/>
          <w:sz w:val="24"/>
        </w:rPr>
        <w:t>[15] Ning B, Zhao F, Luo H, et al. Robust GNSS/INS tightly coupled positioning using factor graph optimization with P-spline and dynamic prediction[J]. Remote Sensing, 2025, 17(10): 1792.</w:t>
      </w:r>
    </w:p>
    <w:sectPr w:rsidR="0011048D" w:rsidRPr="00B6609F" w:rsidSect="004566CA">
      <w:pgSz w:w="11906" w:h="16838" w:code="9"/>
      <w:pgMar w:top="1440" w:right="1797" w:bottom="1440" w:left="1797" w:header="851" w:footer="992" w:gutter="0"/>
      <w:pgNumType w:chapStyle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F7400" w14:textId="77777777" w:rsidR="008D0368" w:rsidRDefault="008D0368" w:rsidP="004566CA">
      <w:r>
        <w:separator/>
      </w:r>
    </w:p>
  </w:endnote>
  <w:endnote w:type="continuationSeparator" w:id="0">
    <w:p w14:paraId="566A1E58" w14:textId="77777777" w:rsidR="008D0368" w:rsidRDefault="008D0368" w:rsidP="00456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0AC2B" w14:textId="77777777" w:rsidR="008D0368" w:rsidRDefault="008D0368" w:rsidP="004566CA">
      <w:r>
        <w:separator/>
      </w:r>
    </w:p>
  </w:footnote>
  <w:footnote w:type="continuationSeparator" w:id="0">
    <w:p w14:paraId="21B0B3B0" w14:textId="77777777" w:rsidR="008D0368" w:rsidRDefault="008D0368" w:rsidP="004566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3FE9"/>
    <w:multiLevelType w:val="hybridMultilevel"/>
    <w:tmpl w:val="56F09242"/>
    <w:lvl w:ilvl="0" w:tplc="954C31B6">
      <w:start w:val="1"/>
      <w:numFmt w:val="chineseCountingThousand"/>
      <w:pStyle w:val="a"/>
      <w:suff w:val="nothing"/>
      <w:lvlText w:val="%1、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" w15:restartNumberingAfterBreak="0">
    <w:nsid w:val="36540252"/>
    <w:multiLevelType w:val="hybridMultilevel"/>
    <w:tmpl w:val="09D8ED18"/>
    <w:lvl w:ilvl="0" w:tplc="16866616">
      <w:start w:val="1"/>
      <w:numFmt w:val="decimal"/>
      <w:pStyle w:val="4"/>
      <w:suff w:val="nothing"/>
      <w:lvlText w:val="（%1）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" w15:restartNumberingAfterBreak="0">
    <w:nsid w:val="4FE71E43"/>
    <w:multiLevelType w:val="hybridMultilevel"/>
    <w:tmpl w:val="2938A670"/>
    <w:lvl w:ilvl="0" w:tplc="07EC587C">
      <w:start w:val="1"/>
      <w:numFmt w:val="decimal"/>
      <w:suff w:val="nothing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14366BC"/>
    <w:multiLevelType w:val="hybridMultilevel"/>
    <w:tmpl w:val="C4E8A60A"/>
    <w:lvl w:ilvl="0" w:tplc="423203B0">
      <w:start w:val="1"/>
      <w:numFmt w:val="decimal"/>
      <w:pStyle w:val="a0"/>
      <w:suff w:val="nothing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4" w15:restartNumberingAfterBreak="0">
    <w:nsid w:val="773F7822"/>
    <w:multiLevelType w:val="hybridMultilevel"/>
    <w:tmpl w:val="F64A28F2"/>
    <w:lvl w:ilvl="0" w:tplc="554E28A2">
      <w:start w:val="1"/>
      <w:numFmt w:val="chineseCountingThousand"/>
      <w:pStyle w:val="a1"/>
      <w:suff w:val="nothing"/>
      <w:lvlText w:val="(%1)"/>
      <w:lvlJc w:val="left"/>
      <w:pPr>
        <w:ind w:left="0" w:firstLine="0"/>
      </w:pPr>
      <w:rPr>
        <w:rFonts w:ascii="宋体" w:eastAsia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num w:numId="1" w16cid:durableId="611980074">
    <w:abstractNumId w:val="0"/>
  </w:num>
  <w:num w:numId="2" w16cid:durableId="1617827210">
    <w:abstractNumId w:val="4"/>
  </w:num>
  <w:num w:numId="3" w16cid:durableId="31267805">
    <w:abstractNumId w:val="3"/>
  </w:num>
  <w:num w:numId="4" w16cid:durableId="304285145">
    <w:abstractNumId w:val="1"/>
  </w:num>
  <w:num w:numId="5" w16cid:durableId="2068913116">
    <w:abstractNumId w:val="4"/>
    <w:lvlOverride w:ilvl="0">
      <w:startOverride w:val="1"/>
    </w:lvlOverride>
  </w:num>
  <w:num w:numId="6" w16cid:durableId="70589516">
    <w:abstractNumId w:val="4"/>
    <w:lvlOverride w:ilvl="0">
      <w:startOverride w:val="1"/>
    </w:lvlOverride>
  </w:num>
  <w:num w:numId="7" w16cid:durableId="1185754941">
    <w:abstractNumId w:val="4"/>
    <w:lvlOverride w:ilvl="0">
      <w:startOverride w:val="1"/>
    </w:lvlOverride>
  </w:num>
  <w:num w:numId="8" w16cid:durableId="1987125397">
    <w:abstractNumId w:val="3"/>
    <w:lvlOverride w:ilvl="0">
      <w:startOverride w:val="1"/>
    </w:lvlOverride>
  </w:num>
  <w:num w:numId="9" w16cid:durableId="875775578">
    <w:abstractNumId w:val="3"/>
    <w:lvlOverride w:ilvl="0">
      <w:startOverride w:val="1"/>
    </w:lvlOverride>
  </w:num>
  <w:num w:numId="10" w16cid:durableId="605237434">
    <w:abstractNumId w:val="2"/>
  </w:num>
  <w:num w:numId="11" w16cid:durableId="221019901">
    <w:abstractNumId w:val="4"/>
    <w:lvlOverride w:ilvl="0">
      <w:startOverride w:val="1"/>
    </w:lvlOverride>
  </w:num>
  <w:num w:numId="12" w16cid:durableId="131926144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E1ZGIzNmVkMzQzMzcxZjJmYTc2NDliOWYwNWI5YmYifQ=="/>
  </w:docVars>
  <w:rsids>
    <w:rsidRoot w:val="00E01B17"/>
    <w:rsid w:val="00022AE9"/>
    <w:rsid w:val="00022D30"/>
    <w:rsid w:val="00063045"/>
    <w:rsid w:val="000F336F"/>
    <w:rsid w:val="0011048D"/>
    <w:rsid w:val="00174D5B"/>
    <w:rsid w:val="00194487"/>
    <w:rsid w:val="001C73D2"/>
    <w:rsid w:val="001F009B"/>
    <w:rsid w:val="00283D33"/>
    <w:rsid w:val="002A319D"/>
    <w:rsid w:val="002B2DAF"/>
    <w:rsid w:val="002E32DB"/>
    <w:rsid w:val="002E59D4"/>
    <w:rsid w:val="002E72C0"/>
    <w:rsid w:val="002F33B0"/>
    <w:rsid w:val="00335CF6"/>
    <w:rsid w:val="003607DD"/>
    <w:rsid w:val="00370FEC"/>
    <w:rsid w:val="003A7302"/>
    <w:rsid w:val="003D42AA"/>
    <w:rsid w:val="004566CA"/>
    <w:rsid w:val="004A3809"/>
    <w:rsid w:val="004E512C"/>
    <w:rsid w:val="004E655C"/>
    <w:rsid w:val="005352A0"/>
    <w:rsid w:val="00565466"/>
    <w:rsid w:val="005757A8"/>
    <w:rsid w:val="005C627E"/>
    <w:rsid w:val="006034D6"/>
    <w:rsid w:val="00646E54"/>
    <w:rsid w:val="00656BC2"/>
    <w:rsid w:val="006F44ED"/>
    <w:rsid w:val="00701579"/>
    <w:rsid w:val="00760531"/>
    <w:rsid w:val="007706ED"/>
    <w:rsid w:val="00781239"/>
    <w:rsid w:val="00842767"/>
    <w:rsid w:val="00852BC7"/>
    <w:rsid w:val="00882A6E"/>
    <w:rsid w:val="008D0368"/>
    <w:rsid w:val="008D361A"/>
    <w:rsid w:val="00905124"/>
    <w:rsid w:val="00920B30"/>
    <w:rsid w:val="00976887"/>
    <w:rsid w:val="009C0F9E"/>
    <w:rsid w:val="009E00EA"/>
    <w:rsid w:val="00A86AC2"/>
    <w:rsid w:val="00AC2302"/>
    <w:rsid w:val="00AC370F"/>
    <w:rsid w:val="00B42571"/>
    <w:rsid w:val="00B632BB"/>
    <w:rsid w:val="00B6609F"/>
    <w:rsid w:val="00B93BA1"/>
    <w:rsid w:val="00C709EA"/>
    <w:rsid w:val="00C7262A"/>
    <w:rsid w:val="00C7393E"/>
    <w:rsid w:val="00C809B3"/>
    <w:rsid w:val="00C864FC"/>
    <w:rsid w:val="00CC2C10"/>
    <w:rsid w:val="00CE5F91"/>
    <w:rsid w:val="00CF5E7C"/>
    <w:rsid w:val="00D05F81"/>
    <w:rsid w:val="00D433B5"/>
    <w:rsid w:val="00D4560A"/>
    <w:rsid w:val="00D7664E"/>
    <w:rsid w:val="00DA2658"/>
    <w:rsid w:val="00DA6FEC"/>
    <w:rsid w:val="00E01B17"/>
    <w:rsid w:val="00E7139A"/>
    <w:rsid w:val="00E95B77"/>
    <w:rsid w:val="00EE13C7"/>
    <w:rsid w:val="00F31F7F"/>
    <w:rsid w:val="00FD08BB"/>
    <w:rsid w:val="014D1BA2"/>
    <w:rsid w:val="0B714B9F"/>
    <w:rsid w:val="11583C2A"/>
    <w:rsid w:val="20692E35"/>
    <w:rsid w:val="209401FB"/>
    <w:rsid w:val="20B50BB6"/>
    <w:rsid w:val="2507194E"/>
    <w:rsid w:val="253A38CF"/>
    <w:rsid w:val="2D3D5BCB"/>
    <w:rsid w:val="375E6A48"/>
    <w:rsid w:val="38A61081"/>
    <w:rsid w:val="3AED3BA0"/>
    <w:rsid w:val="3CE44647"/>
    <w:rsid w:val="3EAD7660"/>
    <w:rsid w:val="40B816D3"/>
    <w:rsid w:val="42F85392"/>
    <w:rsid w:val="4A9C14DF"/>
    <w:rsid w:val="4E405C1B"/>
    <w:rsid w:val="4F5635B2"/>
    <w:rsid w:val="519B5C6C"/>
    <w:rsid w:val="5DA94139"/>
    <w:rsid w:val="5FAD2E3F"/>
    <w:rsid w:val="61DB4DB5"/>
    <w:rsid w:val="66A05974"/>
    <w:rsid w:val="68520509"/>
    <w:rsid w:val="6C347D31"/>
    <w:rsid w:val="6FA61758"/>
    <w:rsid w:val="70DE7999"/>
    <w:rsid w:val="76425553"/>
    <w:rsid w:val="78DC1DBB"/>
    <w:rsid w:val="7A6475B4"/>
    <w:rsid w:val="7AC923F8"/>
    <w:rsid w:val="7B132AB2"/>
    <w:rsid w:val="7C630BDB"/>
    <w:rsid w:val="7CFD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36D8B0"/>
  <w15:chartTrackingRefBased/>
  <w15:docId w15:val="{4200CF40-7471-4EA5-A55B-A3AACC319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2"/>
    <w:next w:val="a2"/>
    <w:link w:val="10"/>
    <w:qFormat/>
    <w:rsid w:val="00335CF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2"/>
    <w:next w:val="a2"/>
    <w:link w:val="20"/>
    <w:semiHidden/>
    <w:unhideWhenUsed/>
    <w:qFormat/>
    <w:rsid w:val="00701579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2"/>
    <w:next w:val="a2"/>
    <w:link w:val="30"/>
    <w:semiHidden/>
    <w:unhideWhenUsed/>
    <w:qFormat/>
    <w:rsid w:val="00283D3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2"/>
    <w:next w:val="a2"/>
    <w:link w:val="41"/>
    <w:semiHidden/>
    <w:unhideWhenUsed/>
    <w:qFormat/>
    <w:rsid w:val="00565466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ody Text Indent"/>
    <w:basedOn w:val="a2"/>
    <w:pPr>
      <w:ind w:firstLineChars="240" w:firstLine="720"/>
    </w:pPr>
    <w:rPr>
      <w:sz w:val="30"/>
    </w:rPr>
  </w:style>
  <w:style w:type="table" w:styleId="a7">
    <w:name w:val="Table Grid"/>
    <w:basedOn w:val="a4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样式 小四 蓝色 Char"/>
    <w:link w:val="a8"/>
    <w:rPr>
      <w:rFonts w:eastAsia="宋体"/>
      <w:color w:val="0000FF"/>
      <w:kern w:val="2"/>
      <w:sz w:val="24"/>
      <w:szCs w:val="21"/>
      <w:lang w:val="en-US" w:eastAsia="zh-CN" w:bidi="ar-SA"/>
    </w:rPr>
  </w:style>
  <w:style w:type="paragraph" w:customStyle="1" w:styleId="a8">
    <w:name w:val="样式 小四 蓝色"/>
    <w:basedOn w:val="a2"/>
    <w:link w:val="Char"/>
    <w:pPr>
      <w:spacing w:line="400" w:lineRule="exact"/>
      <w:outlineLvl w:val="0"/>
    </w:pPr>
    <w:rPr>
      <w:color w:val="0000FF"/>
      <w:sz w:val="24"/>
      <w:szCs w:val="21"/>
    </w:rPr>
  </w:style>
  <w:style w:type="character" w:customStyle="1" w:styleId="Char0">
    <w:name w:val="样式 宋体 小四 加粗 蓝色 Char"/>
    <w:link w:val="a9"/>
    <w:rPr>
      <w:rFonts w:ascii="宋体" w:eastAsia="宋体" w:hAnsi="宋体"/>
      <w:b/>
      <w:bCs/>
      <w:color w:val="0000FF"/>
      <w:kern w:val="2"/>
      <w:sz w:val="24"/>
      <w:szCs w:val="24"/>
      <w:lang w:val="en-US" w:eastAsia="zh-CN" w:bidi="ar-SA"/>
    </w:rPr>
  </w:style>
  <w:style w:type="paragraph" w:customStyle="1" w:styleId="a9">
    <w:name w:val="样式 宋体 小四 加粗 蓝色"/>
    <w:basedOn w:val="a2"/>
    <w:link w:val="Char0"/>
    <w:pPr>
      <w:spacing w:line="400" w:lineRule="exact"/>
      <w:ind w:firstLineChars="200" w:firstLine="482"/>
      <w:outlineLvl w:val="0"/>
    </w:pPr>
    <w:rPr>
      <w:rFonts w:ascii="宋体" w:hAnsi="宋体"/>
      <w:b/>
      <w:bCs/>
      <w:color w:val="0000FF"/>
      <w:sz w:val="24"/>
    </w:rPr>
  </w:style>
  <w:style w:type="paragraph" w:customStyle="1" w:styleId="929215">
    <w:name w:val="样式 宋体 三号 加粗 蓝色 段前: 9.2 磅 段后: 9.2 磅 行距: 1.5 倍行距"/>
    <w:basedOn w:val="a2"/>
    <w:pPr>
      <w:spacing w:before="184" w:after="184" w:line="360" w:lineRule="auto"/>
      <w:ind w:firstLineChars="196" w:firstLine="630"/>
    </w:pPr>
    <w:rPr>
      <w:rFonts w:ascii="宋体" w:hAnsi="宋体" w:cs="宋体"/>
      <w:b/>
      <w:bCs/>
      <w:color w:val="0000FF"/>
      <w:sz w:val="32"/>
      <w:szCs w:val="20"/>
    </w:rPr>
  </w:style>
  <w:style w:type="paragraph" w:customStyle="1" w:styleId="701184184">
    <w:name w:val="样式 宋体 三号 加粗 蓝色 悬挂缩进: 7.01 字符 段前: 18.4 磅 段后: 18.4 磅"/>
    <w:basedOn w:val="a2"/>
    <w:pPr>
      <w:spacing w:before="368" w:after="368" w:line="400" w:lineRule="exact"/>
      <w:ind w:leftChars="304" w:left="2982" w:hangingChars="701" w:hanging="2252"/>
    </w:pPr>
    <w:rPr>
      <w:rFonts w:ascii="宋体" w:hAnsi="宋体" w:cs="宋体"/>
      <w:b/>
      <w:bCs/>
      <w:color w:val="0000FF"/>
      <w:sz w:val="32"/>
      <w:szCs w:val="20"/>
    </w:rPr>
  </w:style>
  <w:style w:type="paragraph" w:styleId="aa">
    <w:name w:val="List Paragraph"/>
    <w:basedOn w:val="a2"/>
    <w:uiPriority w:val="34"/>
    <w:qFormat/>
    <w:pPr>
      <w:ind w:firstLineChars="200" w:firstLine="420"/>
    </w:pPr>
  </w:style>
  <w:style w:type="character" w:customStyle="1" w:styleId="10">
    <w:name w:val="标题 1 字符"/>
    <w:link w:val="1"/>
    <w:rsid w:val="00335CF6"/>
    <w:rPr>
      <w:b/>
      <w:bCs/>
      <w:kern w:val="44"/>
      <w:sz w:val="44"/>
      <w:szCs w:val="44"/>
    </w:rPr>
  </w:style>
  <w:style w:type="paragraph" w:customStyle="1" w:styleId="a">
    <w:name w:val="正文一级标题"/>
    <w:basedOn w:val="1"/>
    <w:link w:val="ab"/>
    <w:qFormat/>
    <w:rsid w:val="00565466"/>
    <w:pPr>
      <w:numPr>
        <w:numId w:val="1"/>
      </w:numPr>
      <w:spacing w:beforeLines="100" w:before="312" w:afterLines="100" w:after="312" w:line="240" w:lineRule="auto"/>
      <w:ind w:left="0" w:firstLineChars="200" w:firstLine="643"/>
    </w:pPr>
    <w:rPr>
      <w:sz w:val="32"/>
    </w:rPr>
  </w:style>
  <w:style w:type="character" w:customStyle="1" w:styleId="ab">
    <w:name w:val="正文一级标题 字符"/>
    <w:link w:val="a"/>
    <w:rsid w:val="00565466"/>
    <w:rPr>
      <w:b/>
      <w:bCs/>
      <w:kern w:val="44"/>
      <w:sz w:val="32"/>
      <w:szCs w:val="44"/>
    </w:rPr>
  </w:style>
  <w:style w:type="paragraph" w:customStyle="1" w:styleId="ac">
    <w:name w:val="正文内容"/>
    <w:basedOn w:val="a2"/>
    <w:link w:val="ad"/>
    <w:qFormat/>
    <w:rsid w:val="00701579"/>
    <w:pPr>
      <w:spacing w:line="400" w:lineRule="exact"/>
      <w:ind w:firstLineChars="200" w:firstLine="480"/>
    </w:pPr>
    <w:rPr>
      <w:rFonts w:ascii="宋体" w:hAnsi="宋体"/>
      <w:sz w:val="24"/>
    </w:rPr>
  </w:style>
  <w:style w:type="character" w:customStyle="1" w:styleId="ad">
    <w:name w:val="正文内容 字符"/>
    <w:link w:val="ac"/>
    <w:rsid w:val="00701579"/>
    <w:rPr>
      <w:rFonts w:ascii="宋体" w:hAnsi="宋体"/>
      <w:kern w:val="2"/>
      <w:sz w:val="24"/>
      <w:szCs w:val="24"/>
    </w:rPr>
  </w:style>
  <w:style w:type="paragraph" w:customStyle="1" w:styleId="a1">
    <w:name w:val="正文二级"/>
    <w:basedOn w:val="2"/>
    <w:link w:val="ae"/>
    <w:qFormat/>
    <w:rsid w:val="0011048D"/>
    <w:pPr>
      <w:numPr>
        <w:numId w:val="2"/>
      </w:numPr>
      <w:spacing w:beforeLines="50" w:before="156" w:afterLines="50" w:after="156" w:line="240" w:lineRule="auto"/>
      <w:ind w:firstLineChars="200" w:firstLine="562"/>
    </w:pPr>
    <w:rPr>
      <w:rFonts w:eastAsia="宋体"/>
      <w:sz w:val="28"/>
      <w:szCs w:val="28"/>
    </w:rPr>
  </w:style>
  <w:style w:type="character" w:customStyle="1" w:styleId="20">
    <w:name w:val="标题 2 字符"/>
    <w:link w:val="2"/>
    <w:semiHidden/>
    <w:rsid w:val="00701579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ae">
    <w:name w:val="正文二级 字符"/>
    <w:link w:val="a1"/>
    <w:rsid w:val="0011048D"/>
    <w:rPr>
      <w:rFonts w:ascii="等线 Light" w:hAnsi="等线 Light"/>
      <w:b/>
      <w:bCs/>
      <w:kern w:val="2"/>
      <w:sz w:val="28"/>
      <w:szCs w:val="28"/>
    </w:rPr>
  </w:style>
  <w:style w:type="paragraph" w:customStyle="1" w:styleId="a0">
    <w:name w:val="正文三级"/>
    <w:basedOn w:val="3"/>
    <w:link w:val="af"/>
    <w:qFormat/>
    <w:rsid w:val="00565466"/>
    <w:pPr>
      <w:numPr>
        <w:numId w:val="3"/>
      </w:numPr>
      <w:spacing w:before="0" w:after="0" w:line="400" w:lineRule="exact"/>
      <w:ind w:firstLineChars="200" w:firstLine="482"/>
    </w:pPr>
    <w:rPr>
      <w:rFonts w:ascii="宋体" w:hAnsi="宋体"/>
      <w:sz w:val="24"/>
    </w:rPr>
  </w:style>
  <w:style w:type="character" w:customStyle="1" w:styleId="30">
    <w:name w:val="标题 3 字符"/>
    <w:link w:val="3"/>
    <w:semiHidden/>
    <w:rsid w:val="00283D33"/>
    <w:rPr>
      <w:b/>
      <w:bCs/>
      <w:kern w:val="2"/>
      <w:sz w:val="32"/>
      <w:szCs w:val="32"/>
    </w:rPr>
  </w:style>
  <w:style w:type="character" w:customStyle="1" w:styleId="af">
    <w:name w:val="正文三级 字符"/>
    <w:link w:val="a0"/>
    <w:rsid w:val="00565466"/>
    <w:rPr>
      <w:rFonts w:ascii="宋体" w:hAnsi="宋体"/>
      <w:b/>
      <w:bCs/>
      <w:kern w:val="2"/>
      <w:sz w:val="24"/>
      <w:szCs w:val="32"/>
    </w:rPr>
  </w:style>
  <w:style w:type="paragraph" w:customStyle="1" w:styleId="4">
    <w:name w:val="4级标题"/>
    <w:basedOn w:val="40"/>
    <w:link w:val="42"/>
    <w:qFormat/>
    <w:rsid w:val="00565466"/>
    <w:pPr>
      <w:numPr>
        <w:numId w:val="4"/>
      </w:numPr>
    </w:pPr>
    <w:rPr>
      <w:rFonts w:ascii="宋体" w:eastAsia="宋体" w:hAnsi="宋体"/>
      <w:b w:val="0"/>
      <w:sz w:val="24"/>
    </w:rPr>
  </w:style>
  <w:style w:type="character" w:customStyle="1" w:styleId="42">
    <w:name w:val="4级标题 字符"/>
    <w:link w:val="4"/>
    <w:rsid w:val="00565466"/>
    <w:rPr>
      <w:rFonts w:ascii="宋体" w:hAnsi="宋体" w:cs="Times New Roman"/>
      <w:bCs/>
      <w:kern w:val="2"/>
      <w:sz w:val="24"/>
      <w:szCs w:val="28"/>
    </w:rPr>
  </w:style>
  <w:style w:type="character" w:customStyle="1" w:styleId="41">
    <w:name w:val="标题 4 字符"/>
    <w:link w:val="40"/>
    <w:semiHidden/>
    <w:rsid w:val="00565466"/>
    <w:rPr>
      <w:rFonts w:ascii="等线 Light" w:eastAsia="等线 Light" w:hAnsi="等线 Light" w:cs="Times New Roman"/>
      <w:b/>
      <w:bCs/>
      <w:kern w:val="2"/>
      <w:sz w:val="28"/>
      <w:szCs w:val="28"/>
    </w:rPr>
  </w:style>
  <w:style w:type="paragraph" w:styleId="af0">
    <w:name w:val="Title"/>
    <w:basedOn w:val="a2"/>
    <w:next w:val="a2"/>
    <w:link w:val="af1"/>
    <w:qFormat/>
    <w:rsid w:val="00905124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f1">
    <w:name w:val="标题 字符"/>
    <w:link w:val="af0"/>
    <w:rsid w:val="00905124"/>
    <w:rPr>
      <w:rFonts w:ascii="等线 Light" w:hAnsi="等线 Light" w:cs="Times New Roman"/>
      <w:b/>
      <w:bCs/>
      <w:kern w:val="2"/>
      <w:sz w:val="32"/>
      <w:szCs w:val="32"/>
    </w:rPr>
  </w:style>
  <w:style w:type="paragraph" w:styleId="af2">
    <w:name w:val="header"/>
    <w:basedOn w:val="a2"/>
    <w:link w:val="af3"/>
    <w:rsid w:val="004566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link w:val="af2"/>
    <w:rsid w:val="004566CA"/>
    <w:rPr>
      <w:kern w:val="2"/>
      <w:sz w:val="18"/>
      <w:szCs w:val="18"/>
    </w:rPr>
  </w:style>
  <w:style w:type="paragraph" w:styleId="af4">
    <w:name w:val="footer"/>
    <w:basedOn w:val="a2"/>
    <w:link w:val="af5"/>
    <w:uiPriority w:val="99"/>
    <w:rsid w:val="004566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link w:val="af4"/>
    <w:uiPriority w:val="99"/>
    <w:rsid w:val="004566CA"/>
    <w:rPr>
      <w:kern w:val="2"/>
      <w:sz w:val="18"/>
      <w:szCs w:val="18"/>
    </w:rPr>
  </w:style>
  <w:style w:type="paragraph" w:styleId="TOC">
    <w:name w:val="TOC Heading"/>
    <w:basedOn w:val="1"/>
    <w:next w:val="a2"/>
    <w:uiPriority w:val="39"/>
    <w:unhideWhenUsed/>
    <w:qFormat/>
    <w:rsid w:val="004566CA"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0F4761"/>
      <w:kern w:val="0"/>
      <w:sz w:val="32"/>
      <w:szCs w:val="32"/>
    </w:rPr>
  </w:style>
  <w:style w:type="paragraph" w:styleId="TOC2">
    <w:name w:val="toc 2"/>
    <w:basedOn w:val="a2"/>
    <w:next w:val="a2"/>
    <w:autoRedefine/>
    <w:uiPriority w:val="39"/>
    <w:unhideWhenUsed/>
    <w:rsid w:val="004566CA"/>
    <w:pPr>
      <w:widowControl/>
      <w:spacing w:after="100" w:line="259" w:lineRule="auto"/>
      <w:ind w:left="220"/>
      <w:jc w:val="left"/>
    </w:pPr>
    <w:rPr>
      <w:rFonts w:ascii="等线" w:eastAsia="等线" w:hAnsi="等线"/>
      <w:kern w:val="0"/>
      <w:sz w:val="22"/>
      <w:szCs w:val="22"/>
    </w:rPr>
  </w:style>
  <w:style w:type="paragraph" w:styleId="TOC1">
    <w:name w:val="toc 1"/>
    <w:basedOn w:val="a2"/>
    <w:next w:val="a2"/>
    <w:autoRedefine/>
    <w:uiPriority w:val="39"/>
    <w:unhideWhenUsed/>
    <w:rsid w:val="004566CA"/>
    <w:pPr>
      <w:widowControl/>
      <w:spacing w:after="100" w:line="259" w:lineRule="auto"/>
      <w:jc w:val="left"/>
    </w:pPr>
    <w:rPr>
      <w:rFonts w:ascii="等线" w:eastAsia="等线" w:hAnsi="等线"/>
      <w:kern w:val="0"/>
      <w:sz w:val="22"/>
      <w:szCs w:val="22"/>
    </w:rPr>
  </w:style>
  <w:style w:type="paragraph" w:styleId="TOC3">
    <w:name w:val="toc 3"/>
    <w:basedOn w:val="a2"/>
    <w:next w:val="a2"/>
    <w:autoRedefine/>
    <w:uiPriority w:val="39"/>
    <w:unhideWhenUsed/>
    <w:rsid w:val="004566CA"/>
    <w:pPr>
      <w:widowControl/>
      <w:spacing w:after="100" w:line="259" w:lineRule="auto"/>
      <w:ind w:left="440"/>
      <w:jc w:val="left"/>
    </w:pPr>
    <w:rPr>
      <w:rFonts w:ascii="等线" w:eastAsia="等线" w:hAnsi="等线"/>
      <w:kern w:val="0"/>
      <w:sz w:val="22"/>
      <w:szCs w:val="22"/>
    </w:rPr>
  </w:style>
  <w:style w:type="character" w:styleId="af6">
    <w:name w:val="Hyperlink"/>
    <w:uiPriority w:val="99"/>
    <w:unhideWhenUsed/>
    <w:rsid w:val="004566CA"/>
    <w:rPr>
      <w:color w:val="467886"/>
      <w:u w:val="single"/>
    </w:rPr>
  </w:style>
  <w:style w:type="character" w:styleId="af7">
    <w:name w:val="Placeholder Text"/>
    <w:basedOn w:val="a3"/>
    <w:uiPriority w:val="99"/>
    <w:unhideWhenUsed/>
    <w:rsid w:val="003607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E82CC-D264-4C7E-ADAF-CDE617AE6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3154</Words>
  <Characters>4733</Characters>
  <Application>Microsoft Office Word</Application>
  <DocSecurity>0</DocSecurity>
  <Lines>197</Lines>
  <Paragraphs>112</Paragraphs>
  <ScaleCrop>false</ScaleCrop>
  <Company>WwW.YlmF.Com</Company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考查课结课论文（报告、案例分析）写作要求</dc:title>
  <dc:subject/>
  <dc:creator>雨林木风</dc:creator>
  <cp:keywords/>
  <dc:description/>
  <cp:lastModifiedBy>宁 章</cp:lastModifiedBy>
  <cp:revision>3</cp:revision>
  <cp:lastPrinted>2009-05-06T01:41:00Z</cp:lastPrinted>
  <dcterms:created xsi:type="dcterms:W3CDTF">2025-12-24T09:00:00Z</dcterms:created>
  <dcterms:modified xsi:type="dcterms:W3CDTF">2025-12-31T12:09:00Z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中文名称">
    <vt:lpwstr>北京物资学院课程论文(报告)标准格式</vt:lpwstr>
  </property>
  <property fmtid="{D5CDD505-2E9C-101B-9397-08002B2CF9AE}" pid="3" name="KSOProductBuildVer">
    <vt:lpwstr>2052-12.1.0.22529</vt:lpwstr>
  </property>
  <property fmtid="{D5CDD505-2E9C-101B-9397-08002B2CF9AE}" pid="4" name="ICV">
    <vt:lpwstr>2B406190AC3A48D4B5A6A1D055D1345F_12</vt:lpwstr>
  </property>
  <property fmtid="{D5CDD505-2E9C-101B-9397-08002B2CF9AE}" pid="5" name="KSOTemplateDocerSaveRecord">
    <vt:lpwstr>eyJoZGlkIjoiZWQ5NGFmZmE1OTQ1MzIyYWQzMjg5ZTVjNjQwMjgyYmEifQ==</vt:lpwstr>
  </property>
</Properties>
</file>