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C5B1" w14:textId="38B3BFE2" w:rsidR="001C73D2" w:rsidRDefault="007A0EE9" w:rsidP="007A0EE9">
      <w:pPr>
        <w:rPr>
          <w:rFonts w:eastAsia="黑体"/>
          <w:sz w:val="52"/>
        </w:rPr>
      </w:pPr>
      <w:r w:rsidRPr="007A0EE9">
        <w:rPr>
          <w:rFonts w:eastAsia="黑体" w:hint="eastAsia"/>
          <w:sz w:val="52"/>
          <w:u w:val="single"/>
        </w:rPr>
        <w:t>物联网关键技术与行业应用</w:t>
      </w:r>
      <w:r w:rsidR="001C73D2">
        <w:rPr>
          <w:rFonts w:eastAsia="黑体" w:hint="eastAsia"/>
          <w:sz w:val="52"/>
        </w:rPr>
        <w:t>课程</w:t>
      </w:r>
    </w:p>
    <w:p w14:paraId="2FC705D2" w14:textId="77777777" w:rsidR="001C73D2" w:rsidRDefault="001C73D2" w:rsidP="001C73D2">
      <w:pPr>
        <w:ind w:firstLineChars="300" w:firstLine="1560"/>
        <w:rPr>
          <w:rFonts w:eastAsia="黑体"/>
          <w:sz w:val="52"/>
        </w:rPr>
      </w:pPr>
      <w:r>
        <w:rPr>
          <w:rFonts w:eastAsia="黑体" w:hint="eastAsia"/>
          <w:sz w:val="52"/>
        </w:rPr>
        <w:t>论文（报告、案例分析）</w:t>
      </w:r>
    </w:p>
    <w:p w14:paraId="01372023" w14:textId="77777777" w:rsidR="001C73D2" w:rsidRDefault="001C73D2" w:rsidP="001C73D2">
      <w:pPr>
        <w:ind w:firstLineChars="300" w:firstLine="1560"/>
        <w:rPr>
          <w:rFonts w:eastAsia="黑体"/>
          <w:sz w:val="52"/>
        </w:rPr>
      </w:pPr>
    </w:p>
    <w:p w14:paraId="3AD87FD5" w14:textId="77777777" w:rsidR="001C73D2" w:rsidRDefault="001C73D2" w:rsidP="001C73D2">
      <w:pPr>
        <w:ind w:firstLineChars="300" w:firstLine="1560"/>
        <w:rPr>
          <w:rFonts w:eastAsia="黑体"/>
          <w:sz w:val="52"/>
        </w:rPr>
      </w:pPr>
    </w:p>
    <w:p w14:paraId="1EACF329" w14:textId="77777777" w:rsidR="001C73D2" w:rsidRDefault="001C73D2" w:rsidP="001C73D2">
      <w:pPr>
        <w:ind w:firstLineChars="300" w:firstLine="1560"/>
        <w:rPr>
          <w:rFonts w:eastAsia="黑体"/>
          <w:sz w:val="52"/>
        </w:rPr>
      </w:pPr>
    </w:p>
    <w:p w14:paraId="6BF93698" w14:textId="77777777" w:rsidR="001C73D2" w:rsidRDefault="001C73D2" w:rsidP="001C73D2">
      <w:pPr>
        <w:ind w:firstLineChars="300" w:firstLine="1560"/>
        <w:rPr>
          <w:rFonts w:eastAsia="黑体"/>
          <w:sz w:val="52"/>
        </w:rPr>
      </w:pPr>
    </w:p>
    <w:p w14:paraId="52B06917" w14:textId="77777777" w:rsidR="001C73D2" w:rsidRDefault="001C73D2" w:rsidP="001C73D2">
      <w:pPr>
        <w:ind w:firstLineChars="300" w:firstLine="1560"/>
        <w:rPr>
          <w:rFonts w:eastAsia="黑体"/>
          <w:sz w:val="52"/>
        </w:rPr>
      </w:pPr>
    </w:p>
    <w:p w14:paraId="54BC8B91" w14:textId="77777777" w:rsidR="001C73D2" w:rsidRDefault="001C73D2" w:rsidP="001C73D2">
      <w:pPr>
        <w:ind w:firstLineChars="300" w:firstLine="1560"/>
        <w:rPr>
          <w:rFonts w:eastAsia="黑体"/>
          <w:sz w:val="52"/>
        </w:rPr>
      </w:pPr>
    </w:p>
    <w:p w14:paraId="60432F50" w14:textId="77777777" w:rsidR="001C73D2" w:rsidRDefault="001C73D2" w:rsidP="001C73D2">
      <w:pPr>
        <w:ind w:firstLineChars="300" w:firstLine="1560"/>
        <w:rPr>
          <w:rFonts w:eastAsia="黑体"/>
          <w:sz w:val="52"/>
        </w:rPr>
      </w:pPr>
    </w:p>
    <w:p w14:paraId="0C7AF0A6" w14:textId="7777777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院    系</w:t>
      </w:r>
      <w:r>
        <w:rPr>
          <w:rFonts w:ascii="宋体" w:hAnsi="宋体" w:hint="eastAsia"/>
          <w:sz w:val="32"/>
          <w:u w:val="single"/>
        </w:rPr>
        <w:t xml:space="preserve"> 计算机与人工智能学院</w:t>
      </w:r>
      <w:r>
        <w:rPr>
          <w:rFonts w:ascii="楷体_GB2312" w:eastAsia="楷体_GB2312" w:hAnsi="宋体" w:hint="eastAsia"/>
          <w:sz w:val="32"/>
          <w:u w:val="single"/>
        </w:rPr>
        <w:t xml:space="preserve"> </w:t>
      </w:r>
    </w:p>
    <w:p w14:paraId="636EC8F3" w14:textId="686E7AD1"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专    业</w:t>
      </w:r>
      <w:r>
        <w:rPr>
          <w:rFonts w:ascii="宋体" w:hAnsi="宋体" w:hint="eastAsia"/>
          <w:sz w:val="32"/>
          <w:u w:val="single"/>
        </w:rPr>
        <w:t xml:space="preserve">                     </w:t>
      </w:r>
    </w:p>
    <w:p w14:paraId="2C1FF868" w14:textId="7777777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班    级</w:t>
      </w:r>
      <w:r>
        <w:rPr>
          <w:rFonts w:ascii="宋体" w:hAnsi="宋体" w:hint="eastAsia"/>
          <w:sz w:val="32"/>
          <w:u w:val="single"/>
        </w:rPr>
        <w:t xml:space="preserve">       </w:t>
      </w:r>
      <w:r>
        <w:rPr>
          <w:rFonts w:hint="eastAsia"/>
          <w:sz w:val="32"/>
          <w:u w:val="single"/>
        </w:rPr>
        <w:t xml:space="preserve">        </w:t>
      </w:r>
      <w:r>
        <w:rPr>
          <w:rFonts w:ascii="宋体" w:hAnsi="宋体" w:hint="eastAsia"/>
          <w:sz w:val="32"/>
          <w:u w:val="single"/>
        </w:rPr>
        <w:t xml:space="preserve">      </w:t>
      </w:r>
    </w:p>
    <w:p w14:paraId="6189775C" w14:textId="7777777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学生姓名</w:t>
      </w:r>
      <w:r>
        <w:rPr>
          <w:rFonts w:ascii="宋体" w:hAnsi="宋体" w:hint="eastAsia"/>
          <w:sz w:val="32"/>
          <w:u w:val="single"/>
        </w:rPr>
        <w:t xml:space="preserve">        </w:t>
      </w:r>
      <w:r>
        <w:rPr>
          <w:rFonts w:ascii="楷体_GB2312" w:eastAsia="楷体_GB2312" w:hAnsi="宋体" w:hint="eastAsia"/>
          <w:sz w:val="32"/>
          <w:u w:val="single"/>
        </w:rPr>
        <w:t xml:space="preserve">      </w:t>
      </w:r>
      <w:r>
        <w:rPr>
          <w:rFonts w:ascii="宋体" w:hAnsi="宋体" w:hint="eastAsia"/>
          <w:sz w:val="32"/>
          <w:u w:val="single"/>
        </w:rPr>
        <w:t xml:space="preserve">       </w:t>
      </w:r>
    </w:p>
    <w:p w14:paraId="71B4EC7F" w14:textId="7777777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学    号</w:t>
      </w:r>
      <w:r>
        <w:rPr>
          <w:rFonts w:ascii="宋体" w:hAnsi="宋体" w:hint="eastAsia"/>
          <w:sz w:val="32"/>
          <w:u w:val="single"/>
        </w:rPr>
        <w:t xml:space="preserve">      </w:t>
      </w:r>
      <w:r>
        <w:rPr>
          <w:rFonts w:hint="eastAsia"/>
          <w:sz w:val="32"/>
          <w:u w:val="single"/>
        </w:rPr>
        <w:t xml:space="preserve">          </w:t>
      </w:r>
      <w:r>
        <w:rPr>
          <w:rFonts w:ascii="宋体" w:hAnsi="宋体" w:hint="eastAsia"/>
          <w:sz w:val="32"/>
          <w:u w:val="single"/>
        </w:rPr>
        <w:t xml:space="preserve">     </w:t>
      </w:r>
    </w:p>
    <w:p w14:paraId="44E1A971" w14:textId="39F60747" w:rsidR="001C73D2" w:rsidRDefault="001C73D2" w:rsidP="001C73D2">
      <w:pPr>
        <w:spacing w:line="360" w:lineRule="auto"/>
        <w:ind w:firstLineChars="600" w:firstLine="1920"/>
        <w:rPr>
          <w:rFonts w:ascii="宋体" w:hAnsi="宋体" w:hint="eastAsia"/>
          <w:sz w:val="32"/>
          <w:u w:val="single"/>
        </w:rPr>
      </w:pPr>
      <w:r>
        <w:rPr>
          <w:rFonts w:ascii="宋体" w:hAnsi="宋体" w:hint="eastAsia"/>
          <w:sz w:val="32"/>
        </w:rPr>
        <w:t>任课教师</w:t>
      </w:r>
      <w:r>
        <w:rPr>
          <w:rFonts w:ascii="宋体" w:hAnsi="宋体" w:hint="eastAsia"/>
          <w:sz w:val="32"/>
          <w:u w:val="single"/>
        </w:rPr>
        <w:t xml:space="preserve">        </w:t>
      </w:r>
      <w:r w:rsidR="007A0EE9">
        <w:rPr>
          <w:rFonts w:ascii="宋体" w:hAnsi="宋体" w:hint="eastAsia"/>
          <w:sz w:val="32"/>
          <w:u w:val="single"/>
        </w:rPr>
        <w:t xml:space="preserve">    </w:t>
      </w:r>
      <w:r>
        <w:rPr>
          <w:rFonts w:ascii="宋体" w:hAnsi="宋体" w:hint="eastAsia"/>
          <w:sz w:val="32"/>
          <w:u w:val="single"/>
        </w:rPr>
        <w:t xml:space="preserve">    </w:t>
      </w:r>
      <w:r>
        <w:rPr>
          <w:rFonts w:ascii="楷体_GB2312" w:eastAsia="楷体_GB2312" w:hAnsi="宋体" w:hint="eastAsia"/>
          <w:sz w:val="32"/>
          <w:u w:val="single"/>
        </w:rPr>
        <w:t xml:space="preserve">     </w:t>
      </w:r>
    </w:p>
    <w:p w14:paraId="202E1DB5" w14:textId="77777777" w:rsidR="001C73D2" w:rsidRDefault="001C73D2" w:rsidP="001C73D2">
      <w:pPr>
        <w:spacing w:line="360" w:lineRule="auto"/>
        <w:ind w:firstLineChars="600" w:firstLine="1920"/>
        <w:rPr>
          <w:rFonts w:ascii="宋体" w:hAnsi="宋体" w:hint="eastAsia"/>
          <w:sz w:val="32"/>
          <w:u w:val="single"/>
        </w:rPr>
      </w:pPr>
    </w:p>
    <w:p w14:paraId="266563C2" w14:textId="0FE019C4" w:rsidR="00CE5F91" w:rsidRPr="001C73D2" w:rsidRDefault="001C73D2" w:rsidP="001C73D2">
      <w:pPr>
        <w:spacing w:line="360" w:lineRule="auto"/>
        <w:ind w:firstLineChars="800" w:firstLine="2560"/>
        <w:rPr>
          <w:rFonts w:ascii="宋体" w:hAnsi="宋体" w:hint="eastAsia"/>
          <w:sz w:val="32"/>
        </w:rPr>
        <w:sectPr w:rsidR="00CE5F91" w:rsidRPr="001C73D2" w:rsidSect="004566CA">
          <w:pgSz w:w="11906" w:h="16838" w:code="9"/>
          <w:pgMar w:top="1440" w:right="1797" w:bottom="1440" w:left="1797" w:header="851" w:footer="992" w:gutter="0"/>
          <w:pgNumType w:chapStyle="1"/>
          <w:cols w:space="720"/>
          <w:docGrid w:type="lines" w:linePitch="312"/>
        </w:sectPr>
      </w:pPr>
      <w:r>
        <w:rPr>
          <w:rFonts w:ascii="宋体" w:hAnsi="宋体" w:hint="eastAsia"/>
          <w:sz w:val="32"/>
        </w:rPr>
        <w:t xml:space="preserve">    年    月    日</w:t>
      </w:r>
    </w:p>
    <w:p w14:paraId="1AB0DA07" w14:textId="46AC4A64" w:rsidR="00C809B3" w:rsidRPr="00C809B3" w:rsidRDefault="00C809B3" w:rsidP="002A319D">
      <w:pPr>
        <w:spacing w:line="400" w:lineRule="exact"/>
        <w:rPr>
          <w:rFonts w:eastAsia="黑体"/>
          <w:b/>
          <w:sz w:val="36"/>
        </w:rPr>
      </w:pPr>
    </w:p>
    <w:p w14:paraId="7E47C7DB" w14:textId="5016D0D5" w:rsidR="001C73D2" w:rsidRPr="001C73D2" w:rsidRDefault="007A0EE9" w:rsidP="007A0EE9">
      <w:pPr>
        <w:spacing w:beforeLines="200" w:before="624" w:after="100" w:afterAutospacing="1" w:line="400" w:lineRule="exact"/>
        <w:jc w:val="center"/>
        <w:rPr>
          <w:rFonts w:eastAsia="楷体_GB2312"/>
          <w:bCs/>
          <w:sz w:val="36"/>
          <w:szCs w:val="36"/>
        </w:rPr>
      </w:pPr>
      <w:r w:rsidRPr="007A0EE9">
        <w:rPr>
          <w:rFonts w:eastAsia="黑体" w:hint="eastAsia"/>
          <w:bCs/>
          <w:sz w:val="36"/>
          <w:szCs w:val="36"/>
        </w:rPr>
        <w:t>边缘计算驱动物联网演进的研究综述</w:t>
      </w:r>
    </w:p>
    <w:p w14:paraId="26DD8A08" w14:textId="77777777" w:rsidR="00842767" w:rsidRDefault="00842767" w:rsidP="007A0EE9">
      <w:pPr>
        <w:pStyle w:val="a"/>
        <w:numPr>
          <w:ilvl w:val="0"/>
          <w:numId w:val="0"/>
        </w:numPr>
        <w:ind w:firstLineChars="200" w:firstLine="643"/>
      </w:pPr>
      <w:r>
        <w:rPr>
          <w:rFonts w:hint="eastAsia"/>
        </w:rPr>
        <w:t>摘要</w:t>
      </w:r>
    </w:p>
    <w:p w14:paraId="1C051B0B" w14:textId="1284A963" w:rsidR="001C73D2" w:rsidRPr="00842767" w:rsidRDefault="007A0EE9" w:rsidP="00842767">
      <w:pPr>
        <w:pStyle w:val="ac"/>
        <w:rPr>
          <w:rStyle w:val="Char0"/>
          <w:rFonts w:hint="eastAsia"/>
          <w:b w:val="0"/>
          <w:bCs w:val="0"/>
          <w:color w:val="auto"/>
        </w:rPr>
      </w:pPr>
      <w:r w:rsidRPr="007A0EE9">
        <w:rPr>
          <w:rFonts w:hint="eastAsia"/>
        </w:rPr>
        <w:t>随着5G/5G-Advanced、云原生与AI推理技术的成熟，物联网（IoT）从“海量连接”逐步走向“海量连接+实时智能”。传统</w:t>
      </w:r>
      <w:proofErr w:type="gramStart"/>
      <w:r w:rsidRPr="007A0EE9">
        <w:rPr>
          <w:rFonts w:hint="eastAsia"/>
        </w:rPr>
        <w:t>云中心</w:t>
      </w:r>
      <w:proofErr w:type="gramEnd"/>
      <w:r w:rsidRPr="007A0EE9">
        <w:rPr>
          <w:rFonts w:hint="eastAsia"/>
        </w:rPr>
        <w:t>式架构在时延、带宽、可靠性、数据主权与合</w:t>
      </w:r>
      <w:proofErr w:type="gramStart"/>
      <w:r w:rsidRPr="007A0EE9">
        <w:rPr>
          <w:rFonts w:hint="eastAsia"/>
        </w:rPr>
        <w:t>规</w:t>
      </w:r>
      <w:proofErr w:type="gramEnd"/>
      <w:r w:rsidRPr="007A0EE9">
        <w:rPr>
          <w:rFonts w:hint="eastAsia"/>
        </w:rPr>
        <w:t>等方面暴露出瓶颈，促使计算、存储与智能能力向网络边缘下沉。边缘计算通过在接近数据源的位置提供</w:t>
      </w:r>
      <w:proofErr w:type="gramStart"/>
      <w:r w:rsidRPr="007A0EE9">
        <w:rPr>
          <w:rFonts w:hint="eastAsia"/>
        </w:rPr>
        <w:t>可编程算力与</w:t>
      </w:r>
      <w:proofErr w:type="gramEnd"/>
      <w:r w:rsidRPr="007A0EE9">
        <w:rPr>
          <w:rFonts w:hint="eastAsia"/>
        </w:rPr>
        <w:t>平台服务，形成“端—边—云”连续体，能够支撑工业控制、机器视觉、医疗监护、智慧城市等对实时性与隐私性敏感的场景。本文在系统梳理国内外10余篇代表性研究与标准文档的基础上，围绕边缘计算在物联网中的概念界定、体系架构、关键技术、安全与隐私、行业应用与影响展开综述；并结合标准化与产业趋势，讨论边缘原生、边缘智能（</w:t>
      </w:r>
      <w:proofErr w:type="spellStart"/>
      <w:r w:rsidRPr="007A0EE9">
        <w:rPr>
          <w:rFonts w:hint="eastAsia"/>
        </w:rPr>
        <w:t>TinyML</w:t>
      </w:r>
      <w:proofErr w:type="spellEnd"/>
      <w:r w:rsidRPr="007A0EE9">
        <w:rPr>
          <w:rFonts w:hint="eastAsia"/>
        </w:rPr>
        <w:t>/生成式AI）、边缘协同与联邦化管理等研究方向。综述认为：边缘计算已从早期“算力下沉与卸载”演进为以云原生平台、网络能力开放、AI工程化与可信执行为核心的系统工程；未来的关键竞争点将集中在可观测性与自治运维、多租户隔离与合</w:t>
      </w:r>
      <w:proofErr w:type="gramStart"/>
      <w:r w:rsidRPr="007A0EE9">
        <w:rPr>
          <w:rFonts w:hint="eastAsia"/>
        </w:rPr>
        <w:t>规</w:t>
      </w:r>
      <w:proofErr w:type="gramEnd"/>
      <w:r w:rsidRPr="007A0EE9">
        <w:rPr>
          <w:rFonts w:hint="eastAsia"/>
        </w:rPr>
        <w:t>、跨域协同与生态接口、以及面向低功耗终端</w:t>
      </w:r>
      <w:proofErr w:type="gramStart"/>
      <w:r w:rsidRPr="007A0EE9">
        <w:rPr>
          <w:rFonts w:hint="eastAsia"/>
        </w:rPr>
        <w:t>的端边一体化</w:t>
      </w:r>
      <w:proofErr w:type="gramEnd"/>
      <w:r w:rsidRPr="007A0EE9">
        <w:rPr>
          <w:rFonts w:hint="eastAsia"/>
        </w:rPr>
        <w:t>模型与数据闭环</w:t>
      </w:r>
      <w:r w:rsidR="00842767">
        <w:rPr>
          <w:rFonts w:hint="eastAsia"/>
        </w:rPr>
        <w:t>。</w:t>
      </w:r>
    </w:p>
    <w:p w14:paraId="0AEB2913" w14:textId="559A6556" w:rsidR="00701579" w:rsidRPr="00701579" w:rsidRDefault="001C73D2" w:rsidP="00701579">
      <w:pPr>
        <w:spacing w:line="400" w:lineRule="exact"/>
        <w:ind w:firstLineChars="200" w:firstLine="562"/>
        <w:rPr>
          <w:rFonts w:ascii="黑体" w:eastAsia="黑体" w:hAnsi="宋体" w:hint="eastAsia"/>
        </w:rPr>
      </w:pPr>
      <w:bookmarkStart w:id="0" w:name="_Toc214818471"/>
      <w:r>
        <w:rPr>
          <w:rStyle w:val="Char0"/>
          <w:rFonts w:hint="eastAsia"/>
          <w:color w:val="000000"/>
          <w:sz w:val="28"/>
          <w:szCs w:val="28"/>
        </w:rPr>
        <w:t>关键词</w:t>
      </w:r>
      <w:bookmarkEnd w:id="0"/>
      <w:r>
        <w:rPr>
          <w:rFonts w:ascii="黑体" w:eastAsia="黑体" w:hAnsi="宋体" w:hint="eastAsia"/>
          <w:sz w:val="24"/>
        </w:rPr>
        <w:t>：</w:t>
      </w:r>
      <w:r w:rsidR="007A0EE9" w:rsidRPr="007A0EE9">
        <w:rPr>
          <w:rFonts w:ascii="宋体" w:hAnsi="宋体" w:hint="eastAsia"/>
          <w:sz w:val="24"/>
        </w:rPr>
        <w:t>物联网；边缘计算；多接入边缘计算（MEC）；云原生；边缘智能；工业互联网</w:t>
      </w:r>
      <w:r w:rsidR="007A0EE9">
        <w:rPr>
          <w:rFonts w:ascii="宋体" w:hAnsi="宋体" w:hint="eastAsia"/>
          <w:sz w:val="24"/>
        </w:rPr>
        <w:t>;</w:t>
      </w:r>
    </w:p>
    <w:p w14:paraId="7A937A97" w14:textId="77777777" w:rsidR="001C73D2" w:rsidRPr="00565466" w:rsidRDefault="00701579" w:rsidP="007A0EE9">
      <w:pPr>
        <w:pStyle w:val="a"/>
        <w:numPr>
          <w:ilvl w:val="0"/>
          <w:numId w:val="0"/>
        </w:numPr>
        <w:ind w:firstLineChars="200" w:firstLine="643"/>
      </w:pPr>
      <w:bookmarkStart w:id="1" w:name="_Toc214818472"/>
      <w:r w:rsidRPr="00565466">
        <w:rPr>
          <w:rFonts w:hint="eastAsia"/>
        </w:rPr>
        <w:t>引言</w:t>
      </w:r>
      <w:bookmarkEnd w:id="1"/>
    </w:p>
    <w:p w14:paraId="127E13E8" w14:textId="77777777" w:rsidR="007A0EE9" w:rsidRDefault="007A0EE9" w:rsidP="007A0EE9">
      <w:pPr>
        <w:pStyle w:val="ac"/>
      </w:pPr>
      <w:r>
        <w:rPr>
          <w:rFonts w:hint="eastAsia"/>
        </w:rPr>
        <w:t>物联网系统通常由感知层、网络层、平台层与应用层构成。感知层通过传感器、摄像头、</w:t>
      </w:r>
      <w:r>
        <w:t>RFID</w:t>
      </w:r>
      <w:r>
        <w:rPr>
          <w:rFonts w:hint="eastAsia"/>
        </w:rPr>
        <w:t>等设备采集数据；网络层通过</w:t>
      </w:r>
      <w:r>
        <w:t>5G</w:t>
      </w:r>
      <w:r>
        <w:rPr>
          <w:rFonts w:hint="eastAsia"/>
        </w:rPr>
        <w:t>、</w:t>
      </w:r>
      <w:r>
        <w:t>Wi</w:t>
      </w:r>
      <w:r>
        <w:rPr>
          <w:rFonts w:ascii="Cambria Math" w:hAnsi="Cambria Math" w:cs="Cambria Math"/>
        </w:rPr>
        <w:t>‑</w:t>
      </w:r>
      <w:r>
        <w:t>Fi</w:t>
      </w:r>
      <w:r>
        <w:rPr>
          <w:rFonts w:hint="eastAsia"/>
        </w:rPr>
        <w:t>、</w:t>
      </w:r>
      <w:r>
        <w:t>LPWAN</w:t>
      </w:r>
      <w:r>
        <w:rPr>
          <w:rFonts w:hint="eastAsia"/>
        </w:rPr>
        <w:t>等实现连接；平台</w:t>
      </w:r>
      <w:proofErr w:type="gramStart"/>
      <w:r>
        <w:rPr>
          <w:rFonts w:hint="eastAsia"/>
        </w:rPr>
        <w:t>层承担</w:t>
      </w:r>
      <w:proofErr w:type="gramEnd"/>
      <w:r>
        <w:rPr>
          <w:rFonts w:hint="eastAsia"/>
        </w:rPr>
        <w:t>数据汇聚、存储、分析与应用使能；应用层面向行业输出业务价值。在课程知识框架下，边缘计算可被视为平台层与网络层的“下沉式延伸”：将云侧的计算与平台能力部署到接近终端的边缘节点（如园区网关、基站边缘、工业边缘服务器），以缩短闭环控制链路并降低数据上行压力。</w:t>
      </w:r>
    </w:p>
    <w:p w14:paraId="09CE6CB3" w14:textId="77777777" w:rsidR="007A0EE9" w:rsidRDefault="007A0EE9" w:rsidP="007A0EE9">
      <w:pPr>
        <w:pStyle w:val="ac"/>
        <w:rPr>
          <w:rFonts w:hint="eastAsia"/>
        </w:rPr>
      </w:pPr>
      <w:r>
        <w:rPr>
          <w:rFonts w:hint="eastAsia"/>
        </w:rPr>
        <w:t>本课题的研究意义主要体现在三方面：第一，物联网业务从“监测”走向“控制与决策”，要求毫秒级响应与高可用，边缘计算可显著改善端到端时延与稳定性；第二，数据安全与隐私法规趋严，边缘侧的就地处理有助于减少原始数据</w:t>
      </w:r>
      <w:proofErr w:type="gramStart"/>
      <w:r>
        <w:rPr>
          <w:rFonts w:hint="eastAsia"/>
        </w:rPr>
        <w:t>出域与</w:t>
      </w:r>
      <w:proofErr w:type="gramEnd"/>
      <w:r>
        <w:rPr>
          <w:rFonts w:hint="eastAsia"/>
        </w:rPr>
        <w:t>实现数据最小化；第三，AI模型推理从云端逐步扩展到边缘与终端，边缘计</w:t>
      </w:r>
      <w:r>
        <w:rPr>
          <w:rFonts w:hint="eastAsia"/>
        </w:rPr>
        <w:lastRenderedPageBreak/>
        <w:t>算成为连接“感知数据—模型推理—业务动作”的关键基础设施。</w:t>
      </w:r>
    </w:p>
    <w:p w14:paraId="4F2CB218" w14:textId="77777777" w:rsidR="007A0EE9" w:rsidRDefault="007A0EE9" w:rsidP="007A0EE9">
      <w:pPr>
        <w:pStyle w:val="ac"/>
        <w:rPr>
          <w:rFonts w:hint="eastAsia"/>
        </w:rPr>
      </w:pPr>
      <w:r>
        <w:rPr>
          <w:rFonts w:hint="eastAsia"/>
        </w:rPr>
        <w:t>本文拟解决的主要问题包括：边缘计算在物联网中的概念边界与价值定位是什么；当前主流架构与标准化进展如何；</w:t>
      </w:r>
      <w:proofErr w:type="gramStart"/>
      <w:r>
        <w:rPr>
          <w:rFonts w:hint="eastAsia"/>
        </w:rPr>
        <w:t>算力编排</w:t>
      </w:r>
      <w:proofErr w:type="gramEnd"/>
      <w:r>
        <w:rPr>
          <w:rFonts w:hint="eastAsia"/>
        </w:rPr>
        <w:t>、任务卸载、数据管理、边缘智能与安全可信等关键技术有哪些研究脉络与代表性观点；边缘计算对工业、农业、医疗与城市治理等行业产生了哪些可量化的影响；以及未来研究与工程落地面临的主要挑战。</w:t>
      </w:r>
    </w:p>
    <w:p w14:paraId="640C33B7" w14:textId="5E2E6DA9" w:rsidR="007A0EE9" w:rsidRDefault="007A0EE9" w:rsidP="007A0EE9">
      <w:pPr>
        <w:pStyle w:val="ac"/>
        <w:rPr>
          <w:rFonts w:hint="eastAsia"/>
        </w:rPr>
      </w:pPr>
      <w:r>
        <w:rPr>
          <w:rFonts w:hint="eastAsia"/>
        </w:rPr>
        <w:t>资料范围与来源方面，本文综合查阅了国际期刊/会议综述与代表性论文（如IEEE Internet of Things Journal、Computer、Wireless Personal Communications、Sensors等），以及标准与行业组织文档（如ETSI MEC架构、ISO/IEC IoT参考架构、NIST</w:t>
      </w:r>
      <w:proofErr w:type="gramStart"/>
      <w:r>
        <w:rPr>
          <w:rFonts w:hint="eastAsia"/>
        </w:rPr>
        <w:t>雾计算</w:t>
      </w:r>
      <w:proofErr w:type="gramEnd"/>
      <w:r>
        <w:rPr>
          <w:rFonts w:hint="eastAsia"/>
        </w:rPr>
        <w:t>概念模型、3GPP边缘应用使能架构等），并参考国内学术期刊关于工业边缘计算与边缘数据安全的研究成果。由于物联网与边缘计算的产业生态更新较快，标准版本与实现框架以公开发布的最新版本为准</w:t>
      </w:r>
      <w:r w:rsidR="00701579" w:rsidRPr="00701579">
        <w:rPr>
          <w:rFonts w:hint="eastAsia"/>
        </w:rPr>
        <w:t>。</w:t>
      </w:r>
    </w:p>
    <w:p w14:paraId="177FCA2B" w14:textId="29997AD3" w:rsidR="00905124" w:rsidRDefault="007A0EE9" w:rsidP="00905124">
      <w:pPr>
        <w:pStyle w:val="a"/>
      </w:pPr>
      <w:r w:rsidRPr="007A0EE9">
        <w:rPr>
          <w:rFonts w:hint="eastAsia"/>
        </w:rPr>
        <w:t>概念界定与研究演进</w:t>
      </w:r>
    </w:p>
    <w:p w14:paraId="1C7B9D81" w14:textId="42467F52" w:rsidR="00905124" w:rsidRDefault="007A0EE9" w:rsidP="0011048D">
      <w:pPr>
        <w:pStyle w:val="a1"/>
        <w:rPr>
          <w:rFonts w:hint="eastAsia"/>
        </w:rPr>
      </w:pPr>
      <w:bookmarkStart w:id="2" w:name="_Toc214818474"/>
      <w:r w:rsidRPr="007A0EE9">
        <w:rPr>
          <w:rFonts w:hint="eastAsia"/>
        </w:rPr>
        <w:t>边缘计算、</w:t>
      </w:r>
      <w:proofErr w:type="gramStart"/>
      <w:r w:rsidRPr="007A0EE9">
        <w:rPr>
          <w:rFonts w:hint="eastAsia"/>
        </w:rPr>
        <w:t>雾计算</w:t>
      </w:r>
      <w:proofErr w:type="gramEnd"/>
      <w:r w:rsidRPr="007A0EE9">
        <w:rPr>
          <w:rFonts w:hint="eastAsia"/>
        </w:rPr>
        <w:t>与</w:t>
      </w:r>
      <w:r w:rsidRPr="007A0EE9">
        <w:rPr>
          <w:rFonts w:hint="eastAsia"/>
        </w:rPr>
        <w:t>MEC</w:t>
      </w:r>
      <w:r w:rsidRPr="007A0EE9">
        <w:rPr>
          <w:rFonts w:hint="eastAsia"/>
        </w:rPr>
        <w:t>的概念边界</w:t>
      </w:r>
      <w:bookmarkEnd w:id="2"/>
    </w:p>
    <w:p w14:paraId="0C55EBD3" w14:textId="77777777" w:rsidR="007A0EE9" w:rsidRDefault="007A0EE9" w:rsidP="007A0EE9">
      <w:pPr>
        <w:pStyle w:val="ac"/>
        <w:rPr>
          <w:rFonts w:hint="eastAsia"/>
        </w:rPr>
      </w:pPr>
      <w:r>
        <w:rPr>
          <w:rFonts w:hint="eastAsia"/>
        </w:rPr>
        <w:t>学术界对“边缘计算”通常强调两点：其一，计算与存储资源位于网络边缘并靠近数据源；其二，边缘节点能够以服务方式向应用提供可编程能力。Shi等在IEEE Internet of Things Journal发表的《Edge Computing: Vision and Challenges》提出，边缘计算能够同时满足低时延、节能、带宽成本与隐私等需求，并通过云端卸载、协同边缘等方式落地。该文在早期研究中具有奠基意义。</w:t>
      </w:r>
    </w:p>
    <w:p w14:paraId="5744C1D6" w14:textId="77777777" w:rsidR="007A0EE9" w:rsidRDefault="007A0EE9" w:rsidP="007A0EE9">
      <w:pPr>
        <w:pStyle w:val="ac"/>
        <w:rPr>
          <w:rFonts w:hint="eastAsia"/>
        </w:rPr>
      </w:pPr>
      <w:r>
        <w:rPr>
          <w:rFonts w:hint="eastAsia"/>
        </w:rPr>
        <w:t>与边缘计算相近的概念包括雾计算（Fog Computing）与多接入边缘计算（Multi-access Edge Computing, MEC）。NIST发布的SP 500-325《Fog Computing Conceptual Model》指出，</w:t>
      </w:r>
      <w:proofErr w:type="gramStart"/>
      <w:r>
        <w:rPr>
          <w:rFonts w:hint="eastAsia"/>
        </w:rPr>
        <w:t>雾计算</w:t>
      </w:r>
      <w:proofErr w:type="gramEnd"/>
      <w:r>
        <w:rPr>
          <w:rFonts w:hint="eastAsia"/>
        </w:rPr>
        <w:t>是位于端设备与</w:t>
      </w:r>
      <w:proofErr w:type="gramStart"/>
      <w:r>
        <w:rPr>
          <w:rFonts w:hint="eastAsia"/>
        </w:rPr>
        <w:t>云服务</w:t>
      </w:r>
      <w:proofErr w:type="gramEnd"/>
      <w:r>
        <w:rPr>
          <w:rFonts w:hint="eastAsia"/>
        </w:rPr>
        <w:t>之间的分层模型，通过雾节点集群提供分布式、低时延、上下文感知的计算与数据管理；同时在该模型中，edge computing更侧重“端设备及其用户所在的网络层”，强调末端设备侧的本地能力。该区分有助于在工程实施中明确：</w:t>
      </w:r>
      <w:proofErr w:type="gramStart"/>
      <w:r>
        <w:rPr>
          <w:rFonts w:hint="eastAsia"/>
        </w:rPr>
        <w:t>边缘算力可以</w:t>
      </w:r>
      <w:proofErr w:type="gramEnd"/>
      <w:r>
        <w:rPr>
          <w:rFonts w:hint="eastAsia"/>
        </w:rPr>
        <w:t>是“端侧（device-edge）”、也可以是“网侧/园区侧（network-edge）”，不同位置决定了可用功耗预算、连接能力与运维边界。</w:t>
      </w:r>
    </w:p>
    <w:p w14:paraId="0DFEE1CB" w14:textId="03CD13D3" w:rsidR="00842767" w:rsidRPr="007A0EE9" w:rsidRDefault="007A0EE9" w:rsidP="007A0EE9">
      <w:pPr>
        <w:pStyle w:val="ac"/>
        <w:rPr>
          <w:rFonts w:hint="eastAsia"/>
        </w:rPr>
      </w:pPr>
      <w:r>
        <w:rPr>
          <w:rFonts w:hint="eastAsia"/>
        </w:rPr>
        <w:t>MEC由ETSI主导，强调在接入网络侧（如基站、汇聚机房、园区边缘）提供标准化平台与API，使应用能够利用无线网络信息、位置能力与</w:t>
      </w:r>
      <w:proofErr w:type="gramStart"/>
      <w:r>
        <w:rPr>
          <w:rFonts w:hint="eastAsia"/>
        </w:rPr>
        <w:t>本地算力实现</w:t>
      </w:r>
      <w:proofErr w:type="gramEnd"/>
      <w:r>
        <w:rPr>
          <w:rFonts w:hint="eastAsia"/>
        </w:rPr>
        <w:t>业务加速。随着5G网络能力开放与网络切片、UPF下沉等技术的普及，MEC逐渐成为</w:t>
      </w:r>
      <w:proofErr w:type="gramStart"/>
      <w:r>
        <w:rPr>
          <w:rFonts w:hint="eastAsia"/>
        </w:rPr>
        <w:t>运营商侧边缘</w:t>
      </w:r>
      <w:proofErr w:type="gramEnd"/>
      <w:r>
        <w:rPr>
          <w:rFonts w:hint="eastAsia"/>
        </w:rPr>
        <w:t>计算的主流实现形态之一。</w:t>
      </w:r>
    </w:p>
    <w:p w14:paraId="5B698A97" w14:textId="62FD8DE1" w:rsidR="00905124" w:rsidRDefault="007A0EE9" w:rsidP="0011048D">
      <w:pPr>
        <w:pStyle w:val="a1"/>
        <w:rPr>
          <w:rFonts w:hint="eastAsia"/>
        </w:rPr>
      </w:pPr>
      <w:bookmarkStart w:id="3" w:name="_Toc214818475"/>
      <w:r w:rsidRPr="007A0EE9">
        <w:rPr>
          <w:rFonts w:hint="eastAsia"/>
        </w:rPr>
        <w:lastRenderedPageBreak/>
        <w:t>研究与产业演进脉络</w:t>
      </w:r>
      <w:bookmarkEnd w:id="3"/>
    </w:p>
    <w:p w14:paraId="21CA8C9D" w14:textId="77777777" w:rsidR="007A0EE9" w:rsidRDefault="007A0EE9" w:rsidP="007A0EE9">
      <w:pPr>
        <w:pStyle w:val="ac"/>
        <w:rPr>
          <w:rFonts w:hint="eastAsia"/>
        </w:rPr>
      </w:pPr>
      <w:r>
        <w:rPr>
          <w:rFonts w:hint="eastAsia"/>
        </w:rPr>
        <w:t>从研究脉络看，边缘计算经历了从“内容分发与缓存”到“算力下沉与卸载”，再到“边缘原生平台与边缘智能”的演进。</w:t>
      </w:r>
      <w:proofErr w:type="spellStart"/>
      <w:r>
        <w:rPr>
          <w:rFonts w:hint="eastAsia"/>
        </w:rPr>
        <w:t>Satyanarayanan</w:t>
      </w:r>
      <w:proofErr w:type="spellEnd"/>
      <w:r>
        <w:rPr>
          <w:rFonts w:hint="eastAsia"/>
        </w:rPr>
        <w:t>在《The Emergence of Edge Computing》中提出“云端集中”与“边缘分散”两股力量同时存在，并以cloudlet/微型数据中心支撑移动与物联网的低时延需求。随后，大量研究围绕任务卸载、资源分配、边缘节点协同、分布式数据分析等展开。</w:t>
      </w:r>
    </w:p>
    <w:p w14:paraId="08FF165C" w14:textId="6F631C1C" w:rsidR="0011048D" w:rsidRDefault="007A0EE9" w:rsidP="007A0EE9">
      <w:pPr>
        <w:pStyle w:val="ac"/>
      </w:pPr>
      <w:r>
        <w:rPr>
          <w:rFonts w:hint="eastAsia"/>
        </w:rPr>
        <w:t>近年产业侧的变化使研究重点进一步向工程化靠拢：第一，云原生（容器、Kubernetes、服务网格）成为边缘平台的事实标准，推动“应用可移植性”和“多租户交付”；第二，工业互联网与车联网等场景对确定性时延与高可靠提出更严格的指标，促使边缘侧引入实时计算、时间敏感网络（TSN）与</w:t>
      </w:r>
      <w:proofErr w:type="gramStart"/>
      <w:r>
        <w:rPr>
          <w:rFonts w:hint="eastAsia"/>
        </w:rPr>
        <w:t>精细化运维</w:t>
      </w:r>
      <w:proofErr w:type="gramEnd"/>
      <w:r>
        <w:rPr>
          <w:rFonts w:hint="eastAsia"/>
        </w:rPr>
        <w:t>；第三，AI推理加速芯片与轻量化模型成熟，使边缘节点从“数据预处理”升级为“实时推理与决策执行”的关键环节</w:t>
      </w:r>
      <w:r w:rsidR="00905124">
        <w:rPr>
          <w:rFonts w:hint="eastAsia"/>
        </w:rPr>
        <w:t>。</w:t>
      </w:r>
    </w:p>
    <w:p w14:paraId="06F153B5" w14:textId="7F07C29B" w:rsidR="007A0EE9" w:rsidRDefault="00711828" w:rsidP="007A0EE9">
      <w:pPr>
        <w:pStyle w:val="a"/>
      </w:pPr>
      <w:r w:rsidRPr="00711828">
        <w:rPr>
          <w:rFonts w:hint="eastAsia"/>
        </w:rPr>
        <w:t>体系架构与标准化进展</w:t>
      </w:r>
    </w:p>
    <w:p w14:paraId="294A1DF8" w14:textId="7B638AFA" w:rsidR="00711828" w:rsidRDefault="00711828" w:rsidP="00711828">
      <w:pPr>
        <w:pStyle w:val="a1"/>
        <w:numPr>
          <w:ilvl w:val="0"/>
          <w:numId w:val="12"/>
        </w:numPr>
        <w:ind w:firstLine="562"/>
      </w:pPr>
      <w:r w:rsidRPr="00711828">
        <w:rPr>
          <w:rFonts w:hint="eastAsia"/>
        </w:rPr>
        <w:t>端—边—云连续体架构</w:t>
      </w:r>
    </w:p>
    <w:p w14:paraId="51B994CE" w14:textId="77777777" w:rsidR="00711828" w:rsidRDefault="00711828" w:rsidP="00711828">
      <w:pPr>
        <w:pStyle w:val="ac"/>
        <w:rPr>
          <w:rFonts w:hint="eastAsia"/>
        </w:rPr>
      </w:pPr>
      <w:r>
        <w:rPr>
          <w:rFonts w:hint="eastAsia"/>
        </w:rPr>
        <w:t>边缘计算在物联网中的主流架构可概括为“端—边—云”连续体：</w:t>
      </w:r>
      <w:proofErr w:type="gramStart"/>
      <w:r>
        <w:rPr>
          <w:rFonts w:hint="eastAsia"/>
        </w:rPr>
        <w:t>端侧负责</w:t>
      </w:r>
      <w:proofErr w:type="gramEnd"/>
      <w:r>
        <w:rPr>
          <w:rFonts w:hint="eastAsia"/>
        </w:rPr>
        <w:t>数据采集、初步过滤与即时控制；边侧承担实时分析、协议适配、局部存储与业务编排；云</w:t>
      </w:r>
      <w:proofErr w:type="gramStart"/>
      <w:r>
        <w:rPr>
          <w:rFonts w:hint="eastAsia"/>
        </w:rPr>
        <w:t>侧提供</w:t>
      </w:r>
      <w:proofErr w:type="gramEnd"/>
      <w:r>
        <w:rPr>
          <w:rFonts w:hint="eastAsia"/>
        </w:rPr>
        <w:t>全局数据湖、跨域模型训练、统一治理与生态集成。这种分层并非固定，更多体现为在计算、存储与网络资源之间进行动态分配：对时延敏感的闭环任务尽量在边侧完成，对全局优化与大规模训练任务则上移至云侧。</w:t>
      </w:r>
    </w:p>
    <w:p w14:paraId="1F1A414D" w14:textId="12237592" w:rsidR="00711828" w:rsidRDefault="00711828" w:rsidP="00711828">
      <w:pPr>
        <w:pStyle w:val="ac"/>
      </w:pPr>
      <w:r>
        <w:rPr>
          <w:rFonts w:hint="eastAsia"/>
        </w:rPr>
        <w:t>在实践中，边缘节点形态丰富，包括工业边缘服务器、园区网关、基站边缘（MEC）、车载计算平台、以及更靠近传感器的微控制器/嵌入式推理单元。不同节点需要在算力（CPU/GPU/NPU）、网络（5G、以太网、TSN）、存储（本地缓存/时序数据库）与管理（远程运维、镜像分发、策略下发）之间取得平衡</w:t>
      </w:r>
      <w:r>
        <w:rPr>
          <w:rFonts w:hint="eastAsia"/>
        </w:rPr>
        <w:t>。</w:t>
      </w:r>
    </w:p>
    <w:p w14:paraId="0B2683C1" w14:textId="2B90780A" w:rsidR="00711828" w:rsidRDefault="00711828" w:rsidP="00711828">
      <w:pPr>
        <w:pStyle w:val="a1"/>
      </w:pPr>
      <w:r w:rsidRPr="00711828">
        <w:rPr>
          <w:rFonts w:hint="eastAsia"/>
        </w:rPr>
        <w:t>关键标准与参考架构</w:t>
      </w:r>
    </w:p>
    <w:p w14:paraId="2D9B9075" w14:textId="77777777" w:rsidR="00711828" w:rsidRDefault="00711828" w:rsidP="00711828">
      <w:pPr>
        <w:pStyle w:val="ac"/>
        <w:rPr>
          <w:rFonts w:hint="eastAsia"/>
        </w:rPr>
      </w:pPr>
      <w:r>
        <w:rPr>
          <w:rFonts w:hint="eastAsia"/>
        </w:rPr>
        <w:t>标准化与参考架构为跨厂商互操作与工程落地提供了共同语言。</w:t>
      </w:r>
      <w:proofErr w:type="spellStart"/>
      <w:r>
        <w:rPr>
          <w:rFonts w:hint="eastAsia"/>
        </w:rPr>
        <w:t>OpenFog</w:t>
      </w:r>
      <w:proofErr w:type="spellEnd"/>
      <w:r>
        <w:rPr>
          <w:rFonts w:hint="eastAsia"/>
        </w:rPr>
        <w:t xml:space="preserve"> Consortium于2017年发布《</w:t>
      </w:r>
      <w:proofErr w:type="spellStart"/>
      <w:r>
        <w:rPr>
          <w:rFonts w:hint="eastAsia"/>
        </w:rPr>
        <w:t>OpenFog</w:t>
      </w:r>
      <w:proofErr w:type="spellEnd"/>
      <w:r>
        <w:rPr>
          <w:rFonts w:hint="eastAsia"/>
        </w:rPr>
        <w:t xml:space="preserve"> Reference Architecture》，提出以安全、可扩展、开放、自治、RAS（可靠性/可用性/可维护性）、敏捷、层级与可编程性为八大支柱，并给出多视角架构描述。该架构强调雾/边缘节点在端与云之间形成分层部署与协同网络，为后续边缘平台的能力抽象奠定基础。</w:t>
      </w:r>
    </w:p>
    <w:p w14:paraId="4401B09F" w14:textId="77777777" w:rsidR="00711828" w:rsidRDefault="00711828" w:rsidP="00711828">
      <w:pPr>
        <w:pStyle w:val="ac"/>
        <w:rPr>
          <w:rFonts w:hint="eastAsia"/>
        </w:rPr>
      </w:pPr>
      <w:r>
        <w:rPr>
          <w:rFonts w:hint="eastAsia"/>
        </w:rPr>
        <w:lastRenderedPageBreak/>
        <w:t>ETSI MEC持续完善框架与参考架构（如MEC Framework &amp; Reference Architecture），核心在于定义MEC平台、MEC应用与主机环境，并通过标准API将无线网络信息、位置与带宽/时延等能力对上开放。与此同时，ISO/IEC 30141:2024作为第二版IoT参考架构，提出标准化的IoT架构视图与可复用设计模式，强化与ISO/IEC/IEEE 42010:2022的一致性，并提升实现模式支持。这类“系统视角”的标准有助于将边缘计算纳入整体IoT架构治理体系。</w:t>
      </w:r>
    </w:p>
    <w:p w14:paraId="0FE19A1F" w14:textId="77777777" w:rsidR="00711828" w:rsidRDefault="00711828" w:rsidP="00711828">
      <w:pPr>
        <w:pStyle w:val="ac"/>
        <w:rPr>
          <w:rFonts w:hint="eastAsia"/>
        </w:rPr>
      </w:pPr>
      <w:r>
        <w:rPr>
          <w:rFonts w:hint="eastAsia"/>
        </w:rPr>
        <w:t>在蜂窝网络侧，3GPP TS 23.558（通过ETSI TS 123 558发布）面向5G网络定义了“使能边缘应用”的应用层架构、信息流与部署流程，对运营商网络侧边缘应用的识别、选择与连接提供规范依据。结合UPF下沉与本地分流，边缘应用可获得更稳定的网络路径与可预测时延，为工业园区与车联网等场景提供支撑。</w:t>
      </w:r>
    </w:p>
    <w:p w14:paraId="19461832" w14:textId="6DF85DF4" w:rsidR="00711828" w:rsidRPr="00711828" w:rsidRDefault="00711828" w:rsidP="00711828">
      <w:pPr>
        <w:pStyle w:val="ac"/>
        <w:ind w:firstLine="422"/>
        <w:rPr>
          <w:b/>
          <w:bCs/>
          <w:sz w:val="21"/>
          <w:szCs w:val="21"/>
        </w:rPr>
      </w:pPr>
      <w:r w:rsidRPr="00711828">
        <w:rPr>
          <w:rFonts w:hint="eastAsia"/>
          <w:b/>
          <w:bCs/>
          <w:sz w:val="21"/>
          <w:szCs w:val="21"/>
        </w:rPr>
        <w:t>表1 典型参考架构/标准对比（摘录）</w:t>
      </w:r>
    </w:p>
    <w:tbl>
      <w:tblPr>
        <w:tblStyle w:val="a7"/>
        <w:tblW w:w="0" w:type="auto"/>
        <w:tblLook w:val="04A0" w:firstRow="1" w:lastRow="0" w:firstColumn="1" w:lastColumn="0" w:noHBand="0" w:noVBand="1"/>
      </w:tblPr>
      <w:tblGrid>
        <w:gridCol w:w="2138"/>
        <w:gridCol w:w="2060"/>
        <w:gridCol w:w="2060"/>
        <w:gridCol w:w="2044"/>
      </w:tblGrid>
      <w:tr w:rsidR="00711828" w14:paraId="582FFEED" w14:textId="77777777" w:rsidTr="009924A5">
        <w:tc>
          <w:tcPr>
            <w:tcW w:w="2209" w:type="dxa"/>
          </w:tcPr>
          <w:p w14:paraId="4AA9A70E" w14:textId="77777777" w:rsidR="00711828" w:rsidRDefault="00711828" w:rsidP="00711828">
            <w:pPr>
              <w:pStyle w:val="ac"/>
              <w:rPr>
                <w:rFonts w:hint="eastAsia"/>
              </w:rPr>
            </w:pPr>
            <w:r>
              <w:t>组织/标准</w:t>
            </w:r>
          </w:p>
        </w:tc>
        <w:tc>
          <w:tcPr>
            <w:tcW w:w="2209" w:type="dxa"/>
          </w:tcPr>
          <w:p w14:paraId="697AA5F1" w14:textId="77777777" w:rsidR="00711828" w:rsidRDefault="00711828" w:rsidP="00711828">
            <w:pPr>
              <w:pStyle w:val="ac"/>
              <w:rPr>
                <w:rFonts w:hint="eastAsia"/>
              </w:rPr>
            </w:pPr>
            <w:r>
              <w:t>关注对象</w:t>
            </w:r>
          </w:p>
        </w:tc>
        <w:tc>
          <w:tcPr>
            <w:tcW w:w="2209" w:type="dxa"/>
          </w:tcPr>
          <w:p w14:paraId="213CF0EF" w14:textId="77777777" w:rsidR="00711828" w:rsidRDefault="00711828" w:rsidP="00711828">
            <w:pPr>
              <w:pStyle w:val="ac"/>
              <w:rPr>
                <w:rFonts w:hint="eastAsia"/>
              </w:rPr>
            </w:pPr>
            <w:r>
              <w:t>关键要点</w:t>
            </w:r>
          </w:p>
        </w:tc>
        <w:tc>
          <w:tcPr>
            <w:tcW w:w="2209" w:type="dxa"/>
          </w:tcPr>
          <w:p w14:paraId="39F3C742" w14:textId="77777777" w:rsidR="00711828" w:rsidRDefault="00711828" w:rsidP="00711828">
            <w:pPr>
              <w:pStyle w:val="ac"/>
              <w:rPr>
                <w:rFonts w:hint="eastAsia"/>
              </w:rPr>
            </w:pPr>
            <w:r>
              <w:t>对物联网工程的启示</w:t>
            </w:r>
          </w:p>
        </w:tc>
      </w:tr>
      <w:tr w:rsidR="00711828" w14:paraId="02A11AEC" w14:textId="77777777" w:rsidTr="009924A5">
        <w:tc>
          <w:tcPr>
            <w:tcW w:w="2209" w:type="dxa"/>
          </w:tcPr>
          <w:p w14:paraId="44539CAB" w14:textId="77777777" w:rsidR="00711828" w:rsidRDefault="00711828" w:rsidP="00711828">
            <w:pPr>
              <w:pStyle w:val="ac"/>
              <w:rPr>
                <w:rFonts w:hint="eastAsia"/>
              </w:rPr>
            </w:pPr>
            <w:proofErr w:type="spellStart"/>
            <w:r>
              <w:t>OpenFog</w:t>
            </w:r>
            <w:proofErr w:type="spellEnd"/>
            <w:r>
              <w:t xml:space="preserve"> Reference Architecture (2017)</w:t>
            </w:r>
          </w:p>
        </w:tc>
        <w:tc>
          <w:tcPr>
            <w:tcW w:w="2209" w:type="dxa"/>
          </w:tcPr>
          <w:p w14:paraId="56AE2C67" w14:textId="77777777" w:rsidR="00711828" w:rsidRDefault="00711828" w:rsidP="00711828">
            <w:pPr>
              <w:pStyle w:val="ac"/>
              <w:rPr>
                <w:rFonts w:hint="eastAsia"/>
              </w:rPr>
            </w:pPr>
            <w:r>
              <w:t>雾/边缘系统架构</w:t>
            </w:r>
          </w:p>
        </w:tc>
        <w:tc>
          <w:tcPr>
            <w:tcW w:w="2209" w:type="dxa"/>
          </w:tcPr>
          <w:p w14:paraId="72EA54EA" w14:textId="77777777" w:rsidR="00711828" w:rsidRDefault="00711828" w:rsidP="00711828">
            <w:pPr>
              <w:pStyle w:val="ac"/>
              <w:rPr>
                <w:rFonts w:hint="eastAsia"/>
              </w:rPr>
            </w:pPr>
            <w:r>
              <w:t>八大支柱；多视角架构描述；分层部署</w:t>
            </w:r>
          </w:p>
        </w:tc>
        <w:tc>
          <w:tcPr>
            <w:tcW w:w="2209" w:type="dxa"/>
          </w:tcPr>
          <w:p w14:paraId="22C88B9F" w14:textId="77777777" w:rsidR="00711828" w:rsidRDefault="00711828" w:rsidP="00711828">
            <w:pPr>
              <w:pStyle w:val="ac"/>
              <w:rPr>
                <w:rFonts w:hint="eastAsia"/>
              </w:rPr>
            </w:pPr>
            <w:proofErr w:type="gramStart"/>
            <w:r>
              <w:t>强调端边云</w:t>
            </w:r>
            <w:proofErr w:type="gramEnd"/>
            <w:r>
              <w:t>协同与安全/可靠性作为底座能力</w:t>
            </w:r>
          </w:p>
        </w:tc>
      </w:tr>
      <w:tr w:rsidR="00711828" w14:paraId="142AA617" w14:textId="77777777" w:rsidTr="009924A5">
        <w:tc>
          <w:tcPr>
            <w:tcW w:w="2209" w:type="dxa"/>
          </w:tcPr>
          <w:p w14:paraId="79928023" w14:textId="77777777" w:rsidR="00711828" w:rsidRDefault="00711828" w:rsidP="00711828">
            <w:pPr>
              <w:pStyle w:val="ac"/>
              <w:rPr>
                <w:rFonts w:hint="eastAsia"/>
              </w:rPr>
            </w:pPr>
            <w:r>
              <w:t>NIST SP 500-325 (2018)</w:t>
            </w:r>
          </w:p>
        </w:tc>
        <w:tc>
          <w:tcPr>
            <w:tcW w:w="2209" w:type="dxa"/>
          </w:tcPr>
          <w:p w14:paraId="044AA599" w14:textId="77777777" w:rsidR="00711828" w:rsidRDefault="00711828" w:rsidP="00711828">
            <w:pPr>
              <w:pStyle w:val="ac"/>
              <w:rPr>
                <w:rFonts w:hint="eastAsia"/>
              </w:rPr>
            </w:pPr>
            <w:proofErr w:type="gramStart"/>
            <w:r>
              <w:t>雾计算</w:t>
            </w:r>
            <w:proofErr w:type="gramEnd"/>
            <w:r>
              <w:t>概念模型</w:t>
            </w:r>
          </w:p>
        </w:tc>
        <w:tc>
          <w:tcPr>
            <w:tcW w:w="2209" w:type="dxa"/>
          </w:tcPr>
          <w:p w14:paraId="3EBF91C2" w14:textId="77777777" w:rsidR="00711828" w:rsidRDefault="00711828" w:rsidP="00711828">
            <w:pPr>
              <w:pStyle w:val="ac"/>
              <w:rPr>
                <w:rFonts w:hint="eastAsia"/>
              </w:rPr>
            </w:pPr>
            <w:r>
              <w:t>分层模型；雾节点与联邦；概念边界</w:t>
            </w:r>
          </w:p>
        </w:tc>
        <w:tc>
          <w:tcPr>
            <w:tcW w:w="2209" w:type="dxa"/>
          </w:tcPr>
          <w:p w14:paraId="56479BA3" w14:textId="77777777" w:rsidR="00711828" w:rsidRDefault="00711828" w:rsidP="00711828">
            <w:pPr>
              <w:pStyle w:val="ac"/>
              <w:rPr>
                <w:rFonts w:hint="eastAsia"/>
              </w:rPr>
            </w:pPr>
            <w:r>
              <w:t>用于统一术语与能力边界，指导节点选型与部署层级</w:t>
            </w:r>
          </w:p>
        </w:tc>
      </w:tr>
      <w:tr w:rsidR="00711828" w14:paraId="5FFB15F1" w14:textId="77777777" w:rsidTr="009924A5">
        <w:tc>
          <w:tcPr>
            <w:tcW w:w="2209" w:type="dxa"/>
          </w:tcPr>
          <w:p w14:paraId="43328D15" w14:textId="77777777" w:rsidR="00711828" w:rsidRDefault="00711828" w:rsidP="00711828">
            <w:pPr>
              <w:pStyle w:val="ac"/>
              <w:rPr>
                <w:rFonts w:hint="eastAsia"/>
              </w:rPr>
            </w:pPr>
            <w:r>
              <w:t>ETSI MEC Framework</w:t>
            </w:r>
          </w:p>
        </w:tc>
        <w:tc>
          <w:tcPr>
            <w:tcW w:w="2209" w:type="dxa"/>
          </w:tcPr>
          <w:p w14:paraId="055B3879" w14:textId="77777777" w:rsidR="00711828" w:rsidRDefault="00711828" w:rsidP="00711828">
            <w:pPr>
              <w:pStyle w:val="ac"/>
              <w:rPr>
                <w:rFonts w:hint="eastAsia"/>
              </w:rPr>
            </w:pPr>
            <w:r>
              <w:t>接入网侧边缘平台</w:t>
            </w:r>
          </w:p>
        </w:tc>
        <w:tc>
          <w:tcPr>
            <w:tcW w:w="2209" w:type="dxa"/>
          </w:tcPr>
          <w:p w14:paraId="17922545" w14:textId="77777777" w:rsidR="00711828" w:rsidRDefault="00711828" w:rsidP="00711828">
            <w:pPr>
              <w:pStyle w:val="ac"/>
              <w:rPr>
                <w:rFonts w:hint="eastAsia"/>
              </w:rPr>
            </w:pPr>
            <w:r>
              <w:t>MEC平台与应用；标准API；网络能力开放</w:t>
            </w:r>
          </w:p>
        </w:tc>
        <w:tc>
          <w:tcPr>
            <w:tcW w:w="2209" w:type="dxa"/>
          </w:tcPr>
          <w:p w14:paraId="5CAC7B17" w14:textId="77777777" w:rsidR="00711828" w:rsidRDefault="00711828" w:rsidP="00711828">
            <w:pPr>
              <w:pStyle w:val="ac"/>
              <w:rPr>
                <w:rFonts w:hint="eastAsia"/>
              </w:rPr>
            </w:pPr>
            <w:r>
              <w:t>便于运营商/园区侧边缘应用对接与可移植交付</w:t>
            </w:r>
          </w:p>
        </w:tc>
      </w:tr>
      <w:tr w:rsidR="00711828" w14:paraId="6DC687E4" w14:textId="77777777" w:rsidTr="009924A5">
        <w:tc>
          <w:tcPr>
            <w:tcW w:w="2209" w:type="dxa"/>
          </w:tcPr>
          <w:p w14:paraId="3E85B0AB" w14:textId="77777777" w:rsidR="00711828" w:rsidRDefault="00711828" w:rsidP="00711828">
            <w:pPr>
              <w:pStyle w:val="ac"/>
              <w:rPr>
                <w:rFonts w:hint="eastAsia"/>
              </w:rPr>
            </w:pPr>
            <w:r>
              <w:t>ISO/IEC 30141:2024</w:t>
            </w:r>
          </w:p>
        </w:tc>
        <w:tc>
          <w:tcPr>
            <w:tcW w:w="2209" w:type="dxa"/>
          </w:tcPr>
          <w:p w14:paraId="29D75C1A" w14:textId="77777777" w:rsidR="00711828" w:rsidRDefault="00711828" w:rsidP="00711828">
            <w:pPr>
              <w:pStyle w:val="ac"/>
              <w:rPr>
                <w:rFonts w:hint="eastAsia"/>
              </w:rPr>
            </w:pPr>
            <w:r>
              <w:t>IoT参考架构</w:t>
            </w:r>
          </w:p>
        </w:tc>
        <w:tc>
          <w:tcPr>
            <w:tcW w:w="2209" w:type="dxa"/>
          </w:tcPr>
          <w:p w14:paraId="45F50BF7" w14:textId="77777777" w:rsidR="00711828" w:rsidRDefault="00711828" w:rsidP="00711828">
            <w:pPr>
              <w:pStyle w:val="ac"/>
              <w:rPr>
                <w:rFonts w:hint="eastAsia"/>
              </w:rPr>
            </w:pPr>
            <w:r>
              <w:t>通用词汇与视图；设计模式；可用性提升</w:t>
            </w:r>
          </w:p>
        </w:tc>
        <w:tc>
          <w:tcPr>
            <w:tcW w:w="2209" w:type="dxa"/>
          </w:tcPr>
          <w:p w14:paraId="64D8D73F" w14:textId="77777777" w:rsidR="00711828" w:rsidRDefault="00711828" w:rsidP="00711828">
            <w:pPr>
              <w:pStyle w:val="ac"/>
              <w:rPr>
                <w:rFonts w:hint="eastAsia"/>
              </w:rPr>
            </w:pPr>
            <w:r>
              <w:t>将边缘能力纳入IoT整体架构治理与模式复用</w:t>
            </w:r>
          </w:p>
        </w:tc>
      </w:tr>
      <w:tr w:rsidR="00711828" w14:paraId="7A31D1C7" w14:textId="77777777" w:rsidTr="009924A5">
        <w:tc>
          <w:tcPr>
            <w:tcW w:w="2209" w:type="dxa"/>
          </w:tcPr>
          <w:p w14:paraId="74582744" w14:textId="77777777" w:rsidR="00711828" w:rsidRDefault="00711828" w:rsidP="00711828">
            <w:pPr>
              <w:pStyle w:val="ac"/>
              <w:rPr>
                <w:rFonts w:hint="eastAsia"/>
              </w:rPr>
            </w:pPr>
            <w:r>
              <w:t>3GPP TS 23.558 / ETSI TS 123 558</w:t>
            </w:r>
          </w:p>
        </w:tc>
        <w:tc>
          <w:tcPr>
            <w:tcW w:w="2209" w:type="dxa"/>
          </w:tcPr>
          <w:p w14:paraId="74E75C34" w14:textId="77777777" w:rsidR="00711828" w:rsidRDefault="00711828" w:rsidP="00711828">
            <w:pPr>
              <w:pStyle w:val="ac"/>
              <w:rPr>
                <w:rFonts w:hint="eastAsia"/>
              </w:rPr>
            </w:pPr>
            <w:r>
              <w:t>5G边缘应用使能</w:t>
            </w:r>
          </w:p>
        </w:tc>
        <w:tc>
          <w:tcPr>
            <w:tcW w:w="2209" w:type="dxa"/>
          </w:tcPr>
          <w:p w14:paraId="6AC92482" w14:textId="77777777" w:rsidR="00711828" w:rsidRDefault="00711828" w:rsidP="00711828">
            <w:pPr>
              <w:pStyle w:val="ac"/>
              <w:rPr>
                <w:rFonts w:hint="eastAsia"/>
              </w:rPr>
            </w:pPr>
            <w:r>
              <w:t>应用选择与连接流程；信息流；部署要求</w:t>
            </w:r>
          </w:p>
        </w:tc>
        <w:tc>
          <w:tcPr>
            <w:tcW w:w="2209" w:type="dxa"/>
          </w:tcPr>
          <w:p w14:paraId="418A858A" w14:textId="77777777" w:rsidR="00711828" w:rsidRDefault="00711828" w:rsidP="00711828">
            <w:pPr>
              <w:pStyle w:val="ac"/>
              <w:rPr>
                <w:rFonts w:hint="eastAsia"/>
              </w:rPr>
            </w:pPr>
            <w:r>
              <w:t>支撑5G网络下的本地分流、低时延与运营</w:t>
            </w:r>
            <w:proofErr w:type="gramStart"/>
            <w:r>
              <w:t>商级运维</w:t>
            </w:r>
            <w:proofErr w:type="gramEnd"/>
          </w:p>
        </w:tc>
      </w:tr>
    </w:tbl>
    <w:p w14:paraId="6B27F407" w14:textId="77777777" w:rsidR="00711828" w:rsidRPr="00711828" w:rsidRDefault="00711828" w:rsidP="00711828">
      <w:pPr>
        <w:pStyle w:val="ac"/>
        <w:rPr>
          <w:rFonts w:hint="eastAsia"/>
        </w:rPr>
      </w:pPr>
    </w:p>
    <w:p w14:paraId="1EB07803" w14:textId="0ED17614" w:rsidR="00711828" w:rsidRDefault="00711828" w:rsidP="00711828">
      <w:pPr>
        <w:pStyle w:val="ac"/>
      </w:pPr>
      <w:r>
        <w:rPr>
          <w:rFonts w:hint="eastAsia"/>
        </w:rPr>
        <w:lastRenderedPageBreak/>
        <w:t>从表1可见，不同标准侧重点不同：</w:t>
      </w:r>
      <w:proofErr w:type="spellStart"/>
      <w:r>
        <w:rPr>
          <w:rFonts w:hint="eastAsia"/>
        </w:rPr>
        <w:t>OpenFog</w:t>
      </w:r>
      <w:proofErr w:type="spellEnd"/>
      <w:r>
        <w:rPr>
          <w:rFonts w:hint="eastAsia"/>
        </w:rPr>
        <w:t>与NIST更偏概念与系统原则，ETSI MEC与3GPP更偏网络</w:t>
      </w:r>
      <w:proofErr w:type="gramStart"/>
      <w:r>
        <w:rPr>
          <w:rFonts w:hint="eastAsia"/>
        </w:rPr>
        <w:t>侧工程</w:t>
      </w:r>
      <w:proofErr w:type="gramEnd"/>
      <w:r>
        <w:rPr>
          <w:rFonts w:hint="eastAsia"/>
        </w:rPr>
        <w:t>与接口，ISO/IEC 30141提供IoT系统层面的通用视图。在实际选型时，应以业务场景的时延与可靠性目标为牵引，结合监管合</w:t>
      </w:r>
      <w:proofErr w:type="gramStart"/>
      <w:r>
        <w:rPr>
          <w:rFonts w:hint="eastAsia"/>
        </w:rPr>
        <w:t>规</w:t>
      </w:r>
      <w:proofErr w:type="gramEnd"/>
      <w:r>
        <w:rPr>
          <w:rFonts w:hint="eastAsia"/>
        </w:rPr>
        <w:t>与生态对接需求，选择适配的参考架构与接口标准</w:t>
      </w:r>
      <w:r>
        <w:rPr>
          <w:rFonts w:hint="eastAsia"/>
        </w:rPr>
        <w:t>。</w:t>
      </w:r>
    </w:p>
    <w:p w14:paraId="15A8B184" w14:textId="4C5302A2" w:rsidR="00711828" w:rsidRDefault="00711828" w:rsidP="00711828">
      <w:pPr>
        <w:pStyle w:val="a"/>
      </w:pPr>
      <w:r w:rsidRPr="00711828">
        <w:rPr>
          <w:rFonts w:hint="eastAsia"/>
        </w:rPr>
        <w:t>关键技术研究进展</w:t>
      </w:r>
    </w:p>
    <w:p w14:paraId="2C38DEED" w14:textId="064896FC" w:rsidR="00711828" w:rsidRDefault="00711828" w:rsidP="00711828">
      <w:pPr>
        <w:pStyle w:val="a1"/>
        <w:numPr>
          <w:ilvl w:val="0"/>
          <w:numId w:val="13"/>
        </w:numPr>
        <w:ind w:firstLine="562"/>
      </w:pPr>
      <w:r w:rsidRPr="00711828">
        <w:rPr>
          <w:rFonts w:hint="eastAsia"/>
        </w:rPr>
        <w:t>计算卸载与资源调度</w:t>
      </w:r>
    </w:p>
    <w:p w14:paraId="6237C293" w14:textId="77777777" w:rsidR="00711828" w:rsidRDefault="00711828" w:rsidP="00711828">
      <w:pPr>
        <w:pStyle w:val="ac"/>
        <w:rPr>
          <w:rFonts w:hint="eastAsia"/>
        </w:rPr>
      </w:pPr>
      <w:r>
        <w:rPr>
          <w:rFonts w:hint="eastAsia"/>
        </w:rPr>
        <w:t>计算卸载（offloading）是边缘计算早期研究的核心议题之一，关注“任务应在端、边还是云执行”以及“如何在多用户、多节点环境下进行资源分配”。该类研究通常以时延、能耗、带宽成本与服务质量（QoS）为目标函数，在约束条件下求解优化问题，进而给出启发式或学习型调度策略。</w:t>
      </w:r>
    </w:p>
    <w:p w14:paraId="10307578" w14:textId="77777777" w:rsidR="00711828" w:rsidRDefault="00711828" w:rsidP="00711828">
      <w:pPr>
        <w:pStyle w:val="ac"/>
        <w:rPr>
          <w:rFonts w:hint="eastAsia"/>
        </w:rPr>
      </w:pPr>
      <w:r>
        <w:rPr>
          <w:rFonts w:hint="eastAsia"/>
        </w:rPr>
        <w:t>Hamdan等在Sensors发表的综述对IoT边缘计算进行系统分类，指出卸载决策需要同时考虑网络状态、节点负载与任务依赖关系，并强调在异构设备环境下保持调度可扩展性与公平性。Nguyen等在Wireless Personal Communications的综述进一步从应用服务的生命周期视角讨论资源管理与调度问题，认为在移动性、网络波动与边缘节点动态加入/离开的条件下，仅依赖静态优化难以满足工程需求，需引入在线学习与自适应策略。</w:t>
      </w:r>
    </w:p>
    <w:p w14:paraId="51858CD7" w14:textId="6F03DBC8" w:rsidR="00711828" w:rsidRDefault="00711828" w:rsidP="00711828">
      <w:pPr>
        <w:pStyle w:val="ac"/>
      </w:pPr>
      <w:r>
        <w:rPr>
          <w:rFonts w:hint="eastAsia"/>
        </w:rPr>
        <w:t>在工业场景中，任务卸载与调度还需满足确定性与可解释性：例如机器视觉检测、运动控制与安全</w:t>
      </w:r>
      <w:proofErr w:type="gramStart"/>
      <w:r>
        <w:rPr>
          <w:rFonts w:hint="eastAsia"/>
        </w:rPr>
        <w:t>联锁</w:t>
      </w:r>
      <w:proofErr w:type="gramEnd"/>
      <w:r>
        <w:rPr>
          <w:rFonts w:hint="eastAsia"/>
        </w:rPr>
        <w:t>等闭环链路对抖动极为敏感。王其朝等在《工业边缘计算研究现状与展望》中指出，工业边缘计算不仅</w:t>
      </w:r>
      <w:proofErr w:type="gramStart"/>
      <w:r>
        <w:rPr>
          <w:rFonts w:hint="eastAsia"/>
        </w:rPr>
        <w:t>关注算力下沉</w:t>
      </w:r>
      <w:proofErr w:type="gramEnd"/>
      <w:r>
        <w:rPr>
          <w:rFonts w:hint="eastAsia"/>
        </w:rPr>
        <w:t>，更强调与工业协议、实时系统与运维体系的深度融合，并将计算虚拟化、实时通信与安全隔离视为关键技术</w:t>
      </w:r>
      <w:r>
        <w:rPr>
          <w:rFonts w:hint="eastAsia"/>
        </w:rPr>
        <w:t>。</w:t>
      </w:r>
    </w:p>
    <w:p w14:paraId="746F5598" w14:textId="3F282826" w:rsidR="00711828" w:rsidRDefault="00711828" w:rsidP="00711828">
      <w:pPr>
        <w:pStyle w:val="a1"/>
      </w:pPr>
      <w:proofErr w:type="gramStart"/>
      <w:r w:rsidRPr="00711828">
        <w:rPr>
          <w:rFonts w:hint="eastAsia"/>
        </w:rPr>
        <w:t>云原生化</w:t>
      </w:r>
      <w:proofErr w:type="gramEnd"/>
      <w:r w:rsidRPr="00711828">
        <w:rPr>
          <w:rFonts w:hint="eastAsia"/>
        </w:rPr>
        <w:t>与边缘编排</w:t>
      </w:r>
    </w:p>
    <w:p w14:paraId="0752FDE0" w14:textId="77777777" w:rsidR="00711828" w:rsidRDefault="00711828" w:rsidP="00711828">
      <w:pPr>
        <w:pStyle w:val="ac"/>
        <w:rPr>
          <w:rFonts w:hint="eastAsia"/>
        </w:rPr>
      </w:pPr>
      <w:r>
        <w:rPr>
          <w:rFonts w:hint="eastAsia"/>
        </w:rPr>
        <w:t>随着边缘节点规模从“少量专用设备”扩展到“海量分布式站点”，云原生技术成为边缘平台工程化的主线。容器化与Kubernetes为边缘应用提供了标准化的交付与弹性伸缩机制；服务网格在多服务之间提供流量治理、可观测性与零信任通信；</w:t>
      </w:r>
      <w:proofErr w:type="spellStart"/>
      <w:r>
        <w:rPr>
          <w:rFonts w:hint="eastAsia"/>
        </w:rPr>
        <w:t>GitOps</w:t>
      </w:r>
      <w:proofErr w:type="spellEnd"/>
      <w:r>
        <w:rPr>
          <w:rFonts w:hint="eastAsia"/>
        </w:rPr>
        <w:t>与声明式配置降低了跨站点运维的复杂度。</w:t>
      </w:r>
    </w:p>
    <w:p w14:paraId="73483528" w14:textId="13125016" w:rsidR="00711828" w:rsidRDefault="00711828" w:rsidP="00711828">
      <w:pPr>
        <w:pStyle w:val="ac"/>
      </w:pPr>
      <w:r>
        <w:rPr>
          <w:rFonts w:hint="eastAsia"/>
        </w:rPr>
        <w:t>与此同时，边缘编排需要面对</w:t>
      </w:r>
      <w:proofErr w:type="gramStart"/>
      <w:r>
        <w:rPr>
          <w:rFonts w:hint="eastAsia"/>
        </w:rPr>
        <w:t>比云数据</w:t>
      </w:r>
      <w:proofErr w:type="gramEnd"/>
      <w:r>
        <w:rPr>
          <w:rFonts w:hint="eastAsia"/>
        </w:rPr>
        <w:t>中心更复杂的约束：站点网络不稳定、</w:t>
      </w:r>
      <w:proofErr w:type="gramStart"/>
      <w:r>
        <w:rPr>
          <w:rFonts w:hint="eastAsia"/>
        </w:rPr>
        <w:t>算力资源</w:t>
      </w:r>
      <w:proofErr w:type="gramEnd"/>
      <w:r>
        <w:rPr>
          <w:rFonts w:hint="eastAsia"/>
        </w:rPr>
        <w:t>碎片化、现场运</w:t>
      </w:r>
      <w:proofErr w:type="gramStart"/>
      <w:r>
        <w:rPr>
          <w:rFonts w:hint="eastAsia"/>
        </w:rPr>
        <w:t>维能力</w:t>
      </w:r>
      <w:proofErr w:type="gramEnd"/>
      <w:r>
        <w:rPr>
          <w:rFonts w:hint="eastAsia"/>
        </w:rPr>
        <w:t>有限、以及多租户隔离与安全合</w:t>
      </w:r>
      <w:proofErr w:type="gramStart"/>
      <w:r>
        <w:rPr>
          <w:rFonts w:hint="eastAsia"/>
        </w:rPr>
        <w:t>规</w:t>
      </w:r>
      <w:proofErr w:type="gramEnd"/>
      <w:r>
        <w:rPr>
          <w:rFonts w:hint="eastAsia"/>
        </w:rPr>
        <w:t>要求更高。因此，研究者提出轻量化Kubernetes发行版、分层控制平面、离线容忍的镜像分发与配置回放等方法。工程实践中也逐渐形成“云侧统一控制+边侧自治运行”</w:t>
      </w:r>
      <w:r>
        <w:rPr>
          <w:rFonts w:hint="eastAsia"/>
        </w:rPr>
        <w:lastRenderedPageBreak/>
        <w:t>的架构，以兼顾一致性与可用性</w:t>
      </w:r>
      <w:r>
        <w:rPr>
          <w:rFonts w:hint="eastAsia"/>
        </w:rPr>
        <w:t>。</w:t>
      </w:r>
    </w:p>
    <w:p w14:paraId="7CC39113" w14:textId="25E7641A" w:rsidR="00711828" w:rsidRDefault="00711828" w:rsidP="00711828">
      <w:pPr>
        <w:pStyle w:val="a1"/>
      </w:pPr>
      <w:r w:rsidRPr="00711828">
        <w:rPr>
          <w:rFonts w:hint="eastAsia"/>
        </w:rPr>
        <w:t>数据管理与流式分析</w:t>
      </w:r>
    </w:p>
    <w:p w14:paraId="207DF267" w14:textId="77777777" w:rsidR="00711828" w:rsidRDefault="00711828" w:rsidP="00711828">
      <w:pPr>
        <w:pStyle w:val="ac"/>
        <w:rPr>
          <w:rFonts w:hint="eastAsia"/>
        </w:rPr>
      </w:pPr>
      <w:r>
        <w:rPr>
          <w:rFonts w:hint="eastAsia"/>
        </w:rPr>
        <w:t>物联网数据具有典型的时序性、噪声性与场景相关性。边缘侧的数据管理往往采用“就地过滤—特征提取—事件上报”的策略，以减少原始数据上行，并在边缘节点形成短期缓存与本地特征库。对于工业与城市治理场景，边缘流式分析（streaming analytics）可实现异常检测、预测性维护与实时告警；</w:t>
      </w:r>
      <w:proofErr w:type="gramStart"/>
      <w:r>
        <w:rPr>
          <w:rFonts w:hint="eastAsia"/>
        </w:rPr>
        <w:t>云侧则承担</w:t>
      </w:r>
      <w:proofErr w:type="gramEnd"/>
      <w:r>
        <w:rPr>
          <w:rFonts w:hint="eastAsia"/>
        </w:rPr>
        <w:t>跨站点的长周期建模与全局优化。</w:t>
      </w:r>
    </w:p>
    <w:p w14:paraId="1AC92B18" w14:textId="77777777" w:rsidR="00711828" w:rsidRDefault="00711828" w:rsidP="00711828">
      <w:pPr>
        <w:pStyle w:val="ac"/>
        <w:rPr>
          <w:rFonts w:hint="eastAsia"/>
        </w:rPr>
      </w:pPr>
      <w:r>
        <w:rPr>
          <w:rFonts w:hint="eastAsia"/>
        </w:rPr>
        <w:t>在架构设计上，常见模式包括：边缘侧时序数据库与消息中间件（如MQTT/AMQP）的组合；基于事件驱动（event-driven）的无服务器（serverless）执行模型；以及面向多源异构数据的语义建模与数字孪生。ISO/IEC 30141提出的多视图架构与设计模式，为上述数据管道与数字孪生的统一建模提供了参考框架。</w:t>
      </w:r>
    </w:p>
    <w:p w14:paraId="3286EABF" w14:textId="0425008C" w:rsidR="00711828" w:rsidRDefault="00711828" w:rsidP="00711828">
      <w:pPr>
        <w:pStyle w:val="a1"/>
        <w:rPr>
          <w:rFonts w:hint="eastAsia"/>
        </w:rPr>
      </w:pPr>
      <w:r>
        <w:rPr>
          <w:rFonts w:hint="eastAsia"/>
        </w:rPr>
        <w:t>边缘智能：</w:t>
      </w:r>
      <w:proofErr w:type="spellStart"/>
      <w:r>
        <w:rPr>
          <w:rFonts w:hint="eastAsia"/>
        </w:rPr>
        <w:t>TinyML</w:t>
      </w:r>
      <w:proofErr w:type="spellEnd"/>
      <w:r>
        <w:rPr>
          <w:rFonts w:hint="eastAsia"/>
        </w:rPr>
        <w:t>与生成式</w:t>
      </w:r>
      <w:r>
        <w:rPr>
          <w:rFonts w:hint="eastAsia"/>
        </w:rPr>
        <w:t>AI</w:t>
      </w:r>
      <w:r>
        <w:rPr>
          <w:rFonts w:hint="eastAsia"/>
        </w:rPr>
        <w:t>的下沉</w:t>
      </w:r>
    </w:p>
    <w:p w14:paraId="7CE86F9C" w14:textId="77777777" w:rsidR="00711828" w:rsidRDefault="00711828" w:rsidP="00711828">
      <w:pPr>
        <w:pStyle w:val="ac"/>
        <w:rPr>
          <w:rFonts w:hint="eastAsia"/>
        </w:rPr>
      </w:pPr>
      <w:r>
        <w:rPr>
          <w:rFonts w:hint="eastAsia"/>
        </w:rPr>
        <w:t>AI与物联网的深度融合正在重塑边缘计算的价值。传统上，边缘</w:t>
      </w:r>
      <w:proofErr w:type="gramStart"/>
      <w:r>
        <w:rPr>
          <w:rFonts w:hint="eastAsia"/>
        </w:rPr>
        <w:t>侧更多</w:t>
      </w:r>
      <w:proofErr w:type="gramEnd"/>
      <w:r>
        <w:rPr>
          <w:rFonts w:hint="eastAsia"/>
        </w:rPr>
        <w:t>承担特征工程与轻量推理；近年来，一方面</w:t>
      </w:r>
      <w:proofErr w:type="spellStart"/>
      <w:r>
        <w:rPr>
          <w:rFonts w:hint="eastAsia"/>
        </w:rPr>
        <w:t>TinyML</w:t>
      </w:r>
      <w:proofErr w:type="spellEnd"/>
      <w:r>
        <w:rPr>
          <w:rFonts w:hint="eastAsia"/>
        </w:rPr>
        <w:t>通过模型压缩、量化与硬件协同，</w:t>
      </w:r>
      <w:proofErr w:type="gramStart"/>
      <w:r>
        <w:rPr>
          <w:rFonts w:hint="eastAsia"/>
        </w:rPr>
        <w:t>使微控制器</w:t>
      </w:r>
      <w:proofErr w:type="gramEnd"/>
      <w:r>
        <w:rPr>
          <w:rFonts w:hint="eastAsia"/>
        </w:rPr>
        <w:t>级别的终端也能运行神经网络推理，</w:t>
      </w:r>
      <w:proofErr w:type="gramStart"/>
      <w:r>
        <w:rPr>
          <w:rFonts w:hint="eastAsia"/>
        </w:rPr>
        <w:t>实现极</w:t>
      </w:r>
      <w:proofErr w:type="gramEnd"/>
      <w:r>
        <w:rPr>
          <w:rFonts w:hint="eastAsia"/>
        </w:rPr>
        <w:t>低功耗的本地感知与异常检测。</w:t>
      </w:r>
      <w:proofErr w:type="spellStart"/>
      <w:r>
        <w:rPr>
          <w:rFonts w:hint="eastAsia"/>
        </w:rPr>
        <w:t>Trigkas</w:t>
      </w:r>
      <w:proofErr w:type="spellEnd"/>
      <w:r>
        <w:rPr>
          <w:rFonts w:hint="eastAsia"/>
        </w:rPr>
        <w:t>等在Electronics的综述强调，</w:t>
      </w:r>
      <w:proofErr w:type="gramStart"/>
      <w:r>
        <w:rPr>
          <w:rFonts w:hint="eastAsia"/>
        </w:rPr>
        <w:t>端侧部署</w:t>
      </w:r>
      <w:proofErr w:type="gramEnd"/>
      <w:r>
        <w:rPr>
          <w:rFonts w:hint="eastAsia"/>
        </w:rPr>
        <w:t>需要在模型精度、存储/功耗与实时性之间进行系统权衡，并指出工具链、可移植性与持续学习是走向规模化的关键。</w:t>
      </w:r>
    </w:p>
    <w:p w14:paraId="7C0EA5C9" w14:textId="77777777" w:rsidR="00711828" w:rsidRDefault="00711828" w:rsidP="00711828">
      <w:pPr>
        <w:pStyle w:val="ac"/>
        <w:rPr>
          <w:rFonts w:hint="eastAsia"/>
        </w:rPr>
      </w:pPr>
      <w:r>
        <w:rPr>
          <w:rFonts w:hint="eastAsia"/>
        </w:rPr>
        <w:t>另一方面，生成式AI（Generative AI）在边缘侧的落地正在成为新热点。Ale等在Nature Reviews Electrical Engineering的论文指出，生成式AI加速了从内容生成到代码与代理系统的应用扩展，但</w:t>
      </w:r>
      <w:proofErr w:type="gramStart"/>
      <w:r>
        <w:rPr>
          <w:rFonts w:hint="eastAsia"/>
        </w:rPr>
        <w:t>其算力</w:t>
      </w:r>
      <w:proofErr w:type="gramEnd"/>
      <w:r>
        <w:rPr>
          <w:rFonts w:hint="eastAsia"/>
        </w:rPr>
        <w:t>与能耗需求对边缘基础设施提出挑战。最新研究讨论了通过模型蒸馏、稀疏化、分层推理、以及“云端训练+边缘微调/个性化”的方式推动生成式AI在边缘的可行部署。对于物联网而言，生成式AI能够提升自然语言交互、边缘知识检索、运维辅助与多模态感知理解能力，但同时需要更严格的数据治理与安全边界。</w:t>
      </w:r>
    </w:p>
    <w:p w14:paraId="58FB026F" w14:textId="77777777" w:rsidR="00711828" w:rsidRDefault="00711828" w:rsidP="00711828">
      <w:pPr>
        <w:pStyle w:val="ac"/>
        <w:rPr>
          <w:rFonts w:hint="eastAsia"/>
        </w:rPr>
      </w:pPr>
      <w:r>
        <w:rPr>
          <w:rFonts w:hint="eastAsia"/>
        </w:rPr>
        <w:t>在移动边缘侧，相关研究进一步关注网络协同与推理分片：将模型</w:t>
      </w:r>
      <w:proofErr w:type="gramStart"/>
      <w:r>
        <w:rPr>
          <w:rFonts w:hint="eastAsia"/>
        </w:rPr>
        <w:t>推理按</w:t>
      </w:r>
      <w:proofErr w:type="gramEnd"/>
      <w:r>
        <w:rPr>
          <w:rFonts w:hint="eastAsia"/>
        </w:rPr>
        <w:t>层或按张量切分在端与边之间执行，以在保证交互时延的同时</w:t>
      </w:r>
      <w:proofErr w:type="gramStart"/>
      <w:r>
        <w:rPr>
          <w:rFonts w:hint="eastAsia"/>
        </w:rPr>
        <w:t>控制端侧能耗</w:t>
      </w:r>
      <w:proofErr w:type="gramEnd"/>
      <w:r>
        <w:rPr>
          <w:rFonts w:hint="eastAsia"/>
        </w:rPr>
        <w:t>。该方向与5G网络的低时延与本地分流能力天然互补，也推动MEC从“算力平台”升级为“AI推理服务平台”。</w:t>
      </w:r>
    </w:p>
    <w:p w14:paraId="30994440" w14:textId="3AA6A1C0" w:rsidR="00711828" w:rsidRDefault="00711828" w:rsidP="00711828">
      <w:pPr>
        <w:pStyle w:val="a1"/>
        <w:rPr>
          <w:rFonts w:hint="eastAsia"/>
        </w:rPr>
      </w:pPr>
      <w:r>
        <w:rPr>
          <w:rFonts w:hint="eastAsia"/>
        </w:rPr>
        <w:lastRenderedPageBreak/>
        <w:t>网络协同与能力开放</w:t>
      </w:r>
    </w:p>
    <w:p w14:paraId="02DC229F" w14:textId="77777777" w:rsidR="00711828" w:rsidRDefault="00711828" w:rsidP="00711828">
      <w:pPr>
        <w:pStyle w:val="ac"/>
        <w:rPr>
          <w:rFonts w:hint="eastAsia"/>
        </w:rPr>
      </w:pPr>
      <w:r>
        <w:rPr>
          <w:rFonts w:hint="eastAsia"/>
        </w:rPr>
        <w:t>边缘计算的性能上限不仅取决于算力，还取决于网络可预测性与可编程性。ETSI MEC强调通过API向应用开放无线网络信息、位置与带宽等能力；3GPP TS 23.558进一步给出边缘应用识别、选择与连接的流程规范。在工业园区与车联网等场景中，结合网络切片、TSN与本地UPF，可实现对关键业务流的端到端保障。</w:t>
      </w:r>
    </w:p>
    <w:p w14:paraId="200B8910" w14:textId="5228D94B" w:rsidR="00711828" w:rsidRDefault="00711828" w:rsidP="00711828">
      <w:pPr>
        <w:pStyle w:val="ac"/>
      </w:pPr>
      <w:r>
        <w:rPr>
          <w:rFonts w:hint="eastAsia"/>
        </w:rPr>
        <w:t>当前研究也关注跨域协同：例如在城市级IoT中，边缘站点可能属于不同运营商或不同单位，需要在身份、策略、计费与审计方面实现互信；而在企业侧，IT与OT网络融合使得边缘平台既要满足互联网应用的敏捷迭代，也要遵循工业控制系统的变更管理与安全规范。由此产生的“跨域治理与协同编排”成为边缘计算走向规模化的关键瓶颈之一。</w:t>
      </w:r>
    </w:p>
    <w:p w14:paraId="3B773DFF" w14:textId="77777777" w:rsidR="00711828" w:rsidRDefault="00711828" w:rsidP="00711828">
      <w:pPr>
        <w:pStyle w:val="a"/>
        <w:rPr>
          <w:rFonts w:hint="eastAsia"/>
        </w:rPr>
      </w:pPr>
      <w:r>
        <w:rPr>
          <w:rFonts w:hint="eastAsia"/>
        </w:rPr>
        <w:t>安全、隐私与可信机制</w:t>
      </w:r>
    </w:p>
    <w:p w14:paraId="689245D7" w14:textId="6AB18B20" w:rsidR="00711828" w:rsidRDefault="00711828" w:rsidP="00711828">
      <w:pPr>
        <w:pStyle w:val="a1"/>
        <w:numPr>
          <w:ilvl w:val="0"/>
          <w:numId w:val="14"/>
        </w:numPr>
        <w:ind w:firstLine="562"/>
        <w:rPr>
          <w:rFonts w:hint="eastAsia"/>
        </w:rPr>
      </w:pPr>
      <w:r>
        <w:rPr>
          <w:rFonts w:hint="eastAsia"/>
        </w:rPr>
        <w:t>威胁模型与风险面</w:t>
      </w:r>
    </w:p>
    <w:p w14:paraId="4E8E280A" w14:textId="77777777" w:rsidR="00711828" w:rsidRDefault="00711828" w:rsidP="00711828">
      <w:pPr>
        <w:pStyle w:val="ac"/>
        <w:rPr>
          <w:rFonts w:hint="eastAsia"/>
        </w:rPr>
      </w:pPr>
      <w:r>
        <w:rPr>
          <w:rFonts w:hint="eastAsia"/>
        </w:rPr>
        <w:t>边缘计算将计算与数据从</w:t>
      </w:r>
      <w:proofErr w:type="gramStart"/>
      <w:r>
        <w:rPr>
          <w:rFonts w:hint="eastAsia"/>
        </w:rPr>
        <w:t>集中式云中心</w:t>
      </w:r>
      <w:proofErr w:type="gramEnd"/>
      <w:r>
        <w:rPr>
          <w:rFonts w:hint="eastAsia"/>
        </w:rPr>
        <w:t>扩展到大量分布式节点，显著扩大了攻击面。从威胁模型看，边缘节点可能处于弱物理防护环境，面临设备被篡改、侧信道攻击与供应链风险；网络侧存在中间人攻击、流量劫持与DDoS；</w:t>
      </w:r>
      <w:proofErr w:type="gramStart"/>
      <w:r>
        <w:rPr>
          <w:rFonts w:hint="eastAsia"/>
        </w:rPr>
        <w:t>平台侧则存在</w:t>
      </w:r>
      <w:proofErr w:type="gramEnd"/>
      <w:r>
        <w:rPr>
          <w:rFonts w:hint="eastAsia"/>
        </w:rPr>
        <w:t>多租户隔离不足、镜像污染、以及API滥用等问题。与</w:t>
      </w:r>
      <w:proofErr w:type="gramStart"/>
      <w:r>
        <w:rPr>
          <w:rFonts w:hint="eastAsia"/>
        </w:rPr>
        <w:t>云数据</w:t>
      </w:r>
      <w:proofErr w:type="gramEnd"/>
      <w:r>
        <w:rPr>
          <w:rFonts w:hint="eastAsia"/>
        </w:rPr>
        <w:t>中心相比，边缘节点的资源与运</w:t>
      </w:r>
      <w:proofErr w:type="gramStart"/>
      <w:r>
        <w:rPr>
          <w:rFonts w:hint="eastAsia"/>
        </w:rPr>
        <w:t>维能力</w:t>
      </w:r>
      <w:proofErr w:type="gramEnd"/>
      <w:r>
        <w:rPr>
          <w:rFonts w:hint="eastAsia"/>
        </w:rPr>
        <w:t>受限，使得传统安全手段（如全量日志回传、统一补丁策略）在成本与实时性上更难落地。</w:t>
      </w:r>
    </w:p>
    <w:p w14:paraId="3EA2E6CB" w14:textId="23CD6BB9" w:rsidR="00711828" w:rsidRDefault="00711828" w:rsidP="00711828">
      <w:pPr>
        <w:pStyle w:val="a1"/>
        <w:rPr>
          <w:rFonts w:hint="eastAsia"/>
        </w:rPr>
      </w:pPr>
      <w:r>
        <w:rPr>
          <w:rFonts w:hint="eastAsia"/>
        </w:rPr>
        <w:t>数据安全与隐私保护研究</w:t>
      </w:r>
    </w:p>
    <w:p w14:paraId="0A7CC773" w14:textId="77777777" w:rsidR="00711828" w:rsidRDefault="00711828" w:rsidP="00711828">
      <w:pPr>
        <w:pStyle w:val="ac"/>
        <w:rPr>
          <w:rFonts w:hint="eastAsia"/>
        </w:rPr>
      </w:pPr>
      <w:r>
        <w:rPr>
          <w:rFonts w:hint="eastAsia"/>
        </w:rPr>
        <w:t>张佳乐等在《边缘计算数据安全与隐私保护研究综述》中系统梳理了边缘计算的数据安全体系架构，将研究议题归纳为数据机密性、完整性、可用性与隐私保护等维度，并讨论了基于访问控制、加密与隐私计算的典型方案。该综述强调：边缘场景的安全设计应尽量“前移”到数据产生处，通过数据最小化、就地处理与分级分域管理减少敏感数据出域。</w:t>
      </w:r>
    </w:p>
    <w:p w14:paraId="6FFC481D" w14:textId="77777777" w:rsidR="00711828" w:rsidRDefault="00711828" w:rsidP="00711828">
      <w:pPr>
        <w:pStyle w:val="ac"/>
        <w:rPr>
          <w:rFonts w:hint="eastAsia"/>
        </w:rPr>
      </w:pPr>
      <w:r>
        <w:rPr>
          <w:rFonts w:hint="eastAsia"/>
        </w:rPr>
        <w:t>在工程实现上，常见手段包括：端到端加密与密钥生命周期管理；基于属性或基于角色的访问控制（ABAC/RBAC）；可信执行环境（TEE）与远程证明用于提升边缘节点可信度；联邦学习与安全聚合用于在</w:t>
      </w:r>
      <w:proofErr w:type="gramStart"/>
      <w:r>
        <w:rPr>
          <w:rFonts w:hint="eastAsia"/>
        </w:rPr>
        <w:t>不</w:t>
      </w:r>
      <w:proofErr w:type="gramEnd"/>
      <w:r>
        <w:rPr>
          <w:rFonts w:hint="eastAsia"/>
        </w:rPr>
        <w:t>汇聚原始数据的情况下完成模型训练；差分隐私用于降低统计输出的泄露风险。需要指出的是，上述机制往往</w:t>
      </w:r>
      <w:r>
        <w:rPr>
          <w:rFonts w:hint="eastAsia"/>
        </w:rPr>
        <w:lastRenderedPageBreak/>
        <w:t>引入额外计算开销与复杂度，因此在边缘</w:t>
      </w:r>
      <w:proofErr w:type="gramStart"/>
      <w:r>
        <w:rPr>
          <w:rFonts w:hint="eastAsia"/>
        </w:rPr>
        <w:t>侧必须</w:t>
      </w:r>
      <w:proofErr w:type="gramEnd"/>
      <w:r>
        <w:rPr>
          <w:rFonts w:hint="eastAsia"/>
        </w:rPr>
        <w:t>进行“安全—性能—成本”三者的系统权衡。</w:t>
      </w:r>
    </w:p>
    <w:p w14:paraId="3C67695C" w14:textId="24AFA2C3" w:rsidR="00711828" w:rsidRDefault="00711828" w:rsidP="00711828">
      <w:pPr>
        <w:pStyle w:val="a1"/>
        <w:rPr>
          <w:rFonts w:hint="eastAsia"/>
        </w:rPr>
      </w:pPr>
      <w:r>
        <w:rPr>
          <w:rFonts w:hint="eastAsia"/>
        </w:rPr>
        <w:t>可信运维与合</w:t>
      </w:r>
      <w:proofErr w:type="gramStart"/>
      <w:r>
        <w:rPr>
          <w:rFonts w:hint="eastAsia"/>
        </w:rPr>
        <w:t>规</w:t>
      </w:r>
      <w:proofErr w:type="gramEnd"/>
      <w:r>
        <w:rPr>
          <w:rFonts w:hint="eastAsia"/>
        </w:rPr>
        <w:t>治理</w:t>
      </w:r>
    </w:p>
    <w:p w14:paraId="6641CCC1" w14:textId="77777777" w:rsidR="00711828" w:rsidRDefault="00711828" w:rsidP="00711828">
      <w:pPr>
        <w:pStyle w:val="ac"/>
        <w:rPr>
          <w:rFonts w:hint="eastAsia"/>
        </w:rPr>
      </w:pPr>
      <w:r>
        <w:rPr>
          <w:rFonts w:hint="eastAsia"/>
        </w:rPr>
        <w:t>边缘平台的长期可运营性依赖可信运维（trusted operations）。其核心目标是：确保软件供应链可追溯，配置变更可审计，运行状态可观测，异常能够快速隔离与恢复。云原生生态中的镜像签名、SBOM（软件物料清单）、策略即代码（policy-as-code）与零信任网络，可为边缘提供工具基础；但边缘站点的离线容忍与分布式特性要求在策略下发、证书轮换、告警关联与</w:t>
      </w:r>
      <w:proofErr w:type="gramStart"/>
      <w:r>
        <w:rPr>
          <w:rFonts w:hint="eastAsia"/>
        </w:rPr>
        <w:t>应急回滚方面</w:t>
      </w:r>
      <w:proofErr w:type="gramEnd"/>
      <w:r>
        <w:rPr>
          <w:rFonts w:hint="eastAsia"/>
        </w:rPr>
        <w:t>具备更强的自治能力。</w:t>
      </w:r>
    </w:p>
    <w:p w14:paraId="0558FC42" w14:textId="77777777" w:rsidR="00711828" w:rsidRDefault="00711828" w:rsidP="00711828">
      <w:pPr>
        <w:pStyle w:val="ac"/>
        <w:rPr>
          <w:rFonts w:hint="eastAsia"/>
        </w:rPr>
      </w:pPr>
      <w:r>
        <w:rPr>
          <w:rFonts w:hint="eastAsia"/>
        </w:rPr>
        <w:t>在合</w:t>
      </w:r>
      <w:proofErr w:type="gramStart"/>
      <w:r>
        <w:rPr>
          <w:rFonts w:hint="eastAsia"/>
        </w:rPr>
        <w:t>规</w:t>
      </w:r>
      <w:proofErr w:type="gramEnd"/>
      <w:r>
        <w:rPr>
          <w:rFonts w:hint="eastAsia"/>
        </w:rPr>
        <w:t>层面，边缘计算与物联网往往涉及跨地域数据流转与行业监管要求（如医疗、工业安全、公共安全）。因此，架构设计应从一开始就纳入数据分类分级、最小权限、分区分域、以及审计留痕等治理机制，并在端—边—云各层形成一致的身份与权限体系。</w:t>
      </w:r>
    </w:p>
    <w:p w14:paraId="41D211EB" w14:textId="6890C20E" w:rsidR="00711828" w:rsidRDefault="00711828" w:rsidP="00711828">
      <w:pPr>
        <w:pStyle w:val="a"/>
        <w:rPr>
          <w:rFonts w:hint="eastAsia"/>
        </w:rPr>
      </w:pPr>
      <w:r>
        <w:rPr>
          <w:rFonts w:hint="eastAsia"/>
        </w:rPr>
        <w:t>行业应用与影响评述</w:t>
      </w:r>
    </w:p>
    <w:p w14:paraId="33064913" w14:textId="27C53120" w:rsidR="00711828" w:rsidRDefault="00711828" w:rsidP="00711828">
      <w:pPr>
        <w:pStyle w:val="a1"/>
        <w:numPr>
          <w:ilvl w:val="0"/>
          <w:numId w:val="15"/>
        </w:numPr>
        <w:ind w:firstLine="562"/>
        <w:rPr>
          <w:rFonts w:hint="eastAsia"/>
        </w:rPr>
      </w:pPr>
      <w:r>
        <w:rPr>
          <w:rFonts w:hint="eastAsia"/>
        </w:rPr>
        <w:t>工业互联网与工业</w:t>
      </w:r>
      <w:r>
        <w:rPr>
          <w:rFonts w:hint="eastAsia"/>
        </w:rPr>
        <w:t>4.0</w:t>
      </w:r>
    </w:p>
    <w:p w14:paraId="132E3C8A" w14:textId="77777777" w:rsidR="00711828" w:rsidRDefault="00711828" w:rsidP="00711828">
      <w:pPr>
        <w:pStyle w:val="ac"/>
        <w:rPr>
          <w:rFonts w:hint="eastAsia"/>
        </w:rPr>
      </w:pPr>
      <w:r>
        <w:rPr>
          <w:rFonts w:hint="eastAsia"/>
        </w:rPr>
        <w:t>工业4.0强调设备互联、透明生产与智能决策，典型应用包括预测性维护、机器视觉质检、</w:t>
      </w:r>
      <w:proofErr w:type="gramStart"/>
      <w:r>
        <w:rPr>
          <w:rFonts w:hint="eastAsia"/>
        </w:rPr>
        <w:t>产线协同</w:t>
      </w:r>
      <w:proofErr w:type="gramEnd"/>
      <w:r>
        <w:rPr>
          <w:rFonts w:hint="eastAsia"/>
        </w:rPr>
        <w:t>调度与能耗优化。由于工业控制对实时性与可靠性要求极高，边缘计算在工业互联网中往往承担“数据就地处理+闭环控制+工业协议网关+安全隔离”的综合角色。王其朝等指出，工业边缘计算的关键挑战集中在实时通信、虚拟化隔离、异构设备接入与</w:t>
      </w:r>
      <w:proofErr w:type="gramStart"/>
      <w:r>
        <w:rPr>
          <w:rFonts w:hint="eastAsia"/>
        </w:rPr>
        <w:t>与</w:t>
      </w:r>
      <w:proofErr w:type="gramEnd"/>
      <w:r>
        <w:rPr>
          <w:rFonts w:hint="eastAsia"/>
        </w:rPr>
        <w:t>既有OT系统的融合等方面；这意味着工业边缘平台不能简单复制云平台，而需要面向工业场景进行实时与可靠性增强。</w:t>
      </w:r>
    </w:p>
    <w:p w14:paraId="6FD53D6A" w14:textId="77777777" w:rsidR="00711828" w:rsidRDefault="00711828" w:rsidP="00711828">
      <w:pPr>
        <w:pStyle w:val="ac"/>
        <w:rPr>
          <w:rFonts w:hint="eastAsia"/>
        </w:rPr>
      </w:pPr>
      <w:r>
        <w:rPr>
          <w:rFonts w:hint="eastAsia"/>
        </w:rPr>
        <w:t>从影响看，边缘计算可在不显著增加上行带宽的前提下实现高频数据分析；在网络抖动或云端</w:t>
      </w:r>
      <w:proofErr w:type="gramStart"/>
      <w:r>
        <w:rPr>
          <w:rFonts w:hint="eastAsia"/>
        </w:rPr>
        <w:t>不</w:t>
      </w:r>
      <w:proofErr w:type="gramEnd"/>
      <w:r>
        <w:rPr>
          <w:rFonts w:hint="eastAsia"/>
        </w:rPr>
        <w:t>可用时维持本地运行；并通过分区部署降低故障域。对企业而言，这直接转化为停机时间减少、质检与维护效率提升、以及对生产数据的主权控制增强。</w:t>
      </w:r>
    </w:p>
    <w:p w14:paraId="62A2100E" w14:textId="3B5F0268" w:rsidR="00711828" w:rsidRDefault="00711828" w:rsidP="00711828">
      <w:pPr>
        <w:pStyle w:val="a1"/>
        <w:rPr>
          <w:rFonts w:hint="eastAsia"/>
        </w:rPr>
      </w:pPr>
      <w:r>
        <w:rPr>
          <w:rFonts w:hint="eastAsia"/>
        </w:rPr>
        <w:t>农业自动化与智能感知</w:t>
      </w:r>
    </w:p>
    <w:p w14:paraId="7E4ECF5C" w14:textId="77777777" w:rsidR="00711828" w:rsidRDefault="00711828" w:rsidP="00711828">
      <w:pPr>
        <w:pStyle w:val="ac"/>
        <w:rPr>
          <w:rFonts w:hint="eastAsia"/>
        </w:rPr>
      </w:pPr>
      <w:r>
        <w:rPr>
          <w:rFonts w:hint="eastAsia"/>
        </w:rPr>
        <w:t>农业场景具有广域分布、网络覆盖不均与现场环境复杂等特点。边缘计算可通过在农田/温室部署边缘网关，对土壤湿度、气象、病虫害图像等数据进行本地融合分析，实现灌溉与施肥的闭环控制。在网络较弱区域，边缘侧的离线自治</w:t>
      </w:r>
      <w:r>
        <w:rPr>
          <w:rFonts w:hint="eastAsia"/>
        </w:rPr>
        <w:lastRenderedPageBreak/>
        <w:t>尤为重要：即便云端无法实时访问，系统也可依据本地模型与规则继续运行，</w:t>
      </w:r>
      <w:proofErr w:type="gramStart"/>
      <w:r>
        <w:rPr>
          <w:rFonts w:hint="eastAsia"/>
        </w:rPr>
        <w:t>待网络</w:t>
      </w:r>
      <w:proofErr w:type="gramEnd"/>
      <w:r>
        <w:rPr>
          <w:rFonts w:hint="eastAsia"/>
        </w:rPr>
        <w:t>恢复后再进行数据同步与策略更新。</w:t>
      </w:r>
    </w:p>
    <w:p w14:paraId="3075FA4D" w14:textId="77777777" w:rsidR="00711828" w:rsidRDefault="00711828" w:rsidP="00711828">
      <w:pPr>
        <w:pStyle w:val="ac"/>
        <w:rPr>
          <w:rFonts w:hint="eastAsia"/>
        </w:rPr>
      </w:pPr>
      <w:r>
        <w:rPr>
          <w:rFonts w:hint="eastAsia"/>
        </w:rPr>
        <w:t>此外，边缘侧的多模态感知（图像、环境、位置）与轻量化模型推理可降低对人工巡检的依赖，提高病虫害早期识别的及时性。随着低功耗AI芯片与</w:t>
      </w:r>
      <w:proofErr w:type="spellStart"/>
      <w:r>
        <w:rPr>
          <w:rFonts w:hint="eastAsia"/>
        </w:rPr>
        <w:t>TinyML</w:t>
      </w:r>
      <w:proofErr w:type="spellEnd"/>
      <w:r>
        <w:rPr>
          <w:rFonts w:hint="eastAsia"/>
        </w:rPr>
        <w:t>工具链成熟，农业物联网</w:t>
      </w:r>
      <w:proofErr w:type="gramStart"/>
      <w:r>
        <w:rPr>
          <w:rFonts w:hint="eastAsia"/>
        </w:rPr>
        <w:t>的端边协同</w:t>
      </w:r>
      <w:proofErr w:type="gramEnd"/>
      <w:r>
        <w:rPr>
          <w:rFonts w:hint="eastAsia"/>
        </w:rPr>
        <w:t>将更具性价比。</w:t>
      </w:r>
    </w:p>
    <w:p w14:paraId="39103BCF" w14:textId="654137A7" w:rsidR="00711828" w:rsidRDefault="00711828" w:rsidP="00711828">
      <w:pPr>
        <w:pStyle w:val="a1"/>
        <w:rPr>
          <w:rFonts w:hint="eastAsia"/>
        </w:rPr>
      </w:pPr>
      <w:r>
        <w:rPr>
          <w:rFonts w:hint="eastAsia"/>
        </w:rPr>
        <w:t>医疗监护与个人消费物联网</w:t>
      </w:r>
    </w:p>
    <w:p w14:paraId="3ED333E3" w14:textId="77777777" w:rsidR="00711828" w:rsidRDefault="00711828" w:rsidP="00711828">
      <w:pPr>
        <w:pStyle w:val="ac"/>
        <w:rPr>
          <w:rFonts w:hint="eastAsia"/>
        </w:rPr>
      </w:pPr>
      <w:r>
        <w:rPr>
          <w:rFonts w:hint="eastAsia"/>
        </w:rPr>
        <w:t>在可穿戴与医疗监护设备中，边缘计算的价值首先体现在隐私与实时性：例如心电、血氧与运动数据可在手机/家庭网关等边缘节点进行实时异常检测，仅将特征与告警上传云端，从而减少敏感原始数据的长期存储与跨域传输。此外，边缘</w:t>
      </w:r>
      <w:proofErr w:type="gramStart"/>
      <w:r>
        <w:rPr>
          <w:rFonts w:hint="eastAsia"/>
        </w:rPr>
        <w:t>侧可以</w:t>
      </w:r>
      <w:proofErr w:type="gramEnd"/>
      <w:r>
        <w:rPr>
          <w:rFonts w:hint="eastAsia"/>
        </w:rPr>
        <w:t>支撑更自然的本地交互（语音/多模态），并在网络中断时保持基本服务。</w:t>
      </w:r>
    </w:p>
    <w:p w14:paraId="477A7470" w14:textId="77777777" w:rsidR="00711828" w:rsidRDefault="00711828" w:rsidP="00711828">
      <w:pPr>
        <w:pStyle w:val="ac"/>
        <w:rPr>
          <w:rFonts w:hint="eastAsia"/>
        </w:rPr>
      </w:pPr>
      <w:r>
        <w:rPr>
          <w:rFonts w:hint="eastAsia"/>
        </w:rPr>
        <w:t>在个人消费领域（智能家居、共享出行等），边缘计算常与家庭网关、路由器、车端计算平台结合，用于设备联动、安防视频分析与本地化推荐。随着生成式AI助手的普及，边缘侧的“本地推理+云端增强”将成为平衡体验与隐私的重要路径，但也会带来模型更新、安全隔离与成本控制等新问题。</w:t>
      </w:r>
    </w:p>
    <w:p w14:paraId="3FD1D8E2" w14:textId="7C2C13E8" w:rsidR="00711828" w:rsidRDefault="00711828" w:rsidP="00711828">
      <w:pPr>
        <w:pStyle w:val="a1"/>
        <w:rPr>
          <w:rFonts w:hint="eastAsia"/>
        </w:rPr>
      </w:pPr>
      <w:r>
        <w:rPr>
          <w:rFonts w:hint="eastAsia"/>
        </w:rPr>
        <w:t>智慧城市与公共治理</w:t>
      </w:r>
    </w:p>
    <w:p w14:paraId="707A3B07" w14:textId="77777777" w:rsidR="00711828" w:rsidRDefault="00711828" w:rsidP="00711828">
      <w:pPr>
        <w:pStyle w:val="ac"/>
        <w:rPr>
          <w:rFonts w:hint="eastAsia"/>
        </w:rPr>
      </w:pPr>
      <w:r>
        <w:rPr>
          <w:rFonts w:hint="eastAsia"/>
        </w:rPr>
        <w:t>智慧城市需要处理海量异构数据（交通、能源、安防、环境等），并要求对突发事件做出快速响应。边缘计算通过在路侧单元、边缘机房或摄像头网关部署实时分析能力，可实现交通流量优化、视频结构化与事件检测，从而将“数据传输”转化为“事件驱动”，降低中心平台压力。</w:t>
      </w:r>
    </w:p>
    <w:p w14:paraId="1C376F16" w14:textId="6CDFA3C8" w:rsidR="00711828" w:rsidRDefault="00711828" w:rsidP="00711828">
      <w:pPr>
        <w:pStyle w:val="ac"/>
        <w:rPr>
          <w:rFonts w:hint="eastAsia"/>
        </w:rPr>
      </w:pPr>
      <w:r>
        <w:rPr>
          <w:rFonts w:hint="eastAsia"/>
        </w:rPr>
        <w:t>然而，城市级边缘部署涉及多主体协同与长期运维，亟需标准化接口、统一身份与跨域审计机制。从行业影响角度看，边缘计算推动城市治理从“事后分析”转向“实时联动”，并促进数据要素在合</w:t>
      </w:r>
      <w:proofErr w:type="gramStart"/>
      <w:r>
        <w:rPr>
          <w:rFonts w:hint="eastAsia"/>
        </w:rPr>
        <w:t>规</w:t>
      </w:r>
      <w:proofErr w:type="gramEnd"/>
      <w:r>
        <w:rPr>
          <w:rFonts w:hint="eastAsia"/>
        </w:rPr>
        <w:t>前提下的共享与协作。</w:t>
      </w:r>
    </w:p>
    <w:p w14:paraId="7D34C7BD" w14:textId="09971593" w:rsidR="00711828" w:rsidRPr="00711828" w:rsidRDefault="00711828" w:rsidP="00711828">
      <w:pPr>
        <w:widowControl/>
        <w:jc w:val="left"/>
        <w:rPr>
          <w:rFonts w:ascii="宋体" w:hAnsi="宋体" w:hint="eastAsia"/>
          <w:sz w:val="24"/>
        </w:rPr>
      </w:pPr>
      <w:r>
        <w:rPr>
          <w:rFonts w:hint="eastAsia"/>
        </w:rPr>
        <w:br w:type="page"/>
      </w:r>
    </w:p>
    <w:p w14:paraId="0D4AB2DB" w14:textId="15AD5611" w:rsidR="00711828" w:rsidRDefault="00711828" w:rsidP="00711828">
      <w:pPr>
        <w:pStyle w:val="ac"/>
        <w:ind w:firstLine="422"/>
        <w:rPr>
          <w:b/>
          <w:bCs/>
          <w:sz w:val="21"/>
          <w:szCs w:val="21"/>
        </w:rPr>
      </w:pPr>
      <w:r w:rsidRPr="00711828">
        <w:rPr>
          <w:rFonts w:hint="eastAsia"/>
          <w:b/>
          <w:bCs/>
          <w:sz w:val="21"/>
          <w:szCs w:val="21"/>
        </w:rPr>
        <w:lastRenderedPageBreak/>
        <w:t>表2 不同行业的典型边缘计算价值点（示例）</w:t>
      </w:r>
    </w:p>
    <w:tbl>
      <w:tblPr>
        <w:tblStyle w:val="a7"/>
        <w:tblW w:w="0" w:type="auto"/>
        <w:tblLook w:val="04A0" w:firstRow="1" w:lastRow="0" w:firstColumn="1" w:lastColumn="0" w:noHBand="0" w:noVBand="1"/>
      </w:tblPr>
      <w:tblGrid>
        <w:gridCol w:w="2076"/>
        <w:gridCol w:w="2076"/>
        <w:gridCol w:w="2075"/>
        <w:gridCol w:w="2075"/>
      </w:tblGrid>
      <w:tr w:rsidR="00711828" w14:paraId="41FB381E" w14:textId="77777777" w:rsidTr="00711828">
        <w:tc>
          <w:tcPr>
            <w:tcW w:w="2076" w:type="dxa"/>
          </w:tcPr>
          <w:p w14:paraId="37AA63B4" w14:textId="77777777" w:rsidR="00711828" w:rsidRDefault="00711828" w:rsidP="009924A5">
            <w:pPr>
              <w:ind w:firstLine="504"/>
              <w:rPr>
                <w:rFonts w:hint="eastAsia"/>
              </w:rPr>
            </w:pPr>
            <w:r>
              <w:t>行业</w:t>
            </w:r>
          </w:p>
        </w:tc>
        <w:tc>
          <w:tcPr>
            <w:tcW w:w="2076" w:type="dxa"/>
          </w:tcPr>
          <w:p w14:paraId="1EBFB900" w14:textId="77777777" w:rsidR="00711828" w:rsidRDefault="00711828" w:rsidP="009924A5">
            <w:pPr>
              <w:ind w:firstLine="504"/>
              <w:rPr>
                <w:rFonts w:hint="eastAsia"/>
              </w:rPr>
            </w:pPr>
            <w:r>
              <w:t>典型场景</w:t>
            </w:r>
          </w:p>
        </w:tc>
        <w:tc>
          <w:tcPr>
            <w:tcW w:w="2075" w:type="dxa"/>
          </w:tcPr>
          <w:p w14:paraId="3C28E8DA" w14:textId="77777777" w:rsidR="00711828" w:rsidRDefault="00711828" w:rsidP="009924A5">
            <w:pPr>
              <w:ind w:firstLine="504"/>
              <w:rPr>
                <w:rFonts w:hint="eastAsia"/>
              </w:rPr>
            </w:pPr>
            <w:r>
              <w:t>边缘</w:t>
            </w:r>
            <w:proofErr w:type="gramStart"/>
            <w:r>
              <w:t>侧关键</w:t>
            </w:r>
            <w:proofErr w:type="gramEnd"/>
            <w:r>
              <w:t>能力</w:t>
            </w:r>
          </w:p>
        </w:tc>
        <w:tc>
          <w:tcPr>
            <w:tcW w:w="2075" w:type="dxa"/>
          </w:tcPr>
          <w:p w14:paraId="0879C159" w14:textId="77777777" w:rsidR="00711828" w:rsidRDefault="00711828" w:rsidP="009924A5">
            <w:pPr>
              <w:ind w:firstLine="504"/>
              <w:rPr>
                <w:rFonts w:hint="eastAsia"/>
              </w:rPr>
            </w:pPr>
            <w:r>
              <w:t>主要收益</w:t>
            </w:r>
            <w:r>
              <w:t>/</w:t>
            </w:r>
            <w:r>
              <w:t>影响</w:t>
            </w:r>
          </w:p>
        </w:tc>
      </w:tr>
      <w:tr w:rsidR="00711828" w14:paraId="27574608" w14:textId="77777777" w:rsidTr="00711828">
        <w:tc>
          <w:tcPr>
            <w:tcW w:w="2076" w:type="dxa"/>
          </w:tcPr>
          <w:p w14:paraId="5DA4A6FF" w14:textId="77777777" w:rsidR="00711828" w:rsidRDefault="00711828" w:rsidP="009924A5">
            <w:pPr>
              <w:ind w:firstLine="504"/>
              <w:rPr>
                <w:rFonts w:hint="eastAsia"/>
              </w:rPr>
            </w:pPr>
            <w:r>
              <w:t>工业</w:t>
            </w:r>
          </w:p>
        </w:tc>
        <w:tc>
          <w:tcPr>
            <w:tcW w:w="2076" w:type="dxa"/>
          </w:tcPr>
          <w:p w14:paraId="10A76526" w14:textId="77777777" w:rsidR="00711828" w:rsidRDefault="00711828" w:rsidP="009924A5">
            <w:pPr>
              <w:ind w:firstLine="504"/>
              <w:rPr>
                <w:rFonts w:hint="eastAsia"/>
              </w:rPr>
            </w:pPr>
            <w:r>
              <w:t>视觉质检、预测性维护、产线控制</w:t>
            </w:r>
          </w:p>
        </w:tc>
        <w:tc>
          <w:tcPr>
            <w:tcW w:w="2075" w:type="dxa"/>
          </w:tcPr>
          <w:p w14:paraId="00E0147C" w14:textId="77777777" w:rsidR="00711828" w:rsidRDefault="00711828" w:rsidP="009924A5">
            <w:pPr>
              <w:ind w:firstLine="504"/>
              <w:rPr>
                <w:rFonts w:hint="eastAsia"/>
              </w:rPr>
            </w:pPr>
            <w:r>
              <w:t>低时延推理、协议适配、离线自治</w:t>
            </w:r>
          </w:p>
        </w:tc>
        <w:tc>
          <w:tcPr>
            <w:tcW w:w="2075" w:type="dxa"/>
          </w:tcPr>
          <w:p w14:paraId="2F7E9CEF" w14:textId="77777777" w:rsidR="00711828" w:rsidRDefault="00711828" w:rsidP="009924A5">
            <w:pPr>
              <w:ind w:firstLine="504"/>
              <w:rPr>
                <w:rFonts w:hint="eastAsia"/>
              </w:rPr>
            </w:pPr>
            <w:r>
              <w:t>降低停机与误检；</w:t>
            </w:r>
            <w:proofErr w:type="gramStart"/>
            <w:r>
              <w:t>提升产线稳定性</w:t>
            </w:r>
            <w:proofErr w:type="gramEnd"/>
            <w:r>
              <w:t>与数据主权</w:t>
            </w:r>
          </w:p>
        </w:tc>
      </w:tr>
      <w:tr w:rsidR="00711828" w14:paraId="664E5B51" w14:textId="77777777" w:rsidTr="00711828">
        <w:tc>
          <w:tcPr>
            <w:tcW w:w="2076" w:type="dxa"/>
          </w:tcPr>
          <w:p w14:paraId="5A2671A4" w14:textId="77777777" w:rsidR="00711828" w:rsidRDefault="00711828" w:rsidP="009924A5">
            <w:pPr>
              <w:ind w:firstLine="504"/>
              <w:rPr>
                <w:rFonts w:hint="eastAsia"/>
              </w:rPr>
            </w:pPr>
            <w:r>
              <w:t>农业</w:t>
            </w:r>
          </w:p>
        </w:tc>
        <w:tc>
          <w:tcPr>
            <w:tcW w:w="2076" w:type="dxa"/>
          </w:tcPr>
          <w:p w14:paraId="0FE282C6" w14:textId="77777777" w:rsidR="00711828" w:rsidRDefault="00711828" w:rsidP="009924A5">
            <w:pPr>
              <w:ind w:firstLine="504"/>
              <w:rPr>
                <w:rFonts w:hint="eastAsia"/>
              </w:rPr>
            </w:pPr>
            <w:r>
              <w:t>灌溉施肥、病虫害识别、环境监测</w:t>
            </w:r>
          </w:p>
        </w:tc>
        <w:tc>
          <w:tcPr>
            <w:tcW w:w="2075" w:type="dxa"/>
          </w:tcPr>
          <w:p w14:paraId="7FBFAE28" w14:textId="77777777" w:rsidR="00711828" w:rsidRDefault="00711828" w:rsidP="009924A5">
            <w:pPr>
              <w:ind w:firstLine="504"/>
              <w:rPr>
                <w:rFonts w:hint="eastAsia"/>
              </w:rPr>
            </w:pPr>
            <w:r>
              <w:t>多源融合、</w:t>
            </w:r>
            <w:proofErr w:type="gramStart"/>
            <w:r>
              <w:t>弱网运行</w:t>
            </w:r>
            <w:proofErr w:type="gramEnd"/>
            <w:r>
              <w:t>、低功耗推理</w:t>
            </w:r>
          </w:p>
        </w:tc>
        <w:tc>
          <w:tcPr>
            <w:tcW w:w="2075" w:type="dxa"/>
          </w:tcPr>
          <w:p w14:paraId="778938A0" w14:textId="77777777" w:rsidR="00711828" w:rsidRDefault="00711828" w:rsidP="009924A5">
            <w:pPr>
              <w:ind w:firstLine="504"/>
              <w:rPr>
                <w:rFonts w:hint="eastAsia"/>
              </w:rPr>
            </w:pPr>
            <w:r>
              <w:t>降低人工巡检；提高资源利用率与产量稳定性</w:t>
            </w:r>
          </w:p>
        </w:tc>
      </w:tr>
      <w:tr w:rsidR="00711828" w14:paraId="57FC10E9" w14:textId="77777777" w:rsidTr="00711828">
        <w:tc>
          <w:tcPr>
            <w:tcW w:w="2076" w:type="dxa"/>
          </w:tcPr>
          <w:p w14:paraId="671222BE" w14:textId="77777777" w:rsidR="00711828" w:rsidRDefault="00711828" w:rsidP="009924A5">
            <w:pPr>
              <w:ind w:firstLine="504"/>
              <w:rPr>
                <w:rFonts w:hint="eastAsia"/>
              </w:rPr>
            </w:pPr>
            <w:r>
              <w:t>医疗</w:t>
            </w:r>
            <w:r>
              <w:t>/</w:t>
            </w:r>
            <w:r>
              <w:t>可穿戴</w:t>
            </w:r>
          </w:p>
        </w:tc>
        <w:tc>
          <w:tcPr>
            <w:tcW w:w="2076" w:type="dxa"/>
          </w:tcPr>
          <w:p w14:paraId="3DCBB794" w14:textId="77777777" w:rsidR="00711828" w:rsidRDefault="00711828" w:rsidP="009924A5">
            <w:pPr>
              <w:ind w:firstLine="504"/>
              <w:rPr>
                <w:rFonts w:hint="eastAsia"/>
              </w:rPr>
            </w:pPr>
            <w:r>
              <w:t>健康监护、异常预警、康复评估</w:t>
            </w:r>
          </w:p>
        </w:tc>
        <w:tc>
          <w:tcPr>
            <w:tcW w:w="2075" w:type="dxa"/>
          </w:tcPr>
          <w:p w14:paraId="4B4E7977" w14:textId="77777777" w:rsidR="00711828" w:rsidRDefault="00711828" w:rsidP="009924A5">
            <w:pPr>
              <w:ind w:firstLine="504"/>
              <w:rPr>
                <w:rFonts w:hint="eastAsia"/>
              </w:rPr>
            </w:pPr>
            <w:r>
              <w:t>本地特征提取、隐私保护、连续推理</w:t>
            </w:r>
          </w:p>
        </w:tc>
        <w:tc>
          <w:tcPr>
            <w:tcW w:w="2075" w:type="dxa"/>
          </w:tcPr>
          <w:p w14:paraId="1C9695C3" w14:textId="77777777" w:rsidR="00711828" w:rsidRDefault="00711828" w:rsidP="009924A5">
            <w:pPr>
              <w:ind w:firstLine="504"/>
              <w:rPr>
                <w:rFonts w:hint="eastAsia"/>
              </w:rPr>
            </w:pPr>
            <w:r>
              <w:t>提升及时性；减少敏感数据</w:t>
            </w:r>
            <w:proofErr w:type="gramStart"/>
            <w:r>
              <w:t>出域与合规</w:t>
            </w:r>
            <w:proofErr w:type="gramEnd"/>
            <w:r>
              <w:t>风险</w:t>
            </w:r>
          </w:p>
        </w:tc>
      </w:tr>
      <w:tr w:rsidR="00711828" w14:paraId="0AFCBA65" w14:textId="77777777" w:rsidTr="00711828">
        <w:tc>
          <w:tcPr>
            <w:tcW w:w="2076" w:type="dxa"/>
          </w:tcPr>
          <w:p w14:paraId="7C21A7E3" w14:textId="77777777" w:rsidR="00711828" w:rsidRDefault="00711828" w:rsidP="009924A5">
            <w:pPr>
              <w:ind w:firstLine="504"/>
              <w:rPr>
                <w:rFonts w:hint="eastAsia"/>
              </w:rPr>
            </w:pPr>
            <w:r>
              <w:t>城市治理</w:t>
            </w:r>
          </w:p>
        </w:tc>
        <w:tc>
          <w:tcPr>
            <w:tcW w:w="2076" w:type="dxa"/>
          </w:tcPr>
          <w:p w14:paraId="3232A939" w14:textId="77777777" w:rsidR="00711828" w:rsidRDefault="00711828" w:rsidP="009924A5">
            <w:pPr>
              <w:ind w:firstLine="504"/>
              <w:rPr>
                <w:rFonts w:hint="eastAsia"/>
              </w:rPr>
            </w:pPr>
            <w:r>
              <w:t>交通优化、安防事件检测、环境预警</w:t>
            </w:r>
          </w:p>
        </w:tc>
        <w:tc>
          <w:tcPr>
            <w:tcW w:w="2075" w:type="dxa"/>
          </w:tcPr>
          <w:p w14:paraId="5C92CFFD" w14:textId="77777777" w:rsidR="00711828" w:rsidRDefault="00711828" w:rsidP="009924A5">
            <w:pPr>
              <w:ind w:firstLine="504"/>
              <w:rPr>
                <w:rFonts w:hint="eastAsia"/>
              </w:rPr>
            </w:pPr>
            <w:r>
              <w:t>视频结构化、事件驱动、跨站点协同</w:t>
            </w:r>
          </w:p>
        </w:tc>
        <w:tc>
          <w:tcPr>
            <w:tcW w:w="2075" w:type="dxa"/>
          </w:tcPr>
          <w:p w14:paraId="0742066A" w14:textId="77777777" w:rsidR="00711828" w:rsidRDefault="00711828" w:rsidP="009924A5">
            <w:pPr>
              <w:ind w:firstLine="504"/>
              <w:rPr>
                <w:rFonts w:hint="eastAsia"/>
              </w:rPr>
            </w:pPr>
            <w:r>
              <w:t>降低中心压力；促进实时联动与精细</w:t>
            </w:r>
            <w:proofErr w:type="gramStart"/>
            <w:r>
              <w:t>化治理</w:t>
            </w:r>
            <w:proofErr w:type="gramEnd"/>
          </w:p>
        </w:tc>
      </w:tr>
    </w:tbl>
    <w:p w14:paraId="7EB3F25F" w14:textId="1049EB81" w:rsidR="00711828" w:rsidRDefault="00711828" w:rsidP="00711828">
      <w:pPr>
        <w:pStyle w:val="a"/>
        <w:rPr>
          <w:rFonts w:hint="eastAsia"/>
        </w:rPr>
      </w:pPr>
      <w:r>
        <w:rPr>
          <w:rFonts w:hint="eastAsia"/>
        </w:rPr>
        <w:t>研究趋势、挑战与展望</w:t>
      </w:r>
    </w:p>
    <w:p w14:paraId="58663001" w14:textId="32A6A99E" w:rsidR="00711828" w:rsidRDefault="00711828" w:rsidP="00711828">
      <w:pPr>
        <w:pStyle w:val="a1"/>
        <w:numPr>
          <w:ilvl w:val="0"/>
          <w:numId w:val="16"/>
        </w:numPr>
        <w:ind w:firstLine="562"/>
        <w:rPr>
          <w:rFonts w:hint="eastAsia"/>
        </w:rPr>
      </w:pPr>
      <w:r>
        <w:rPr>
          <w:rFonts w:hint="eastAsia"/>
        </w:rPr>
        <w:t>从“边缘部署”走向“边缘原生”</w:t>
      </w:r>
    </w:p>
    <w:p w14:paraId="634C7C30" w14:textId="77777777" w:rsidR="00711828" w:rsidRDefault="00711828" w:rsidP="00711828">
      <w:pPr>
        <w:pStyle w:val="ac"/>
        <w:rPr>
          <w:rFonts w:hint="eastAsia"/>
        </w:rPr>
      </w:pPr>
      <w:r>
        <w:rPr>
          <w:rFonts w:hint="eastAsia"/>
        </w:rPr>
        <w:t>边缘原生（edge-native）强调以分布式站点为前提重新设计平台：包括轻量控制平面、离线容忍、</w:t>
      </w:r>
      <w:proofErr w:type="gramStart"/>
      <w:r>
        <w:rPr>
          <w:rFonts w:hint="eastAsia"/>
        </w:rPr>
        <w:t>端边云</w:t>
      </w:r>
      <w:proofErr w:type="gramEnd"/>
      <w:r>
        <w:rPr>
          <w:rFonts w:hint="eastAsia"/>
        </w:rPr>
        <w:t>一体的可观测性、以及面向大规模站点的策略分发</w:t>
      </w:r>
      <w:proofErr w:type="gramStart"/>
      <w:r>
        <w:rPr>
          <w:rFonts w:hint="eastAsia"/>
        </w:rPr>
        <w:t>与回滚机制</w:t>
      </w:r>
      <w:proofErr w:type="gramEnd"/>
      <w:r>
        <w:rPr>
          <w:rFonts w:hint="eastAsia"/>
        </w:rPr>
        <w:t>。与</w:t>
      </w:r>
      <w:proofErr w:type="gramStart"/>
      <w:r>
        <w:rPr>
          <w:rFonts w:hint="eastAsia"/>
        </w:rPr>
        <w:t>云原生相</w:t>
      </w:r>
      <w:proofErr w:type="gramEnd"/>
      <w:r>
        <w:rPr>
          <w:rFonts w:hint="eastAsia"/>
        </w:rPr>
        <w:t>比，边缘原生更关注网络分区与弱连接条件下的自治运行能力。未来研究需要在一致性与可用性之间建立可证明的工程权衡，并形成可复用的参考实现。</w:t>
      </w:r>
    </w:p>
    <w:p w14:paraId="084537E0" w14:textId="5F6076B5" w:rsidR="00711828" w:rsidRDefault="00711828" w:rsidP="00711828">
      <w:pPr>
        <w:pStyle w:val="a1"/>
        <w:rPr>
          <w:rFonts w:hint="eastAsia"/>
        </w:rPr>
      </w:pPr>
      <w:r>
        <w:rPr>
          <w:rFonts w:hint="eastAsia"/>
        </w:rPr>
        <w:t>边缘智能的工程化：模型、数据与闭环</w:t>
      </w:r>
    </w:p>
    <w:p w14:paraId="627D3835" w14:textId="77777777" w:rsidR="00711828" w:rsidRDefault="00711828" w:rsidP="00711828">
      <w:pPr>
        <w:pStyle w:val="ac"/>
        <w:rPr>
          <w:rFonts w:hint="eastAsia"/>
        </w:rPr>
      </w:pPr>
      <w:r>
        <w:rPr>
          <w:rFonts w:hint="eastAsia"/>
        </w:rPr>
        <w:t>边缘智能将带来“模型—数据—业务动作”的闭环工程：边缘</w:t>
      </w:r>
      <w:proofErr w:type="gramStart"/>
      <w:r>
        <w:rPr>
          <w:rFonts w:hint="eastAsia"/>
        </w:rPr>
        <w:t>侧需要</w:t>
      </w:r>
      <w:proofErr w:type="gramEnd"/>
      <w:r>
        <w:rPr>
          <w:rFonts w:hint="eastAsia"/>
        </w:rPr>
        <w:t>持续感知数据漂移、对模型进行版本管理与灰度发布，并在出现异常时快速回退。生成式AI的引入使推理链路更复杂，需要考虑多模态输入、提示工程安全、以及知识库更新的可信性。因此，面向边缘的</w:t>
      </w:r>
      <w:proofErr w:type="spellStart"/>
      <w:r>
        <w:rPr>
          <w:rFonts w:hint="eastAsia"/>
        </w:rPr>
        <w:t>MLOps</w:t>
      </w:r>
      <w:proofErr w:type="spellEnd"/>
      <w:r>
        <w:rPr>
          <w:rFonts w:hint="eastAsia"/>
        </w:rPr>
        <w:t>/</w:t>
      </w:r>
      <w:proofErr w:type="spellStart"/>
      <w:r>
        <w:rPr>
          <w:rFonts w:hint="eastAsia"/>
        </w:rPr>
        <w:t>LLMOps</w:t>
      </w:r>
      <w:proofErr w:type="spellEnd"/>
      <w:r>
        <w:rPr>
          <w:rFonts w:hint="eastAsia"/>
        </w:rPr>
        <w:t>（模型与提示的全生命周期管理）将成为未来的重要方向。</w:t>
      </w:r>
    </w:p>
    <w:p w14:paraId="78E22D0E" w14:textId="31FF3DCB" w:rsidR="00711828" w:rsidRDefault="00711828" w:rsidP="00711828">
      <w:pPr>
        <w:pStyle w:val="a1"/>
        <w:rPr>
          <w:rFonts w:hint="eastAsia"/>
        </w:rPr>
      </w:pPr>
      <w:r>
        <w:rPr>
          <w:rFonts w:hint="eastAsia"/>
        </w:rPr>
        <w:t>跨域协同与生态接口</w:t>
      </w:r>
    </w:p>
    <w:p w14:paraId="17E77031" w14:textId="77777777" w:rsidR="00711828" w:rsidRDefault="00711828" w:rsidP="00711828">
      <w:pPr>
        <w:pStyle w:val="ac"/>
        <w:rPr>
          <w:rFonts w:hint="eastAsia"/>
        </w:rPr>
      </w:pPr>
      <w:r>
        <w:rPr>
          <w:rFonts w:hint="eastAsia"/>
        </w:rPr>
        <w:t>随着边缘站点跨运营商、跨企业、跨行业部署成为常态，跨域协同的挑战愈发突出。需要在身份联邦、策略互认、计费结算与审计取证等方面建立统一机制。标准化接口（如MEC API、IoT参考架构视图）提供了基础，但仍需在实现层形</w:t>
      </w:r>
      <w:r>
        <w:rPr>
          <w:rFonts w:hint="eastAsia"/>
        </w:rPr>
        <w:lastRenderedPageBreak/>
        <w:t>成可互操作的开源生态与测试体系。</w:t>
      </w:r>
    </w:p>
    <w:p w14:paraId="24C7D641" w14:textId="500FB35A" w:rsidR="00711828" w:rsidRDefault="00711828" w:rsidP="00711828">
      <w:pPr>
        <w:pStyle w:val="a1"/>
        <w:rPr>
          <w:rFonts w:hint="eastAsia"/>
        </w:rPr>
      </w:pPr>
      <w:r>
        <w:rPr>
          <w:rFonts w:hint="eastAsia"/>
        </w:rPr>
        <w:t>可持续性与成本模型</w:t>
      </w:r>
    </w:p>
    <w:p w14:paraId="217335E9" w14:textId="77777777" w:rsidR="00711828" w:rsidRDefault="00711828" w:rsidP="00711828">
      <w:pPr>
        <w:pStyle w:val="ac"/>
        <w:rPr>
          <w:rFonts w:hint="eastAsia"/>
        </w:rPr>
      </w:pPr>
      <w:r>
        <w:rPr>
          <w:rFonts w:hint="eastAsia"/>
        </w:rPr>
        <w:t>边缘计算在提升实时性与隐私性的同时，也引入额外硬件与运维成本，并可能增加总体能耗。在碳约束与成本压力下，如何构建面向全生命周期的成本模型（</w:t>
      </w:r>
      <w:proofErr w:type="spellStart"/>
      <w:r>
        <w:rPr>
          <w:rFonts w:hint="eastAsia"/>
        </w:rPr>
        <w:t>CapEx</w:t>
      </w:r>
      <w:proofErr w:type="spellEnd"/>
      <w:r>
        <w:rPr>
          <w:rFonts w:hint="eastAsia"/>
        </w:rPr>
        <w:t>/</w:t>
      </w:r>
      <w:proofErr w:type="spellStart"/>
      <w:r>
        <w:rPr>
          <w:rFonts w:hint="eastAsia"/>
        </w:rPr>
        <w:t>OpEx</w:t>
      </w:r>
      <w:proofErr w:type="spellEnd"/>
      <w:r>
        <w:rPr>
          <w:rFonts w:hint="eastAsia"/>
        </w:rPr>
        <w:t>/能耗/碳排）并据此优化部署策略，将影响边缘计算的规模化扩张。未来可以探索按需弹性、共享边缘（shared edge）、以及结合</w:t>
      </w:r>
      <w:proofErr w:type="gramStart"/>
      <w:r>
        <w:rPr>
          <w:rFonts w:hint="eastAsia"/>
        </w:rPr>
        <w:t>无源物</w:t>
      </w:r>
      <w:proofErr w:type="gramEnd"/>
      <w:r>
        <w:rPr>
          <w:rFonts w:hint="eastAsia"/>
        </w:rPr>
        <w:t>联网与低功耗终端的“端边协同节能”模式。</w:t>
      </w:r>
    </w:p>
    <w:p w14:paraId="5BE7EB42" w14:textId="527A5823" w:rsidR="00711828" w:rsidRDefault="00711828" w:rsidP="00711828">
      <w:pPr>
        <w:pStyle w:val="a1"/>
        <w:rPr>
          <w:rFonts w:hint="eastAsia"/>
        </w:rPr>
      </w:pPr>
      <w:r>
        <w:rPr>
          <w:rFonts w:hint="eastAsia"/>
        </w:rPr>
        <w:t>面向</w:t>
      </w:r>
      <w:r>
        <w:rPr>
          <w:rFonts w:hint="eastAsia"/>
        </w:rPr>
        <w:t>6G</w:t>
      </w:r>
      <w:r>
        <w:rPr>
          <w:rFonts w:hint="eastAsia"/>
        </w:rPr>
        <w:t>与</w:t>
      </w:r>
      <w:proofErr w:type="gramStart"/>
      <w:r>
        <w:rPr>
          <w:rFonts w:hint="eastAsia"/>
        </w:rPr>
        <w:t>无源物</w:t>
      </w:r>
      <w:proofErr w:type="gramEnd"/>
      <w:r>
        <w:rPr>
          <w:rFonts w:hint="eastAsia"/>
        </w:rPr>
        <w:t>联网的演进</w:t>
      </w:r>
    </w:p>
    <w:p w14:paraId="6B3924FB" w14:textId="77777777" w:rsidR="00711828" w:rsidRDefault="00711828" w:rsidP="00711828">
      <w:pPr>
        <w:pStyle w:val="ac"/>
        <w:rPr>
          <w:rFonts w:hint="eastAsia"/>
        </w:rPr>
      </w:pPr>
      <w:r>
        <w:rPr>
          <w:rFonts w:hint="eastAsia"/>
        </w:rPr>
        <w:t>面向下一代移动通信（6G）与</w:t>
      </w:r>
      <w:proofErr w:type="gramStart"/>
      <w:r>
        <w:rPr>
          <w:rFonts w:hint="eastAsia"/>
        </w:rPr>
        <w:t>无源物</w:t>
      </w:r>
      <w:proofErr w:type="gramEnd"/>
      <w:r>
        <w:rPr>
          <w:rFonts w:hint="eastAsia"/>
        </w:rPr>
        <w:t>联网（</w:t>
      </w:r>
      <w:proofErr w:type="spellStart"/>
      <w:r>
        <w:rPr>
          <w:rFonts w:hint="eastAsia"/>
        </w:rPr>
        <w:t>batteryless</w:t>
      </w:r>
      <w:proofErr w:type="spellEnd"/>
      <w:r>
        <w:rPr>
          <w:rFonts w:hint="eastAsia"/>
        </w:rPr>
        <w:t>/passive IoT），网络将进一步走向高可靠低时延、融合感知与通信、以及更精细的网络能力开放。边缘计算作为网络与业务之间的枢纽，可能承担更多的“网络-计算-智能”联合优化职能。与此同时，无源终端</w:t>
      </w:r>
      <w:proofErr w:type="gramStart"/>
      <w:r>
        <w:rPr>
          <w:rFonts w:hint="eastAsia"/>
        </w:rPr>
        <w:t>的算力与</w:t>
      </w:r>
      <w:proofErr w:type="gramEnd"/>
      <w:r>
        <w:rPr>
          <w:rFonts w:hint="eastAsia"/>
        </w:rPr>
        <w:t>能量极其受限，将推动更强</w:t>
      </w:r>
      <w:proofErr w:type="gramStart"/>
      <w:r>
        <w:rPr>
          <w:rFonts w:hint="eastAsia"/>
        </w:rPr>
        <w:t>的端边协同</w:t>
      </w:r>
      <w:proofErr w:type="gramEnd"/>
      <w:r>
        <w:rPr>
          <w:rFonts w:hint="eastAsia"/>
        </w:rPr>
        <w:t>：</w:t>
      </w:r>
      <w:proofErr w:type="gramStart"/>
      <w:r>
        <w:rPr>
          <w:rFonts w:hint="eastAsia"/>
        </w:rPr>
        <w:t>端侧以极</w:t>
      </w:r>
      <w:proofErr w:type="gramEnd"/>
      <w:r>
        <w:rPr>
          <w:rFonts w:hint="eastAsia"/>
        </w:rPr>
        <w:t>简感知与唤醒为主，边缘</w:t>
      </w:r>
      <w:proofErr w:type="gramStart"/>
      <w:r>
        <w:rPr>
          <w:rFonts w:hint="eastAsia"/>
        </w:rPr>
        <w:t>侧完成</w:t>
      </w:r>
      <w:proofErr w:type="gramEnd"/>
      <w:r>
        <w:rPr>
          <w:rFonts w:hint="eastAsia"/>
        </w:rPr>
        <w:t>大部分推理与决策。该演进方向要求在协议、能量采集、以及安全认证方面形成新的系统方案。</w:t>
      </w:r>
    </w:p>
    <w:p w14:paraId="0A4CA181" w14:textId="2F58E7CB" w:rsidR="00711828" w:rsidRDefault="00711828" w:rsidP="00711828">
      <w:pPr>
        <w:pStyle w:val="a"/>
        <w:rPr>
          <w:rFonts w:hint="eastAsia"/>
        </w:rPr>
      </w:pPr>
      <w:r>
        <w:rPr>
          <w:rFonts w:hint="eastAsia"/>
        </w:rPr>
        <w:t>总结</w:t>
      </w:r>
    </w:p>
    <w:p w14:paraId="38DC9021" w14:textId="77777777" w:rsidR="00711828" w:rsidRDefault="00711828" w:rsidP="00711828">
      <w:pPr>
        <w:pStyle w:val="ac"/>
        <w:rPr>
          <w:rFonts w:hint="eastAsia"/>
        </w:rPr>
      </w:pPr>
      <w:r>
        <w:rPr>
          <w:rFonts w:hint="eastAsia"/>
        </w:rPr>
        <w:t>本文围绕“边缘计算驱动物联网演进”这一主题，对概念界定、体系架构与标准化进展、关键技术研究、安全与隐私、以及行业应用影响进行了系统综述。综合已有研究可得以下结论：（1）边缘计算解决了物联网在时延、带宽与数据主权方面的结构性矛盾，是端—边—云连续体的核心组成；（2）标准化正在从概念与参考架构走向工程接口与网络能力开放，MEC与3GPP规范推动运营商级边缘应用落地；（3）关键技术从卸载与调度扩展</w:t>
      </w:r>
      <w:proofErr w:type="gramStart"/>
      <w:r>
        <w:rPr>
          <w:rFonts w:hint="eastAsia"/>
        </w:rPr>
        <w:t>到云原生化</w:t>
      </w:r>
      <w:proofErr w:type="gramEnd"/>
      <w:r>
        <w:rPr>
          <w:rFonts w:hint="eastAsia"/>
        </w:rPr>
        <w:t>运维、数据流式分析与边缘智能的全生命周期管理；（4）安全与隐私是边缘规模化的前置条件，需要在供应链、运行时与数据治理层面形成体系化方案；（5）工业、农业、医疗与城市治理等行业已出现明确的价值兑现路径，但跨域协同、成本与可持续性仍是长期挑战。</w:t>
      </w:r>
    </w:p>
    <w:p w14:paraId="2430103F" w14:textId="009219A9" w:rsidR="00711828" w:rsidRPr="00711828" w:rsidRDefault="00711828" w:rsidP="00711828">
      <w:pPr>
        <w:pStyle w:val="ac"/>
        <w:rPr>
          <w:rFonts w:hint="eastAsia"/>
        </w:rPr>
      </w:pPr>
      <w:r>
        <w:rPr>
          <w:rFonts w:hint="eastAsia"/>
        </w:rPr>
        <w:t>总体而言，边缘计算正在从单点技术演进为面向大规模分布式站点的系统工程。未来研究应进一步聚焦“边缘原生平台能力”“端边云一体化智能闭环”“跨域互信与合</w:t>
      </w:r>
      <w:proofErr w:type="gramStart"/>
      <w:r>
        <w:rPr>
          <w:rFonts w:hint="eastAsia"/>
        </w:rPr>
        <w:t>规</w:t>
      </w:r>
      <w:proofErr w:type="gramEnd"/>
      <w:r>
        <w:rPr>
          <w:rFonts w:hint="eastAsia"/>
        </w:rPr>
        <w:t>治理”以及“面向低功耗与新型网络的协同优化”，以支撑物联网从连接规模扩张走向智能价值释放。</w:t>
      </w:r>
    </w:p>
    <w:p w14:paraId="3D097A60" w14:textId="77777777" w:rsidR="001C73D2" w:rsidRDefault="001C73D2" w:rsidP="00C809B3">
      <w:pPr>
        <w:spacing w:beforeLines="100" w:before="312" w:afterLines="100" w:after="312"/>
        <w:ind w:firstLine="641"/>
        <w:jc w:val="center"/>
        <w:rPr>
          <w:b/>
          <w:bCs/>
          <w:sz w:val="32"/>
          <w:szCs w:val="32"/>
        </w:rPr>
      </w:pPr>
      <w:r>
        <w:rPr>
          <w:rFonts w:hint="eastAsia"/>
          <w:b/>
          <w:bCs/>
          <w:sz w:val="32"/>
          <w:szCs w:val="32"/>
        </w:rPr>
        <w:lastRenderedPageBreak/>
        <w:t>参考文献</w:t>
      </w:r>
    </w:p>
    <w:p w14:paraId="0942A5F3" w14:textId="77777777" w:rsidR="00711828" w:rsidRPr="00711828" w:rsidRDefault="00711828" w:rsidP="00711828">
      <w:pPr>
        <w:spacing w:line="400" w:lineRule="exact"/>
        <w:rPr>
          <w:rFonts w:ascii="宋体" w:hAnsi="宋体"/>
          <w:sz w:val="24"/>
        </w:rPr>
      </w:pPr>
      <w:r w:rsidRPr="00711828">
        <w:rPr>
          <w:rFonts w:ascii="宋体" w:hAnsi="宋体"/>
          <w:sz w:val="24"/>
        </w:rPr>
        <w:t>[1] Shi W, Cao J, Zhang Q, Li Y, Xu L. Edge Computing: Vision and Challenges[J]. IEEE Internet of Things Journal, 2016, 3(5): 637–646. DOI:10.1109/JIOT.2016.2579198.</w:t>
      </w:r>
    </w:p>
    <w:p w14:paraId="5CE50696" w14:textId="77777777" w:rsidR="00711828" w:rsidRPr="00711828" w:rsidRDefault="00711828" w:rsidP="00711828">
      <w:pPr>
        <w:spacing w:line="400" w:lineRule="exact"/>
        <w:rPr>
          <w:rFonts w:ascii="宋体" w:hAnsi="宋体"/>
          <w:sz w:val="24"/>
        </w:rPr>
      </w:pPr>
      <w:r w:rsidRPr="00711828">
        <w:rPr>
          <w:rFonts w:ascii="宋体" w:hAnsi="宋体"/>
          <w:sz w:val="24"/>
        </w:rPr>
        <w:t xml:space="preserve">[2] </w:t>
      </w:r>
      <w:proofErr w:type="spellStart"/>
      <w:r w:rsidRPr="00711828">
        <w:rPr>
          <w:rFonts w:ascii="宋体" w:hAnsi="宋体"/>
          <w:sz w:val="24"/>
        </w:rPr>
        <w:t>Satyanarayanan</w:t>
      </w:r>
      <w:proofErr w:type="spellEnd"/>
      <w:r w:rsidRPr="00711828">
        <w:rPr>
          <w:rFonts w:ascii="宋体" w:hAnsi="宋体"/>
          <w:sz w:val="24"/>
        </w:rPr>
        <w:t xml:space="preserve"> M. The Emergence of Edge Computing[J]. Computer, 2017, 50(1): 30–39. DOI:10.1109/MC.2017.9.</w:t>
      </w:r>
    </w:p>
    <w:p w14:paraId="593A81E1" w14:textId="77777777" w:rsidR="00711828" w:rsidRPr="00711828" w:rsidRDefault="00711828" w:rsidP="00711828">
      <w:pPr>
        <w:spacing w:line="400" w:lineRule="exact"/>
        <w:rPr>
          <w:rFonts w:ascii="宋体" w:hAnsi="宋体"/>
          <w:sz w:val="24"/>
        </w:rPr>
      </w:pPr>
      <w:r w:rsidRPr="00711828">
        <w:rPr>
          <w:rFonts w:ascii="宋体" w:hAnsi="宋体"/>
          <w:sz w:val="24"/>
        </w:rPr>
        <w:t>[3] Iorga M, Feldman L, Barton R, Martin M J, Goren N, Mahmoudi C. Fog Computing Conceptual Model: Recommendations of the National Institute of Standards and Technology[R]. NIST Special Publication 500-325, 2018. DOI:10.6028/NIST.SP.500-325.</w:t>
      </w:r>
    </w:p>
    <w:p w14:paraId="34958954" w14:textId="77777777" w:rsidR="00711828" w:rsidRPr="00711828" w:rsidRDefault="00711828" w:rsidP="00711828">
      <w:pPr>
        <w:spacing w:line="400" w:lineRule="exact"/>
        <w:rPr>
          <w:rFonts w:ascii="宋体" w:hAnsi="宋体"/>
          <w:sz w:val="24"/>
        </w:rPr>
      </w:pPr>
      <w:r w:rsidRPr="00711828">
        <w:rPr>
          <w:rFonts w:ascii="宋体" w:hAnsi="宋体"/>
          <w:sz w:val="24"/>
        </w:rPr>
        <w:t xml:space="preserve">[4] </w:t>
      </w:r>
      <w:proofErr w:type="spellStart"/>
      <w:r w:rsidRPr="00711828">
        <w:rPr>
          <w:rFonts w:ascii="宋体" w:hAnsi="宋体"/>
          <w:sz w:val="24"/>
        </w:rPr>
        <w:t>OpenFog</w:t>
      </w:r>
      <w:proofErr w:type="spellEnd"/>
      <w:r w:rsidRPr="00711828">
        <w:rPr>
          <w:rFonts w:ascii="宋体" w:hAnsi="宋体"/>
          <w:sz w:val="24"/>
        </w:rPr>
        <w:t xml:space="preserve"> Consortium Architecture Working Group. </w:t>
      </w:r>
      <w:proofErr w:type="spellStart"/>
      <w:r w:rsidRPr="00711828">
        <w:rPr>
          <w:rFonts w:ascii="宋体" w:hAnsi="宋体"/>
          <w:sz w:val="24"/>
        </w:rPr>
        <w:t>OpenFog</w:t>
      </w:r>
      <w:proofErr w:type="spellEnd"/>
      <w:r w:rsidRPr="00711828">
        <w:rPr>
          <w:rFonts w:ascii="宋体" w:hAnsi="宋体"/>
          <w:sz w:val="24"/>
        </w:rPr>
        <w:t xml:space="preserve"> Reference Architecture for Fog Computing[R]. </w:t>
      </w:r>
      <w:proofErr w:type="spellStart"/>
      <w:r w:rsidRPr="00711828">
        <w:rPr>
          <w:rFonts w:ascii="宋体" w:hAnsi="宋体"/>
          <w:sz w:val="24"/>
        </w:rPr>
        <w:t>OpenFog</w:t>
      </w:r>
      <w:proofErr w:type="spellEnd"/>
      <w:r w:rsidRPr="00711828">
        <w:rPr>
          <w:rFonts w:ascii="宋体" w:hAnsi="宋体"/>
          <w:sz w:val="24"/>
        </w:rPr>
        <w:t xml:space="preserve"> Consortium, 2017.</w:t>
      </w:r>
    </w:p>
    <w:p w14:paraId="67C22744" w14:textId="77777777" w:rsidR="00711828" w:rsidRPr="00711828" w:rsidRDefault="00711828" w:rsidP="00711828">
      <w:pPr>
        <w:spacing w:line="400" w:lineRule="exact"/>
        <w:rPr>
          <w:rFonts w:ascii="宋体" w:hAnsi="宋体"/>
          <w:sz w:val="24"/>
        </w:rPr>
      </w:pPr>
      <w:r w:rsidRPr="00711828">
        <w:rPr>
          <w:rFonts w:ascii="宋体" w:hAnsi="宋体"/>
          <w:sz w:val="24"/>
        </w:rPr>
        <w:t>[5] ETSI. Multi-access Edge Computing (MEC); Framework and Reference Architecture[S]. ETSI GS MEC 003 V3.2.1, 2024-04.</w:t>
      </w:r>
    </w:p>
    <w:p w14:paraId="1E694E0C" w14:textId="77777777" w:rsidR="00711828" w:rsidRPr="00711828" w:rsidRDefault="00711828" w:rsidP="00711828">
      <w:pPr>
        <w:spacing w:line="400" w:lineRule="exact"/>
        <w:rPr>
          <w:rFonts w:ascii="宋体" w:hAnsi="宋体"/>
          <w:sz w:val="24"/>
        </w:rPr>
      </w:pPr>
      <w:r w:rsidRPr="00711828">
        <w:rPr>
          <w:rFonts w:ascii="宋体" w:hAnsi="宋体"/>
          <w:sz w:val="24"/>
        </w:rPr>
        <w:t>[6] ISO/IEC. Internet of Things (IoT) — Reference Architecture[S]. ISO/IEC 30141:2024, 2024.</w:t>
      </w:r>
    </w:p>
    <w:p w14:paraId="48E3DCE1" w14:textId="77777777" w:rsidR="00711828" w:rsidRPr="00711828" w:rsidRDefault="00711828" w:rsidP="00711828">
      <w:pPr>
        <w:spacing w:line="400" w:lineRule="exact"/>
        <w:rPr>
          <w:rFonts w:ascii="宋体" w:hAnsi="宋体"/>
          <w:sz w:val="24"/>
        </w:rPr>
      </w:pPr>
      <w:r w:rsidRPr="00711828">
        <w:rPr>
          <w:rFonts w:ascii="宋体" w:hAnsi="宋体"/>
          <w:sz w:val="24"/>
        </w:rPr>
        <w:t>[7] ETSI. 5G; Architecture for enabling Edge Applications[S]. ETSI TS 123 558 V17.13.0 (3GPP TS 23.558 Release 17), 2025-04.</w:t>
      </w:r>
    </w:p>
    <w:p w14:paraId="689D7841" w14:textId="77777777" w:rsidR="00711828" w:rsidRPr="00711828" w:rsidRDefault="00711828" w:rsidP="00711828">
      <w:pPr>
        <w:spacing w:line="400" w:lineRule="exact"/>
        <w:rPr>
          <w:rFonts w:ascii="宋体" w:hAnsi="宋体"/>
          <w:sz w:val="24"/>
        </w:rPr>
      </w:pPr>
      <w:r w:rsidRPr="00711828">
        <w:rPr>
          <w:rFonts w:ascii="宋体" w:hAnsi="宋体"/>
          <w:sz w:val="24"/>
        </w:rPr>
        <w:t xml:space="preserve">[8] Hamdan S, Ayyash M, </w:t>
      </w:r>
      <w:proofErr w:type="spellStart"/>
      <w:r w:rsidRPr="00711828">
        <w:rPr>
          <w:rFonts w:ascii="宋体" w:hAnsi="宋体"/>
          <w:sz w:val="24"/>
        </w:rPr>
        <w:t>Almajali</w:t>
      </w:r>
      <w:proofErr w:type="spellEnd"/>
      <w:r w:rsidRPr="00711828">
        <w:rPr>
          <w:rFonts w:ascii="宋体" w:hAnsi="宋体"/>
          <w:sz w:val="24"/>
        </w:rPr>
        <w:t xml:space="preserve"> S. Edge-Computing Architectures for Internet of Things Applications: A Survey[J]. Sensors, 2020, 20(22): 6441. DOI:10.3390/s20226441.</w:t>
      </w:r>
    </w:p>
    <w:p w14:paraId="7C1B519E" w14:textId="77777777" w:rsidR="00711828" w:rsidRPr="00711828" w:rsidRDefault="00711828" w:rsidP="00711828">
      <w:pPr>
        <w:spacing w:line="400" w:lineRule="exact"/>
        <w:rPr>
          <w:rFonts w:ascii="宋体" w:hAnsi="宋体"/>
          <w:sz w:val="24"/>
        </w:rPr>
      </w:pPr>
      <w:r w:rsidRPr="00711828">
        <w:rPr>
          <w:rFonts w:ascii="宋体" w:hAnsi="宋体"/>
          <w:sz w:val="24"/>
        </w:rPr>
        <w:t>[9] Nguyen M Q, Le A N, Nguyen T B, Nguyen V H, Vu K Q. Edge Computing for Real-Time Internet of Things Applications: Future Internet Revolution[J]. Wireless Personal Communications, 2023, 132: 1423–1452. DOI:10.1007/s11277-023-10669-w.</w:t>
      </w:r>
    </w:p>
    <w:p w14:paraId="3F170BD7" w14:textId="77777777" w:rsidR="00711828" w:rsidRPr="00711828" w:rsidRDefault="00711828" w:rsidP="00711828">
      <w:pPr>
        <w:spacing w:line="400" w:lineRule="exact"/>
        <w:rPr>
          <w:rFonts w:ascii="宋体" w:hAnsi="宋体"/>
          <w:sz w:val="24"/>
        </w:rPr>
      </w:pPr>
      <w:r w:rsidRPr="00711828">
        <w:rPr>
          <w:rFonts w:ascii="宋体" w:hAnsi="宋体"/>
          <w:sz w:val="24"/>
        </w:rPr>
        <w:t xml:space="preserve">[10] </w:t>
      </w:r>
      <w:proofErr w:type="spellStart"/>
      <w:r w:rsidRPr="00711828">
        <w:rPr>
          <w:rFonts w:ascii="宋体" w:hAnsi="宋体"/>
          <w:sz w:val="24"/>
        </w:rPr>
        <w:t>Trigkas</w:t>
      </w:r>
      <w:proofErr w:type="spellEnd"/>
      <w:r w:rsidRPr="00711828">
        <w:rPr>
          <w:rFonts w:ascii="宋体" w:hAnsi="宋体"/>
          <w:sz w:val="24"/>
        </w:rPr>
        <w:t xml:space="preserve"> A, </w:t>
      </w:r>
      <w:proofErr w:type="spellStart"/>
      <w:r w:rsidRPr="00711828">
        <w:rPr>
          <w:rFonts w:ascii="宋体" w:hAnsi="宋体"/>
          <w:sz w:val="24"/>
        </w:rPr>
        <w:t>Piromalis</w:t>
      </w:r>
      <w:proofErr w:type="spellEnd"/>
      <w:r w:rsidRPr="00711828">
        <w:rPr>
          <w:rFonts w:ascii="宋体" w:hAnsi="宋体"/>
          <w:sz w:val="24"/>
        </w:rPr>
        <w:t xml:space="preserve"> D, </w:t>
      </w:r>
      <w:proofErr w:type="spellStart"/>
      <w:r w:rsidRPr="00711828">
        <w:rPr>
          <w:rFonts w:ascii="宋体" w:hAnsi="宋体"/>
          <w:sz w:val="24"/>
        </w:rPr>
        <w:t>Papageorgas</w:t>
      </w:r>
      <w:proofErr w:type="spellEnd"/>
      <w:r w:rsidRPr="00711828">
        <w:rPr>
          <w:rFonts w:ascii="宋体" w:hAnsi="宋体"/>
          <w:sz w:val="24"/>
        </w:rPr>
        <w:t xml:space="preserve"> P. Edge Intelligence in Urban Landscapes: Reviewing </w:t>
      </w:r>
      <w:proofErr w:type="spellStart"/>
      <w:r w:rsidRPr="00711828">
        <w:rPr>
          <w:rFonts w:ascii="宋体" w:hAnsi="宋体"/>
          <w:sz w:val="24"/>
        </w:rPr>
        <w:t>TinyML</w:t>
      </w:r>
      <w:proofErr w:type="spellEnd"/>
      <w:r w:rsidRPr="00711828">
        <w:rPr>
          <w:rFonts w:ascii="宋体" w:hAnsi="宋体"/>
          <w:sz w:val="24"/>
        </w:rPr>
        <w:t xml:space="preserve"> Applications for Connected and Sustainable Smart Cities[J]. Electronics, 2025, 14(14): 2890. DOI:10.3390/electronics14142890.</w:t>
      </w:r>
    </w:p>
    <w:p w14:paraId="722E113E" w14:textId="77777777" w:rsidR="00711828" w:rsidRPr="00711828" w:rsidRDefault="00711828" w:rsidP="00711828">
      <w:pPr>
        <w:spacing w:line="400" w:lineRule="exact"/>
        <w:rPr>
          <w:rFonts w:ascii="宋体" w:hAnsi="宋体"/>
          <w:sz w:val="24"/>
        </w:rPr>
      </w:pPr>
      <w:r w:rsidRPr="00711828">
        <w:rPr>
          <w:rFonts w:ascii="宋体" w:hAnsi="宋体"/>
          <w:sz w:val="24"/>
        </w:rPr>
        <w:t>[11] Ale L, Zhang N, King S A, Chen D, et al. Empowering generative AI through mobile edge computing[J]. Nature Reviews Electrical Engineering, 2024, 1: 478–486. DOI:10.1038/s44287-024-00053-6.</w:t>
      </w:r>
    </w:p>
    <w:p w14:paraId="6C586511" w14:textId="77777777" w:rsidR="00711828" w:rsidRPr="00711828" w:rsidRDefault="00711828" w:rsidP="00711828">
      <w:pPr>
        <w:spacing w:line="400" w:lineRule="exact"/>
        <w:rPr>
          <w:rFonts w:ascii="宋体" w:hAnsi="宋体" w:hint="eastAsia"/>
          <w:sz w:val="24"/>
        </w:rPr>
      </w:pPr>
      <w:r w:rsidRPr="00711828">
        <w:rPr>
          <w:rFonts w:ascii="宋体" w:hAnsi="宋体" w:hint="eastAsia"/>
          <w:sz w:val="24"/>
        </w:rPr>
        <w:t xml:space="preserve">[12] 张佳乐 等. 边缘计算数据安全与隐私保护研究综述[J]. 通信学报, 2018. </w:t>
      </w:r>
      <w:proofErr w:type="gramStart"/>
      <w:r w:rsidRPr="00711828">
        <w:rPr>
          <w:rFonts w:ascii="宋体" w:hAnsi="宋体" w:hint="eastAsia"/>
          <w:sz w:val="24"/>
        </w:rPr>
        <w:lastRenderedPageBreak/>
        <w:t>DOI:10.11959/j.issn</w:t>
      </w:r>
      <w:proofErr w:type="gramEnd"/>
      <w:r w:rsidRPr="00711828">
        <w:rPr>
          <w:rFonts w:ascii="宋体" w:hAnsi="宋体" w:hint="eastAsia"/>
          <w:sz w:val="24"/>
        </w:rPr>
        <w:t>.1000-436x.2018037.</w:t>
      </w:r>
    </w:p>
    <w:p w14:paraId="1FF381D4" w14:textId="162A2C99" w:rsidR="00711828" w:rsidRPr="00711828" w:rsidRDefault="00711828" w:rsidP="00711828">
      <w:pPr>
        <w:spacing w:line="400" w:lineRule="exact"/>
        <w:rPr>
          <w:rFonts w:ascii="宋体" w:hAnsi="宋体" w:hint="eastAsia"/>
          <w:sz w:val="24"/>
        </w:rPr>
      </w:pPr>
      <w:r w:rsidRPr="00711828">
        <w:rPr>
          <w:rFonts w:ascii="宋体" w:hAnsi="宋体" w:hint="eastAsia"/>
          <w:sz w:val="24"/>
        </w:rPr>
        <w:t xml:space="preserve">[13] 王其朝 等. 工业边缘计算研究现状与展望[J]. 信息与控制, 2021. </w:t>
      </w:r>
      <w:proofErr w:type="gramStart"/>
      <w:r w:rsidRPr="00711828">
        <w:rPr>
          <w:rFonts w:ascii="宋体" w:hAnsi="宋体" w:hint="eastAsia"/>
          <w:sz w:val="24"/>
        </w:rPr>
        <w:t>DOI:10.13976/j.cnki.xk</w:t>
      </w:r>
      <w:proofErr w:type="gramEnd"/>
      <w:r w:rsidRPr="00711828">
        <w:rPr>
          <w:rFonts w:ascii="宋体" w:hAnsi="宋体" w:hint="eastAsia"/>
          <w:sz w:val="24"/>
        </w:rPr>
        <w:t>.2021.1030</w:t>
      </w:r>
    </w:p>
    <w:sectPr w:rsidR="00711828" w:rsidRPr="00711828" w:rsidSect="004566CA">
      <w:pgSz w:w="11906" w:h="16838" w:code="9"/>
      <w:pgMar w:top="1440" w:right="1797" w:bottom="1440" w:left="1797" w:header="851" w:footer="992" w:gutter="0"/>
      <w:pgNumType w:chapStyle="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4099A" w14:textId="77777777" w:rsidR="00871461" w:rsidRDefault="00871461" w:rsidP="004566CA">
      <w:r>
        <w:separator/>
      </w:r>
    </w:p>
  </w:endnote>
  <w:endnote w:type="continuationSeparator" w:id="0">
    <w:p w14:paraId="1CE2BE72" w14:textId="77777777" w:rsidR="00871461" w:rsidRDefault="00871461" w:rsidP="00456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EF04" w14:textId="77777777" w:rsidR="00871461" w:rsidRDefault="00871461" w:rsidP="004566CA">
      <w:r>
        <w:separator/>
      </w:r>
    </w:p>
  </w:footnote>
  <w:footnote w:type="continuationSeparator" w:id="0">
    <w:p w14:paraId="55510C1B" w14:textId="77777777" w:rsidR="00871461" w:rsidRDefault="00871461" w:rsidP="00456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3FE9"/>
    <w:multiLevelType w:val="hybridMultilevel"/>
    <w:tmpl w:val="56F09242"/>
    <w:lvl w:ilvl="0" w:tplc="954C31B6">
      <w:start w:val="1"/>
      <w:numFmt w:val="chineseCountingThousand"/>
      <w:pStyle w:val="a"/>
      <w:suff w:val="nothing"/>
      <w:lvlText w:val="%1、"/>
      <w:lvlJc w:val="left"/>
      <w:pPr>
        <w:ind w:left="400" w:hanging="40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36540252"/>
    <w:multiLevelType w:val="hybridMultilevel"/>
    <w:tmpl w:val="09D8ED18"/>
    <w:lvl w:ilvl="0" w:tplc="16866616">
      <w:start w:val="1"/>
      <w:numFmt w:val="decimal"/>
      <w:pStyle w:val="4"/>
      <w:suff w:val="nothing"/>
      <w:lvlText w:val="（%1）"/>
      <w:lvlJc w:val="left"/>
      <w:pPr>
        <w:ind w:left="0" w:firstLine="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4FE71E43"/>
    <w:multiLevelType w:val="hybridMultilevel"/>
    <w:tmpl w:val="2938A670"/>
    <w:lvl w:ilvl="0" w:tplc="07EC587C">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4366BC"/>
    <w:multiLevelType w:val="hybridMultilevel"/>
    <w:tmpl w:val="C4E8A60A"/>
    <w:lvl w:ilvl="0" w:tplc="423203B0">
      <w:start w:val="1"/>
      <w:numFmt w:val="decimal"/>
      <w:pStyle w:val="a0"/>
      <w:suff w:val="nothing"/>
      <w:lvlText w:val="%1、"/>
      <w:lvlJc w:val="left"/>
      <w:pPr>
        <w:ind w:left="0" w:firstLine="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773F7822"/>
    <w:multiLevelType w:val="hybridMultilevel"/>
    <w:tmpl w:val="F64A28F2"/>
    <w:lvl w:ilvl="0" w:tplc="554E28A2">
      <w:start w:val="1"/>
      <w:numFmt w:val="chineseCountingThousand"/>
      <w:pStyle w:val="a1"/>
      <w:suff w:val="nothing"/>
      <w:lvlText w:val="(%1)"/>
      <w:lvlJc w:val="left"/>
      <w:pPr>
        <w:ind w:left="0" w:firstLine="0"/>
      </w:pPr>
      <w:rPr>
        <w:rFonts w:ascii="宋体" w:eastAsia="宋体" w:hAnsi="宋体"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611980074">
    <w:abstractNumId w:val="0"/>
  </w:num>
  <w:num w:numId="2" w16cid:durableId="1617827210">
    <w:abstractNumId w:val="4"/>
  </w:num>
  <w:num w:numId="3" w16cid:durableId="31267805">
    <w:abstractNumId w:val="3"/>
  </w:num>
  <w:num w:numId="4" w16cid:durableId="304285145">
    <w:abstractNumId w:val="1"/>
  </w:num>
  <w:num w:numId="5" w16cid:durableId="2068913116">
    <w:abstractNumId w:val="4"/>
    <w:lvlOverride w:ilvl="0">
      <w:startOverride w:val="1"/>
    </w:lvlOverride>
  </w:num>
  <w:num w:numId="6" w16cid:durableId="70589516">
    <w:abstractNumId w:val="4"/>
    <w:lvlOverride w:ilvl="0">
      <w:startOverride w:val="1"/>
    </w:lvlOverride>
  </w:num>
  <w:num w:numId="7" w16cid:durableId="1185754941">
    <w:abstractNumId w:val="4"/>
    <w:lvlOverride w:ilvl="0">
      <w:startOverride w:val="1"/>
    </w:lvlOverride>
  </w:num>
  <w:num w:numId="8" w16cid:durableId="1987125397">
    <w:abstractNumId w:val="3"/>
    <w:lvlOverride w:ilvl="0">
      <w:startOverride w:val="1"/>
    </w:lvlOverride>
  </w:num>
  <w:num w:numId="9" w16cid:durableId="875775578">
    <w:abstractNumId w:val="3"/>
    <w:lvlOverride w:ilvl="0">
      <w:startOverride w:val="1"/>
    </w:lvlOverride>
  </w:num>
  <w:num w:numId="10" w16cid:durableId="605237434">
    <w:abstractNumId w:val="2"/>
  </w:num>
  <w:num w:numId="11" w16cid:durableId="221019901">
    <w:abstractNumId w:val="4"/>
    <w:lvlOverride w:ilvl="0">
      <w:startOverride w:val="1"/>
    </w:lvlOverride>
  </w:num>
  <w:num w:numId="12" w16cid:durableId="402525684">
    <w:abstractNumId w:val="4"/>
    <w:lvlOverride w:ilvl="0">
      <w:startOverride w:val="1"/>
    </w:lvlOverride>
  </w:num>
  <w:num w:numId="13" w16cid:durableId="99449946">
    <w:abstractNumId w:val="4"/>
    <w:lvlOverride w:ilvl="0">
      <w:startOverride w:val="1"/>
    </w:lvlOverride>
  </w:num>
  <w:num w:numId="14" w16cid:durableId="366495559">
    <w:abstractNumId w:val="4"/>
    <w:lvlOverride w:ilvl="0">
      <w:startOverride w:val="1"/>
    </w:lvlOverride>
  </w:num>
  <w:num w:numId="15" w16cid:durableId="1710832899">
    <w:abstractNumId w:val="4"/>
    <w:lvlOverride w:ilvl="0">
      <w:startOverride w:val="1"/>
    </w:lvlOverride>
  </w:num>
  <w:num w:numId="16" w16cid:durableId="1803208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E1ZGIzNmVkMzQzMzcxZjJmYTc2NDliOWYwNWI5YmYifQ=="/>
  </w:docVars>
  <w:rsids>
    <w:rsidRoot w:val="00E01B17"/>
    <w:rsid w:val="00022D30"/>
    <w:rsid w:val="000F336F"/>
    <w:rsid w:val="0011048D"/>
    <w:rsid w:val="0015711E"/>
    <w:rsid w:val="00174D5B"/>
    <w:rsid w:val="00194487"/>
    <w:rsid w:val="001C73D2"/>
    <w:rsid w:val="001F009B"/>
    <w:rsid w:val="00283D33"/>
    <w:rsid w:val="002A319D"/>
    <w:rsid w:val="002B2DAF"/>
    <w:rsid w:val="002E32DB"/>
    <w:rsid w:val="002E59D4"/>
    <w:rsid w:val="002F33B0"/>
    <w:rsid w:val="00335CF6"/>
    <w:rsid w:val="003607DD"/>
    <w:rsid w:val="00370FEC"/>
    <w:rsid w:val="003A7302"/>
    <w:rsid w:val="003D42AA"/>
    <w:rsid w:val="003F7168"/>
    <w:rsid w:val="004566CA"/>
    <w:rsid w:val="004A3809"/>
    <w:rsid w:val="004E655C"/>
    <w:rsid w:val="005352A0"/>
    <w:rsid w:val="00563E96"/>
    <w:rsid w:val="00565466"/>
    <w:rsid w:val="005757A8"/>
    <w:rsid w:val="005C627E"/>
    <w:rsid w:val="006034D6"/>
    <w:rsid w:val="00646E54"/>
    <w:rsid w:val="00656BC2"/>
    <w:rsid w:val="00701579"/>
    <w:rsid w:val="00711828"/>
    <w:rsid w:val="00760531"/>
    <w:rsid w:val="007706ED"/>
    <w:rsid w:val="00781239"/>
    <w:rsid w:val="007A0EE9"/>
    <w:rsid w:val="00842767"/>
    <w:rsid w:val="00852BC7"/>
    <w:rsid w:val="00871461"/>
    <w:rsid w:val="00882A6E"/>
    <w:rsid w:val="008D361A"/>
    <w:rsid w:val="00905124"/>
    <w:rsid w:val="00920B30"/>
    <w:rsid w:val="00976887"/>
    <w:rsid w:val="009C0F9E"/>
    <w:rsid w:val="009E00EA"/>
    <w:rsid w:val="00A86AC2"/>
    <w:rsid w:val="00AC2302"/>
    <w:rsid w:val="00AC370F"/>
    <w:rsid w:val="00B42571"/>
    <w:rsid w:val="00B632BB"/>
    <w:rsid w:val="00B93BA1"/>
    <w:rsid w:val="00C709EA"/>
    <w:rsid w:val="00C7262A"/>
    <w:rsid w:val="00C7393E"/>
    <w:rsid w:val="00C809B3"/>
    <w:rsid w:val="00C864FC"/>
    <w:rsid w:val="00CC2C10"/>
    <w:rsid w:val="00CE5F91"/>
    <w:rsid w:val="00CF5E7C"/>
    <w:rsid w:val="00D05F81"/>
    <w:rsid w:val="00D433B5"/>
    <w:rsid w:val="00D4560A"/>
    <w:rsid w:val="00D7664E"/>
    <w:rsid w:val="00DA2658"/>
    <w:rsid w:val="00DA6FEC"/>
    <w:rsid w:val="00E01B17"/>
    <w:rsid w:val="00E7139A"/>
    <w:rsid w:val="00E95B77"/>
    <w:rsid w:val="00EE13C7"/>
    <w:rsid w:val="00F31F7F"/>
    <w:rsid w:val="00FD08BB"/>
    <w:rsid w:val="014D1BA2"/>
    <w:rsid w:val="0B714B9F"/>
    <w:rsid w:val="11583C2A"/>
    <w:rsid w:val="20692E35"/>
    <w:rsid w:val="209401FB"/>
    <w:rsid w:val="20B50BB6"/>
    <w:rsid w:val="2507194E"/>
    <w:rsid w:val="253A38CF"/>
    <w:rsid w:val="2D3D5BCB"/>
    <w:rsid w:val="375E6A48"/>
    <w:rsid w:val="38A61081"/>
    <w:rsid w:val="3AED3BA0"/>
    <w:rsid w:val="3CE44647"/>
    <w:rsid w:val="3EAD7660"/>
    <w:rsid w:val="40B816D3"/>
    <w:rsid w:val="42F85392"/>
    <w:rsid w:val="4A9C14DF"/>
    <w:rsid w:val="4E405C1B"/>
    <w:rsid w:val="4F5635B2"/>
    <w:rsid w:val="519B5C6C"/>
    <w:rsid w:val="5DA94139"/>
    <w:rsid w:val="5FAD2E3F"/>
    <w:rsid w:val="61DB4DB5"/>
    <w:rsid w:val="66A05974"/>
    <w:rsid w:val="68520509"/>
    <w:rsid w:val="6C347D31"/>
    <w:rsid w:val="6FA61758"/>
    <w:rsid w:val="70DE7999"/>
    <w:rsid w:val="76425553"/>
    <w:rsid w:val="78DC1DBB"/>
    <w:rsid w:val="7A6475B4"/>
    <w:rsid w:val="7AC923F8"/>
    <w:rsid w:val="7B132AB2"/>
    <w:rsid w:val="7C630BDB"/>
    <w:rsid w:val="7CFD6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6D8B0"/>
  <w15:chartTrackingRefBased/>
  <w15:docId w15:val="{4200CF40-7471-4EA5-A55B-A3AACC31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kern w:val="2"/>
      <w:sz w:val="21"/>
      <w:szCs w:val="24"/>
    </w:rPr>
  </w:style>
  <w:style w:type="paragraph" w:styleId="1">
    <w:name w:val="heading 1"/>
    <w:basedOn w:val="a2"/>
    <w:next w:val="a2"/>
    <w:link w:val="10"/>
    <w:qFormat/>
    <w:rsid w:val="00335CF6"/>
    <w:pPr>
      <w:keepNext/>
      <w:keepLines/>
      <w:spacing w:before="340" w:after="330" w:line="578" w:lineRule="auto"/>
      <w:outlineLvl w:val="0"/>
    </w:pPr>
    <w:rPr>
      <w:b/>
      <w:bCs/>
      <w:kern w:val="44"/>
      <w:sz w:val="44"/>
      <w:szCs w:val="44"/>
    </w:rPr>
  </w:style>
  <w:style w:type="paragraph" w:styleId="2">
    <w:name w:val="heading 2"/>
    <w:basedOn w:val="a2"/>
    <w:next w:val="a2"/>
    <w:link w:val="20"/>
    <w:semiHidden/>
    <w:unhideWhenUsed/>
    <w:qFormat/>
    <w:rsid w:val="00701579"/>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2"/>
    <w:next w:val="a2"/>
    <w:link w:val="30"/>
    <w:semiHidden/>
    <w:unhideWhenUsed/>
    <w:qFormat/>
    <w:rsid w:val="00283D33"/>
    <w:pPr>
      <w:keepNext/>
      <w:keepLines/>
      <w:spacing w:before="260" w:after="260" w:line="416" w:lineRule="auto"/>
      <w:outlineLvl w:val="2"/>
    </w:pPr>
    <w:rPr>
      <w:b/>
      <w:bCs/>
      <w:sz w:val="32"/>
      <w:szCs w:val="32"/>
    </w:rPr>
  </w:style>
  <w:style w:type="paragraph" w:styleId="40">
    <w:name w:val="heading 4"/>
    <w:basedOn w:val="a2"/>
    <w:next w:val="a2"/>
    <w:link w:val="41"/>
    <w:semiHidden/>
    <w:unhideWhenUsed/>
    <w:qFormat/>
    <w:rsid w:val="00565466"/>
    <w:pPr>
      <w:keepNext/>
      <w:keepLines/>
      <w:spacing w:before="280" w:after="290" w:line="376" w:lineRule="auto"/>
      <w:outlineLvl w:val="3"/>
    </w:pPr>
    <w:rPr>
      <w:rFonts w:ascii="等线 Light" w:eastAsia="等线 Light" w:hAnsi="等线 Light"/>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ody Text Indent"/>
    <w:basedOn w:val="a2"/>
    <w:pPr>
      <w:ind w:firstLineChars="240" w:firstLine="720"/>
    </w:pPr>
    <w:rPr>
      <w:sz w:val="30"/>
    </w:rPr>
  </w:style>
  <w:style w:type="table" w:styleId="a7">
    <w:name w:val="Table Grid"/>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样式 小四 蓝色 Char"/>
    <w:link w:val="a8"/>
    <w:rPr>
      <w:rFonts w:eastAsia="宋体"/>
      <w:color w:val="0000FF"/>
      <w:kern w:val="2"/>
      <w:sz w:val="24"/>
      <w:szCs w:val="21"/>
      <w:lang w:val="en-US" w:eastAsia="zh-CN" w:bidi="ar-SA"/>
    </w:rPr>
  </w:style>
  <w:style w:type="paragraph" w:customStyle="1" w:styleId="a8">
    <w:name w:val="样式 小四 蓝色"/>
    <w:basedOn w:val="a2"/>
    <w:link w:val="Char"/>
    <w:pPr>
      <w:spacing w:line="400" w:lineRule="exact"/>
      <w:outlineLvl w:val="0"/>
    </w:pPr>
    <w:rPr>
      <w:color w:val="0000FF"/>
      <w:sz w:val="24"/>
      <w:szCs w:val="21"/>
    </w:rPr>
  </w:style>
  <w:style w:type="character" w:customStyle="1" w:styleId="Char0">
    <w:name w:val="样式 宋体 小四 加粗 蓝色 Char"/>
    <w:link w:val="a9"/>
    <w:rPr>
      <w:rFonts w:ascii="宋体" w:eastAsia="宋体" w:hAnsi="宋体"/>
      <w:b/>
      <w:bCs/>
      <w:color w:val="0000FF"/>
      <w:kern w:val="2"/>
      <w:sz w:val="24"/>
      <w:szCs w:val="24"/>
      <w:lang w:val="en-US" w:eastAsia="zh-CN" w:bidi="ar-SA"/>
    </w:rPr>
  </w:style>
  <w:style w:type="paragraph" w:customStyle="1" w:styleId="a9">
    <w:name w:val="样式 宋体 小四 加粗 蓝色"/>
    <w:basedOn w:val="a2"/>
    <w:link w:val="Char0"/>
    <w:pPr>
      <w:spacing w:line="400" w:lineRule="exact"/>
      <w:ind w:firstLineChars="200" w:firstLine="482"/>
      <w:outlineLvl w:val="0"/>
    </w:pPr>
    <w:rPr>
      <w:rFonts w:ascii="宋体" w:hAnsi="宋体"/>
      <w:b/>
      <w:bCs/>
      <w:color w:val="0000FF"/>
      <w:sz w:val="24"/>
    </w:rPr>
  </w:style>
  <w:style w:type="paragraph" w:customStyle="1" w:styleId="929215">
    <w:name w:val="样式 宋体 三号 加粗 蓝色 段前: 9.2 磅 段后: 9.2 磅 行距: 1.5 倍行距"/>
    <w:basedOn w:val="a2"/>
    <w:pPr>
      <w:spacing w:before="184" w:after="184" w:line="360" w:lineRule="auto"/>
      <w:ind w:firstLineChars="196" w:firstLine="630"/>
    </w:pPr>
    <w:rPr>
      <w:rFonts w:ascii="宋体" w:hAnsi="宋体" w:cs="宋体"/>
      <w:b/>
      <w:bCs/>
      <w:color w:val="0000FF"/>
      <w:sz w:val="32"/>
      <w:szCs w:val="20"/>
    </w:rPr>
  </w:style>
  <w:style w:type="paragraph" w:customStyle="1" w:styleId="701184184">
    <w:name w:val="样式 宋体 三号 加粗 蓝色 悬挂缩进: 7.01 字符 段前: 18.4 磅 段后: 18.4 磅"/>
    <w:basedOn w:val="a2"/>
    <w:pPr>
      <w:spacing w:before="368" w:after="368" w:line="400" w:lineRule="exact"/>
      <w:ind w:leftChars="304" w:left="2982" w:hangingChars="701" w:hanging="2252"/>
    </w:pPr>
    <w:rPr>
      <w:rFonts w:ascii="宋体" w:hAnsi="宋体" w:cs="宋体"/>
      <w:b/>
      <w:bCs/>
      <w:color w:val="0000FF"/>
      <w:sz w:val="32"/>
      <w:szCs w:val="20"/>
    </w:rPr>
  </w:style>
  <w:style w:type="paragraph" w:styleId="aa">
    <w:name w:val="List Paragraph"/>
    <w:basedOn w:val="a2"/>
    <w:uiPriority w:val="34"/>
    <w:qFormat/>
    <w:pPr>
      <w:ind w:firstLineChars="200" w:firstLine="420"/>
    </w:pPr>
  </w:style>
  <w:style w:type="character" w:customStyle="1" w:styleId="10">
    <w:name w:val="标题 1 字符"/>
    <w:link w:val="1"/>
    <w:rsid w:val="00335CF6"/>
    <w:rPr>
      <w:b/>
      <w:bCs/>
      <w:kern w:val="44"/>
      <w:sz w:val="44"/>
      <w:szCs w:val="44"/>
    </w:rPr>
  </w:style>
  <w:style w:type="paragraph" w:customStyle="1" w:styleId="a">
    <w:name w:val="正文一级标题"/>
    <w:basedOn w:val="1"/>
    <w:link w:val="ab"/>
    <w:qFormat/>
    <w:rsid w:val="00565466"/>
    <w:pPr>
      <w:numPr>
        <w:numId w:val="1"/>
      </w:numPr>
      <w:spacing w:beforeLines="100" w:before="312" w:afterLines="100" w:after="312" w:line="240" w:lineRule="auto"/>
      <w:ind w:left="0" w:firstLineChars="200" w:firstLine="643"/>
    </w:pPr>
    <w:rPr>
      <w:sz w:val="32"/>
    </w:rPr>
  </w:style>
  <w:style w:type="character" w:customStyle="1" w:styleId="ab">
    <w:name w:val="正文一级标题 字符"/>
    <w:link w:val="a"/>
    <w:rsid w:val="00565466"/>
    <w:rPr>
      <w:b/>
      <w:bCs/>
      <w:kern w:val="44"/>
      <w:sz w:val="32"/>
      <w:szCs w:val="44"/>
    </w:rPr>
  </w:style>
  <w:style w:type="paragraph" w:customStyle="1" w:styleId="ac">
    <w:name w:val="正文内容"/>
    <w:basedOn w:val="a2"/>
    <w:link w:val="ad"/>
    <w:qFormat/>
    <w:rsid w:val="00701579"/>
    <w:pPr>
      <w:spacing w:line="400" w:lineRule="exact"/>
      <w:ind w:firstLineChars="200" w:firstLine="480"/>
    </w:pPr>
    <w:rPr>
      <w:rFonts w:ascii="宋体" w:hAnsi="宋体"/>
      <w:sz w:val="24"/>
    </w:rPr>
  </w:style>
  <w:style w:type="character" w:customStyle="1" w:styleId="ad">
    <w:name w:val="正文内容 字符"/>
    <w:link w:val="ac"/>
    <w:rsid w:val="00701579"/>
    <w:rPr>
      <w:rFonts w:ascii="宋体" w:hAnsi="宋体"/>
      <w:kern w:val="2"/>
      <w:sz w:val="24"/>
      <w:szCs w:val="24"/>
    </w:rPr>
  </w:style>
  <w:style w:type="paragraph" w:customStyle="1" w:styleId="a1">
    <w:name w:val="正文二级"/>
    <w:basedOn w:val="2"/>
    <w:link w:val="ae"/>
    <w:qFormat/>
    <w:rsid w:val="0011048D"/>
    <w:pPr>
      <w:numPr>
        <w:numId w:val="2"/>
      </w:numPr>
      <w:spacing w:beforeLines="50" w:before="156" w:afterLines="50" w:after="156" w:line="240" w:lineRule="auto"/>
      <w:ind w:firstLineChars="200" w:firstLine="562"/>
    </w:pPr>
    <w:rPr>
      <w:rFonts w:eastAsia="宋体"/>
      <w:sz w:val="28"/>
      <w:szCs w:val="28"/>
    </w:rPr>
  </w:style>
  <w:style w:type="character" w:customStyle="1" w:styleId="20">
    <w:name w:val="标题 2 字符"/>
    <w:link w:val="2"/>
    <w:semiHidden/>
    <w:rsid w:val="00701579"/>
    <w:rPr>
      <w:rFonts w:ascii="等线 Light" w:eastAsia="等线 Light" w:hAnsi="等线 Light" w:cs="Times New Roman"/>
      <w:b/>
      <w:bCs/>
      <w:kern w:val="2"/>
      <w:sz w:val="32"/>
      <w:szCs w:val="32"/>
    </w:rPr>
  </w:style>
  <w:style w:type="character" w:customStyle="1" w:styleId="ae">
    <w:name w:val="正文二级 字符"/>
    <w:link w:val="a1"/>
    <w:rsid w:val="0011048D"/>
    <w:rPr>
      <w:rFonts w:ascii="等线 Light" w:hAnsi="等线 Light"/>
      <w:b/>
      <w:bCs/>
      <w:kern w:val="2"/>
      <w:sz w:val="28"/>
      <w:szCs w:val="28"/>
    </w:rPr>
  </w:style>
  <w:style w:type="paragraph" w:customStyle="1" w:styleId="a0">
    <w:name w:val="正文三级"/>
    <w:basedOn w:val="3"/>
    <w:link w:val="af"/>
    <w:qFormat/>
    <w:rsid w:val="00565466"/>
    <w:pPr>
      <w:numPr>
        <w:numId w:val="3"/>
      </w:numPr>
      <w:spacing w:before="0" w:after="0" w:line="400" w:lineRule="exact"/>
      <w:ind w:firstLineChars="200" w:firstLine="482"/>
    </w:pPr>
    <w:rPr>
      <w:rFonts w:ascii="宋体" w:hAnsi="宋体"/>
      <w:sz w:val="24"/>
    </w:rPr>
  </w:style>
  <w:style w:type="character" w:customStyle="1" w:styleId="30">
    <w:name w:val="标题 3 字符"/>
    <w:link w:val="3"/>
    <w:semiHidden/>
    <w:rsid w:val="00283D33"/>
    <w:rPr>
      <w:b/>
      <w:bCs/>
      <w:kern w:val="2"/>
      <w:sz w:val="32"/>
      <w:szCs w:val="32"/>
    </w:rPr>
  </w:style>
  <w:style w:type="character" w:customStyle="1" w:styleId="af">
    <w:name w:val="正文三级 字符"/>
    <w:link w:val="a0"/>
    <w:rsid w:val="00565466"/>
    <w:rPr>
      <w:rFonts w:ascii="宋体" w:hAnsi="宋体"/>
      <w:b/>
      <w:bCs/>
      <w:kern w:val="2"/>
      <w:sz w:val="24"/>
      <w:szCs w:val="32"/>
    </w:rPr>
  </w:style>
  <w:style w:type="paragraph" w:customStyle="1" w:styleId="4">
    <w:name w:val="4级标题"/>
    <w:basedOn w:val="40"/>
    <w:link w:val="42"/>
    <w:qFormat/>
    <w:rsid w:val="00565466"/>
    <w:pPr>
      <w:numPr>
        <w:numId w:val="4"/>
      </w:numPr>
    </w:pPr>
    <w:rPr>
      <w:rFonts w:ascii="宋体" w:eastAsia="宋体" w:hAnsi="宋体"/>
      <w:b w:val="0"/>
      <w:sz w:val="24"/>
    </w:rPr>
  </w:style>
  <w:style w:type="character" w:customStyle="1" w:styleId="42">
    <w:name w:val="4级标题 字符"/>
    <w:link w:val="4"/>
    <w:rsid w:val="00565466"/>
    <w:rPr>
      <w:rFonts w:ascii="宋体" w:hAnsi="宋体" w:cs="Times New Roman"/>
      <w:bCs/>
      <w:kern w:val="2"/>
      <w:sz w:val="24"/>
      <w:szCs w:val="28"/>
    </w:rPr>
  </w:style>
  <w:style w:type="character" w:customStyle="1" w:styleId="41">
    <w:name w:val="标题 4 字符"/>
    <w:link w:val="40"/>
    <w:semiHidden/>
    <w:rsid w:val="00565466"/>
    <w:rPr>
      <w:rFonts w:ascii="等线 Light" w:eastAsia="等线 Light" w:hAnsi="等线 Light" w:cs="Times New Roman"/>
      <w:b/>
      <w:bCs/>
      <w:kern w:val="2"/>
      <w:sz w:val="28"/>
      <w:szCs w:val="28"/>
    </w:rPr>
  </w:style>
  <w:style w:type="paragraph" w:styleId="af0">
    <w:name w:val="Title"/>
    <w:basedOn w:val="a2"/>
    <w:next w:val="a2"/>
    <w:link w:val="af1"/>
    <w:qFormat/>
    <w:rsid w:val="00905124"/>
    <w:pPr>
      <w:spacing w:before="240" w:after="60"/>
      <w:jc w:val="center"/>
      <w:outlineLvl w:val="0"/>
    </w:pPr>
    <w:rPr>
      <w:rFonts w:ascii="等线 Light" w:hAnsi="等线 Light"/>
      <w:b/>
      <w:bCs/>
      <w:sz w:val="32"/>
      <w:szCs w:val="32"/>
    </w:rPr>
  </w:style>
  <w:style w:type="character" w:customStyle="1" w:styleId="af1">
    <w:name w:val="标题 字符"/>
    <w:link w:val="af0"/>
    <w:rsid w:val="00905124"/>
    <w:rPr>
      <w:rFonts w:ascii="等线 Light" w:hAnsi="等线 Light" w:cs="Times New Roman"/>
      <w:b/>
      <w:bCs/>
      <w:kern w:val="2"/>
      <w:sz w:val="32"/>
      <w:szCs w:val="32"/>
    </w:rPr>
  </w:style>
  <w:style w:type="paragraph" w:styleId="af2">
    <w:name w:val="header"/>
    <w:basedOn w:val="a2"/>
    <w:link w:val="af3"/>
    <w:rsid w:val="004566CA"/>
    <w:pPr>
      <w:tabs>
        <w:tab w:val="center" w:pos="4153"/>
        <w:tab w:val="right" w:pos="8306"/>
      </w:tabs>
      <w:snapToGrid w:val="0"/>
      <w:jc w:val="center"/>
    </w:pPr>
    <w:rPr>
      <w:sz w:val="18"/>
      <w:szCs w:val="18"/>
    </w:rPr>
  </w:style>
  <w:style w:type="character" w:customStyle="1" w:styleId="af3">
    <w:name w:val="页眉 字符"/>
    <w:link w:val="af2"/>
    <w:rsid w:val="004566CA"/>
    <w:rPr>
      <w:kern w:val="2"/>
      <w:sz w:val="18"/>
      <w:szCs w:val="18"/>
    </w:rPr>
  </w:style>
  <w:style w:type="paragraph" w:styleId="af4">
    <w:name w:val="footer"/>
    <w:basedOn w:val="a2"/>
    <w:link w:val="af5"/>
    <w:uiPriority w:val="99"/>
    <w:rsid w:val="004566CA"/>
    <w:pPr>
      <w:tabs>
        <w:tab w:val="center" w:pos="4153"/>
        <w:tab w:val="right" w:pos="8306"/>
      </w:tabs>
      <w:snapToGrid w:val="0"/>
      <w:jc w:val="left"/>
    </w:pPr>
    <w:rPr>
      <w:sz w:val="18"/>
      <w:szCs w:val="18"/>
    </w:rPr>
  </w:style>
  <w:style w:type="character" w:customStyle="1" w:styleId="af5">
    <w:name w:val="页脚 字符"/>
    <w:link w:val="af4"/>
    <w:uiPriority w:val="99"/>
    <w:rsid w:val="004566CA"/>
    <w:rPr>
      <w:kern w:val="2"/>
      <w:sz w:val="18"/>
      <w:szCs w:val="18"/>
    </w:rPr>
  </w:style>
  <w:style w:type="paragraph" w:styleId="TOC">
    <w:name w:val="TOC Heading"/>
    <w:basedOn w:val="1"/>
    <w:next w:val="a2"/>
    <w:uiPriority w:val="39"/>
    <w:unhideWhenUsed/>
    <w:qFormat/>
    <w:rsid w:val="004566CA"/>
    <w:pPr>
      <w:widowControl/>
      <w:spacing w:before="240" w:after="0" w:line="259" w:lineRule="auto"/>
      <w:jc w:val="left"/>
      <w:outlineLvl w:val="9"/>
    </w:pPr>
    <w:rPr>
      <w:rFonts w:ascii="等线 Light" w:eastAsia="等线 Light" w:hAnsi="等线 Light"/>
      <w:b w:val="0"/>
      <w:bCs w:val="0"/>
      <w:color w:val="0F4761"/>
      <w:kern w:val="0"/>
      <w:sz w:val="32"/>
      <w:szCs w:val="32"/>
    </w:rPr>
  </w:style>
  <w:style w:type="paragraph" w:styleId="TOC2">
    <w:name w:val="toc 2"/>
    <w:basedOn w:val="a2"/>
    <w:next w:val="a2"/>
    <w:autoRedefine/>
    <w:uiPriority w:val="39"/>
    <w:unhideWhenUsed/>
    <w:rsid w:val="004566CA"/>
    <w:pPr>
      <w:widowControl/>
      <w:spacing w:after="100" w:line="259" w:lineRule="auto"/>
      <w:ind w:left="220"/>
      <w:jc w:val="left"/>
    </w:pPr>
    <w:rPr>
      <w:rFonts w:ascii="等线" w:eastAsia="等线" w:hAnsi="等线"/>
      <w:kern w:val="0"/>
      <w:sz w:val="22"/>
      <w:szCs w:val="22"/>
    </w:rPr>
  </w:style>
  <w:style w:type="paragraph" w:styleId="TOC1">
    <w:name w:val="toc 1"/>
    <w:basedOn w:val="a2"/>
    <w:next w:val="a2"/>
    <w:autoRedefine/>
    <w:uiPriority w:val="39"/>
    <w:unhideWhenUsed/>
    <w:rsid w:val="004566CA"/>
    <w:pPr>
      <w:widowControl/>
      <w:spacing w:after="100" w:line="259" w:lineRule="auto"/>
      <w:jc w:val="left"/>
    </w:pPr>
    <w:rPr>
      <w:rFonts w:ascii="等线" w:eastAsia="等线" w:hAnsi="等线"/>
      <w:kern w:val="0"/>
      <w:sz w:val="22"/>
      <w:szCs w:val="22"/>
    </w:rPr>
  </w:style>
  <w:style w:type="paragraph" w:styleId="TOC3">
    <w:name w:val="toc 3"/>
    <w:basedOn w:val="a2"/>
    <w:next w:val="a2"/>
    <w:autoRedefine/>
    <w:uiPriority w:val="39"/>
    <w:unhideWhenUsed/>
    <w:rsid w:val="004566CA"/>
    <w:pPr>
      <w:widowControl/>
      <w:spacing w:after="100" w:line="259" w:lineRule="auto"/>
      <w:ind w:left="440"/>
      <w:jc w:val="left"/>
    </w:pPr>
    <w:rPr>
      <w:rFonts w:ascii="等线" w:eastAsia="等线" w:hAnsi="等线"/>
      <w:kern w:val="0"/>
      <w:sz w:val="22"/>
      <w:szCs w:val="22"/>
    </w:rPr>
  </w:style>
  <w:style w:type="character" w:styleId="af6">
    <w:name w:val="Hyperlink"/>
    <w:uiPriority w:val="99"/>
    <w:unhideWhenUsed/>
    <w:rsid w:val="004566CA"/>
    <w:rPr>
      <w:color w:val="467886"/>
      <w:u w:val="single"/>
    </w:rPr>
  </w:style>
  <w:style w:type="character" w:styleId="af7">
    <w:name w:val="Placeholder Text"/>
    <w:basedOn w:val="a3"/>
    <w:uiPriority w:val="99"/>
    <w:unhideWhenUsed/>
    <w:rsid w:val="003607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E82CC-D264-4C7E-ADAF-CDE617AE6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14</Pages>
  <Words>8844</Words>
  <Characters>11273</Characters>
  <Application>Microsoft Office Word</Application>
  <DocSecurity>0</DocSecurity>
  <Lines>445</Lines>
  <Paragraphs>150</Paragraphs>
  <ScaleCrop>false</ScaleCrop>
  <Company>WwW.YlmF.Com</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考查课结课论文（报告、案例分析）写作要求</dc:title>
  <dc:subject/>
  <dc:creator>雨林木风</dc:creator>
  <cp:keywords/>
  <dc:description/>
  <cp:lastModifiedBy>宁 章</cp:lastModifiedBy>
  <cp:revision>3</cp:revision>
  <cp:lastPrinted>2025-12-23T13:46:00Z</cp:lastPrinted>
  <dcterms:created xsi:type="dcterms:W3CDTF">2025-12-22T05:07:00Z</dcterms:created>
  <dcterms:modified xsi:type="dcterms:W3CDTF">2025-12-24T01:56:00Z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中文名称">
    <vt:lpwstr>北京物资学院课程论文(报告)标准格式</vt:lpwstr>
  </property>
  <property fmtid="{D5CDD505-2E9C-101B-9397-08002B2CF9AE}" pid="3" name="KSOProductBuildVer">
    <vt:lpwstr>2052-12.1.0.22529</vt:lpwstr>
  </property>
  <property fmtid="{D5CDD505-2E9C-101B-9397-08002B2CF9AE}" pid="4" name="ICV">
    <vt:lpwstr>2B406190AC3A48D4B5A6A1D055D1345F_12</vt:lpwstr>
  </property>
  <property fmtid="{D5CDD505-2E9C-101B-9397-08002B2CF9AE}" pid="5" name="KSOTemplateDocerSaveRecord">
    <vt:lpwstr>eyJoZGlkIjoiZWQ5NGFmZmE1OTQ1MzIyYWQzMjg5ZTVjNjQwMjgyYmEifQ==</vt:lpwstr>
  </property>
</Properties>
</file>