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C5B1" w14:textId="142FD7DA" w:rsidR="001C73D2" w:rsidRDefault="00B6609F" w:rsidP="001C73D2">
      <w:pPr>
        <w:ind w:firstLineChars="200" w:firstLine="1040"/>
        <w:jc w:val="center"/>
        <w:rPr>
          <w:rFonts w:eastAsia="黑体"/>
          <w:sz w:val="52"/>
        </w:rPr>
      </w:pPr>
      <w:r>
        <w:rPr>
          <w:rFonts w:eastAsia="黑体" w:hint="eastAsia"/>
          <w:sz w:val="52"/>
          <w:u w:val="single"/>
        </w:rPr>
        <w:t xml:space="preserve">  </w:t>
      </w:r>
      <w:r w:rsidR="00847CF4">
        <w:rPr>
          <w:rFonts w:eastAsia="黑体" w:hint="eastAsia"/>
          <w:sz w:val="52"/>
          <w:u w:val="single"/>
        </w:rPr>
        <w:t>物流信息</w:t>
      </w:r>
      <w:r w:rsidR="006F44ED">
        <w:rPr>
          <w:rFonts w:eastAsia="黑体" w:hint="eastAsia"/>
          <w:sz w:val="52"/>
          <w:u w:val="single"/>
        </w:rPr>
        <w:t>技术</w:t>
      </w:r>
      <w:r>
        <w:rPr>
          <w:rFonts w:eastAsia="黑体" w:hint="eastAsia"/>
          <w:sz w:val="52"/>
          <w:u w:val="single"/>
        </w:rPr>
        <w:t xml:space="preserve"> </w:t>
      </w:r>
      <w:r w:rsidR="001C73D2">
        <w:rPr>
          <w:rFonts w:eastAsia="黑体" w:hint="eastAsia"/>
          <w:sz w:val="52"/>
          <w:u w:val="single"/>
        </w:rPr>
        <w:t xml:space="preserve"> </w:t>
      </w:r>
      <w:r w:rsidR="001C73D2">
        <w:rPr>
          <w:rFonts w:eastAsia="黑体" w:hint="eastAsia"/>
          <w:sz w:val="52"/>
        </w:rPr>
        <w:t>课程</w:t>
      </w:r>
    </w:p>
    <w:p w14:paraId="2FC705D2" w14:textId="77777777" w:rsidR="001C73D2" w:rsidRDefault="001C73D2" w:rsidP="001C73D2">
      <w:pPr>
        <w:ind w:firstLineChars="300" w:firstLine="1560"/>
        <w:rPr>
          <w:rFonts w:eastAsia="黑体"/>
          <w:sz w:val="52"/>
        </w:rPr>
      </w:pPr>
      <w:r>
        <w:rPr>
          <w:rFonts w:eastAsia="黑体" w:hint="eastAsia"/>
          <w:sz w:val="52"/>
        </w:rPr>
        <w:t>论文（报告、案例分析）</w:t>
      </w:r>
    </w:p>
    <w:p w14:paraId="01372023" w14:textId="77777777" w:rsidR="001C73D2" w:rsidRDefault="001C73D2" w:rsidP="001C73D2">
      <w:pPr>
        <w:ind w:firstLineChars="300" w:firstLine="1560"/>
        <w:rPr>
          <w:rFonts w:eastAsia="黑体"/>
          <w:sz w:val="52"/>
        </w:rPr>
      </w:pPr>
    </w:p>
    <w:p w14:paraId="3AD87FD5" w14:textId="77777777" w:rsidR="001C73D2" w:rsidRDefault="001C73D2" w:rsidP="001C73D2">
      <w:pPr>
        <w:ind w:firstLineChars="300" w:firstLine="1560"/>
        <w:rPr>
          <w:rFonts w:eastAsia="黑体"/>
          <w:sz w:val="52"/>
        </w:rPr>
      </w:pPr>
    </w:p>
    <w:p w14:paraId="1EACF329" w14:textId="77777777" w:rsidR="001C73D2" w:rsidRDefault="001C73D2" w:rsidP="001C73D2">
      <w:pPr>
        <w:ind w:firstLineChars="300" w:firstLine="1560"/>
        <w:rPr>
          <w:rFonts w:eastAsia="黑体"/>
          <w:sz w:val="52"/>
        </w:rPr>
      </w:pPr>
    </w:p>
    <w:p w14:paraId="6BF93698" w14:textId="77777777" w:rsidR="001C73D2" w:rsidRDefault="001C73D2" w:rsidP="001C73D2">
      <w:pPr>
        <w:ind w:firstLineChars="300" w:firstLine="1560"/>
        <w:rPr>
          <w:rFonts w:eastAsia="黑体"/>
          <w:sz w:val="52"/>
        </w:rPr>
      </w:pPr>
    </w:p>
    <w:p w14:paraId="52B06917" w14:textId="77777777" w:rsidR="001C73D2" w:rsidRDefault="001C73D2" w:rsidP="001C73D2">
      <w:pPr>
        <w:ind w:firstLineChars="300" w:firstLine="1560"/>
        <w:rPr>
          <w:rFonts w:eastAsia="黑体"/>
          <w:sz w:val="52"/>
        </w:rPr>
      </w:pPr>
    </w:p>
    <w:p w14:paraId="54BC8B91" w14:textId="77777777" w:rsidR="001C73D2" w:rsidRDefault="001C73D2" w:rsidP="001C73D2">
      <w:pPr>
        <w:ind w:firstLineChars="300" w:firstLine="1560"/>
        <w:rPr>
          <w:rFonts w:eastAsia="黑体"/>
          <w:sz w:val="52"/>
        </w:rPr>
      </w:pPr>
    </w:p>
    <w:p w14:paraId="60432F50" w14:textId="77777777" w:rsidR="001C73D2" w:rsidRDefault="001C73D2" w:rsidP="001C73D2">
      <w:pPr>
        <w:ind w:firstLineChars="300" w:firstLine="1560"/>
        <w:rPr>
          <w:rFonts w:eastAsia="黑体"/>
          <w:sz w:val="52"/>
        </w:rPr>
      </w:pPr>
    </w:p>
    <w:p w14:paraId="0C7AF0A6" w14:textId="77777777"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院    系</w:t>
      </w:r>
      <w:r>
        <w:rPr>
          <w:rFonts w:ascii="宋体" w:hAnsi="宋体" w:hint="eastAsia"/>
          <w:sz w:val="32"/>
          <w:u w:val="single"/>
        </w:rPr>
        <w:t xml:space="preserve"> 计算机与人工智能学院</w:t>
      </w:r>
      <w:r>
        <w:rPr>
          <w:rFonts w:ascii="楷体_GB2312" w:eastAsia="楷体_GB2312" w:hAnsi="宋体" w:hint="eastAsia"/>
          <w:sz w:val="32"/>
          <w:u w:val="single"/>
        </w:rPr>
        <w:t xml:space="preserve"> </w:t>
      </w:r>
    </w:p>
    <w:p w14:paraId="636EC8F3" w14:textId="56A5F6CD"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专    业</w:t>
      </w:r>
      <w:r>
        <w:rPr>
          <w:rFonts w:ascii="宋体" w:hAnsi="宋体" w:hint="eastAsia"/>
          <w:sz w:val="32"/>
          <w:u w:val="single"/>
        </w:rPr>
        <w:t xml:space="preserve">   </w:t>
      </w:r>
      <w:r w:rsidR="006F44ED">
        <w:rPr>
          <w:rFonts w:ascii="宋体" w:hAnsi="宋体" w:hint="eastAsia"/>
          <w:sz w:val="32"/>
          <w:u w:val="single"/>
        </w:rPr>
        <w:t>计算机科学与技术</w:t>
      </w:r>
      <w:r>
        <w:rPr>
          <w:rFonts w:ascii="宋体" w:hAnsi="宋体" w:hint="eastAsia"/>
          <w:sz w:val="32"/>
          <w:u w:val="single"/>
        </w:rPr>
        <w:t xml:space="preserve">   </w:t>
      </w:r>
    </w:p>
    <w:p w14:paraId="2C1FF868" w14:textId="2F7674E1"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班    级</w:t>
      </w:r>
      <w:r>
        <w:rPr>
          <w:rFonts w:ascii="宋体" w:hAnsi="宋体" w:hint="eastAsia"/>
          <w:sz w:val="32"/>
          <w:u w:val="single"/>
        </w:rPr>
        <w:t xml:space="preserve">       </w:t>
      </w:r>
      <w:r w:rsidR="00847CF4">
        <w:rPr>
          <w:rFonts w:hint="eastAsia"/>
          <w:sz w:val="32"/>
          <w:u w:val="single"/>
        </w:rPr>
        <w:t>物流信息</w:t>
      </w:r>
      <w:r>
        <w:rPr>
          <w:rFonts w:ascii="宋体" w:hAnsi="宋体" w:hint="eastAsia"/>
          <w:sz w:val="32"/>
          <w:u w:val="single"/>
        </w:rPr>
        <w:t xml:space="preserve"> </w:t>
      </w:r>
      <w:r w:rsidR="00847CF4">
        <w:rPr>
          <w:rFonts w:ascii="宋体" w:hAnsi="宋体" w:hint="eastAsia"/>
          <w:sz w:val="32"/>
          <w:u w:val="single"/>
        </w:rPr>
        <w:t xml:space="preserve">  </w:t>
      </w:r>
      <w:r>
        <w:rPr>
          <w:rFonts w:ascii="宋体" w:hAnsi="宋体" w:hint="eastAsia"/>
          <w:sz w:val="32"/>
          <w:u w:val="single"/>
        </w:rPr>
        <w:t xml:space="preserve">    </w:t>
      </w:r>
    </w:p>
    <w:p w14:paraId="6189775C" w14:textId="14FE387A"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学生姓名</w:t>
      </w:r>
      <w:r>
        <w:rPr>
          <w:rFonts w:ascii="宋体" w:hAnsi="宋体" w:hint="eastAsia"/>
          <w:sz w:val="32"/>
          <w:u w:val="single"/>
        </w:rPr>
        <w:t xml:space="preserve">        </w:t>
      </w:r>
      <w:r>
        <w:rPr>
          <w:rFonts w:ascii="楷体_GB2312" w:eastAsia="楷体_GB2312" w:hAnsi="宋体" w:hint="eastAsia"/>
          <w:sz w:val="32"/>
          <w:u w:val="single"/>
        </w:rPr>
        <w:t xml:space="preserve"> </w:t>
      </w:r>
      <w:r w:rsidR="006F44ED">
        <w:rPr>
          <w:rFonts w:ascii="楷体_GB2312" w:eastAsia="楷体_GB2312" w:hAnsi="宋体" w:hint="eastAsia"/>
          <w:sz w:val="32"/>
          <w:u w:val="single"/>
        </w:rPr>
        <w:t>章宁</w:t>
      </w:r>
      <w:r>
        <w:rPr>
          <w:rFonts w:ascii="楷体_GB2312" w:eastAsia="楷体_GB2312" w:hAnsi="宋体" w:hint="eastAsia"/>
          <w:sz w:val="32"/>
          <w:u w:val="single"/>
        </w:rPr>
        <w:t xml:space="preserve">    </w:t>
      </w:r>
      <w:r w:rsidR="00847CF4">
        <w:rPr>
          <w:rFonts w:ascii="楷体_GB2312" w:eastAsia="楷体_GB2312" w:hAnsi="宋体" w:hint="eastAsia"/>
          <w:sz w:val="32"/>
          <w:u w:val="single"/>
        </w:rPr>
        <w:t xml:space="preserve"> </w:t>
      </w:r>
      <w:r>
        <w:rPr>
          <w:rFonts w:ascii="宋体" w:hAnsi="宋体" w:hint="eastAsia"/>
          <w:sz w:val="32"/>
          <w:u w:val="single"/>
        </w:rPr>
        <w:t xml:space="preserve">    </w:t>
      </w:r>
    </w:p>
    <w:p w14:paraId="71B4EC7F" w14:textId="283E96E3"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学    号</w:t>
      </w:r>
      <w:r>
        <w:rPr>
          <w:rFonts w:ascii="宋体" w:hAnsi="宋体" w:hint="eastAsia"/>
          <w:sz w:val="32"/>
          <w:u w:val="single"/>
        </w:rPr>
        <w:t xml:space="preserve">    </w:t>
      </w:r>
      <w:r w:rsidR="006F44ED">
        <w:rPr>
          <w:rFonts w:hint="eastAsia"/>
          <w:sz w:val="32"/>
          <w:u w:val="single"/>
        </w:rPr>
        <w:t>25311081200044</w:t>
      </w:r>
      <w:r>
        <w:rPr>
          <w:rFonts w:ascii="宋体" w:hAnsi="宋体" w:hint="eastAsia"/>
          <w:sz w:val="32"/>
          <w:u w:val="single"/>
        </w:rPr>
        <w:t xml:space="preserve">    </w:t>
      </w:r>
    </w:p>
    <w:p w14:paraId="44E1A971" w14:textId="680843B0"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任课教师</w:t>
      </w:r>
      <w:r>
        <w:rPr>
          <w:rFonts w:ascii="宋体" w:hAnsi="宋体" w:hint="eastAsia"/>
          <w:sz w:val="32"/>
          <w:u w:val="single"/>
        </w:rPr>
        <w:t xml:space="preserve">        </w:t>
      </w:r>
      <w:r w:rsidR="00847CF4">
        <w:rPr>
          <w:rFonts w:ascii="宋体" w:hAnsi="宋体" w:hint="eastAsia"/>
          <w:sz w:val="32"/>
          <w:u w:val="single"/>
        </w:rPr>
        <w:t>李俊韬</w:t>
      </w:r>
      <w:r w:rsidR="006F44ED">
        <w:rPr>
          <w:rFonts w:ascii="宋体" w:hAnsi="宋体" w:hint="eastAsia"/>
          <w:sz w:val="32"/>
          <w:u w:val="single"/>
        </w:rPr>
        <w:t xml:space="preserve">  </w:t>
      </w:r>
      <w:r>
        <w:rPr>
          <w:rFonts w:ascii="宋体" w:hAnsi="宋体" w:hint="eastAsia"/>
          <w:sz w:val="32"/>
          <w:u w:val="single"/>
        </w:rPr>
        <w:t xml:space="preserve"> </w:t>
      </w:r>
      <w:r>
        <w:rPr>
          <w:rFonts w:ascii="楷体_GB2312" w:eastAsia="楷体_GB2312" w:hAnsi="宋体" w:hint="eastAsia"/>
          <w:sz w:val="32"/>
          <w:u w:val="single"/>
        </w:rPr>
        <w:t xml:space="preserve">     </w:t>
      </w:r>
    </w:p>
    <w:p w14:paraId="202E1DB5" w14:textId="77777777" w:rsidR="001C73D2" w:rsidRDefault="001C73D2" w:rsidP="001C73D2">
      <w:pPr>
        <w:spacing w:line="360" w:lineRule="auto"/>
        <w:ind w:firstLineChars="600" w:firstLine="1920"/>
        <w:rPr>
          <w:rFonts w:ascii="宋体" w:hAnsi="宋体" w:hint="eastAsia"/>
          <w:sz w:val="32"/>
          <w:u w:val="single"/>
        </w:rPr>
      </w:pPr>
    </w:p>
    <w:p w14:paraId="266563C2" w14:textId="70AA37E7" w:rsidR="00CE5F91" w:rsidRPr="001C73D2" w:rsidRDefault="001C73D2" w:rsidP="001C73D2">
      <w:pPr>
        <w:spacing w:line="360" w:lineRule="auto"/>
        <w:ind w:firstLineChars="800" w:firstLine="2560"/>
        <w:rPr>
          <w:rFonts w:ascii="宋体" w:hAnsi="宋体" w:hint="eastAsia"/>
          <w:sz w:val="32"/>
        </w:rPr>
        <w:sectPr w:rsidR="00CE5F91" w:rsidRPr="001C73D2" w:rsidSect="004566CA">
          <w:pgSz w:w="11906" w:h="16838" w:code="9"/>
          <w:pgMar w:top="1440" w:right="1797" w:bottom="1440" w:left="1797" w:header="851" w:footer="992" w:gutter="0"/>
          <w:pgNumType w:chapStyle="1"/>
          <w:cols w:space="720"/>
          <w:docGrid w:type="lines" w:linePitch="312"/>
        </w:sectPr>
      </w:pPr>
      <w:r>
        <w:rPr>
          <w:rFonts w:ascii="宋体" w:hAnsi="宋体" w:hint="eastAsia"/>
          <w:sz w:val="32"/>
        </w:rPr>
        <w:t xml:space="preserve"> </w:t>
      </w:r>
      <w:r w:rsidR="00B6327E">
        <w:rPr>
          <w:rFonts w:ascii="宋体" w:hAnsi="宋体" w:hint="eastAsia"/>
          <w:sz w:val="32"/>
        </w:rPr>
        <w:t>2025</w:t>
      </w:r>
      <w:r>
        <w:rPr>
          <w:rFonts w:ascii="宋体" w:hAnsi="宋体" w:hint="eastAsia"/>
          <w:sz w:val="32"/>
        </w:rPr>
        <w:t xml:space="preserve">   年  </w:t>
      </w:r>
      <w:r w:rsidR="00B6327E">
        <w:rPr>
          <w:rFonts w:ascii="宋体" w:hAnsi="宋体" w:hint="eastAsia"/>
          <w:sz w:val="32"/>
        </w:rPr>
        <w:t>12</w:t>
      </w:r>
      <w:r>
        <w:rPr>
          <w:rFonts w:ascii="宋体" w:hAnsi="宋体" w:hint="eastAsia"/>
          <w:sz w:val="32"/>
        </w:rPr>
        <w:t xml:space="preserve">  月  </w:t>
      </w:r>
      <w:r w:rsidR="00B6327E">
        <w:rPr>
          <w:rFonts w:ascii="宋体" w:hAnsi="宋体" w:hint="eastAsia"/>
          <w:sz w:val="32"/>
        </w:rPr>
        <w:t>31</w:t>
      </w:r>
      <w:r>
        <w:rPr>
          <w:rFonts w:ascii="宋体" w:hAnsi="宋体" w:hint="eastAsia"/>
          <w:sz w:val="32"/>
        </w:rPr>
        <w:t xml:space="preserve">  日</w:t>
      </w:r>
    </w:p>
    <w:p w14:paraId="1AB0DA07" w14:textId="46AC4A64" w:rsidR="00C809B3" w:rsidRPr="00C809B3" w:rsidRDefault="00C809B3" w:rsidP="002A319D">
      <w:pPr>
        <w:spacing w:line="400" w:lineRule="exact"/>
        <w:rPr>
          <w:rFonts w:eastAsia="黑体"/>
          <w:b/>
          <w:sz w:val="36"/>
        </w:rPr>
      </w:pPr>
    </w:p>
    <w:p w14:paraId="7E47C7DB" w14:textId="373C0B53" w:rsidR="001C73D2" w:rsidRPr="00B6609F" w:rsidRDefault="00847CF4" w:rsidP="00B6609F">
      <w:pPr>
        <w:spacing w:beforeLines="200" w:before="624" w:after="100" w:afterAutospacing="1" w:line="400" w:lineRule="exact"/>
        <w:jc w:val="center"/>
        <w:rPr>
          <w:rFonts w:eastAsia="黑体"/>
          <w:bCs/>
          <w:sz w:val="36"/>
          <w:szCs w:val="36"/>
        </w:rPr>
      </w:pPr>
      <w:r w:rsidRPr="00847CF4">
        <w:rPr>
          <w:rFonts w:eastAsia="黑体" w:hint="eastAsia"/>
          <w:bCs/>
          <w:sz w:val="36"/>
          <w:szCs w:val="36"/>
        </w:rPr>
        <w:t>智能仓储自动化技术在电商物流中心管理过程中的应用案例分析——以京东物流“亚洲一号”</w:t>
      </w:r>
      <w:r>
        <w:rPr>
          <w:rFonts w:eastAsia="黑体" w:hint="eastAsia"/>
          <w:bCs/>
          <w:sz w:val="36"/>
          <w:szCs w:val="36"/>
        </w:rPr>
        <w:t>为例</w:t>
      </w:r>
    </w:p>
    <w:p w14:paraId="26DD8A08" w14:textId="28ED2984" w:rsidR="00842767" w:rsidRDefault="00847CF4" w:rsidP="007F1452">
      <w:pPr>
        <w:pStyle w:val="a"/>
        <w:numPr>
          <w:ilvl w:val="0"/>
          <w:numId w:val="0"/>
        </w:numPr>
        <w:ind w:left="643"/>
      </w:pPr>
      <w:r w:rsidRPr="00847CF4">
        <w:rPr>
          <w:rFonts w:hint="eastAsia"/>
        </w:rPr>
        <w:t>摘要：</w:t>
      </w:r>
    </w:p>
    <w:p w14:paraId="1C051B0B" w14:textId="2EF13BC1" w:rsidR="001C73D2" w:rsidRPr="00842767" w:rsidRDefault="00847CF4" w:rsidP="00B6609F">
      <w:pPr>
        <w:pStyle w:val="ac"/>
        <w:rPr>
          <w:rStyle w:val="Char0"/>
          <w:rFonts w:hint="eastAsia"/>
          <w:b w:val="0"/>
          <w:bCs w:val="0"/>
          <w:color w:val="auto"/>
        </w:rPr>
      </w:pPr>
      <w:r w:rsidRPr="00847CF4">
        <w:rPr>
          <w:rFonts w:hint="eastAsia"/>
        </w:rPr>
        <w:t>在电商与即时配送需求驱动下，物流中心呈现SKU规模大、订单波动强、作业节拍高与人员组织复杂等特征，传统“人找货”的仓储模式难以在峰值期间同时兼顾效率、准确率与成本控制。智能仓储自动化技术通过WMS/WCS等软件系统与自动化立库、输送分拣、AGV/AMR、机器视觉与数据智能算法的深度融合，实现“货到人”“货到站”的作业范式，形成从入库、上架、拣选、复核、分拣到出库的全流程数字化闭环。本文在界定智能仓储自动化技术体系与工作机理的基础上，梳理国内外应用现状与典型实践，以京东物流“亚洲一号”智能物流园区为案例，从业务痛点、系统架构、关键装备与运营优化三个层面展开分析，并提出面向企业落地的分阶段改造、数据治理、系统集成、安全与组织能力建设等建议，以期为电商与第三方物流企业推进仓储数智化升级提供参考</w:t>
      </w:r>
      <w:r w:rsidR="00B6609F">
        <w:rPr>
          <w:rFonts w:hint="eastAsia"/>
        </w:rPr>
        <w:t>。</w:t>
      </w:r>
    </w:p>
    <w:p w14:paraId="1203795A" w14:textId="4B50474B" w:rsidR="007F1452" w:rsidRDefault="001C73D2" w:rsidP="007F1452">
      <w:pPr>
        <w:spacing w:line="400" w:lineRule="exact"/>
        <w:ind w:firstLineChars="200" w:firstLine="562"/>
        <w:rPr>
          <w:rFonts w:ascii="宋体" w:hAnsi="宋体"/>
          <w:sz w:val="24"/>
        </w:rPr>
      </w:pPr>
      <w:bookmarkStart w:id="0" w:name="_Toc214818471"/>
      <w:r>
        <w:rPr>
          <w:rStyle w:val="Char0"/>
          <w:rFonts w:hint="eastAsia"/>
          <w:color w:val="000000"/>
          <w:sz w:val="28"/>
          <w:szCs w:val="28"/>
        </w:rPr>
        <w:t>关键词</w:t>
      </w:r>
      <w:bookmarkEnd w:id="0"/>
      <w:r>
        <w:rPr>
          <w:rFonts w:ascii="黑体" w:eastAsia="黑体" w:hAnsi="宋体" w:hint="eastAsia"/>
          <w:sz w:val="24"/>
        </w:rPr>
        <w:t>：</w:t>
      </w:r>
      <w:r w:rsidR="00847CF4" w:rsidRPr="00847CF4">
        <w:rPr>
          <w:rFonts w:ascii="宋体" w:hAnsi="宋体" w:hint="eastAsia"/>
          <w:sz w:val="24"/>
        </w:rPr>
        <w:t>智能仓储；自动化；WMS；WCS；AGV/AMR；电商物流</w:t>
      </w:r>
      <w:r>
        <w:rPr>
          <w:rFonts w:ascii="宋体" w:hAnsi="宋体" w:hint="eastAsia"/>
          <w:sz w:val="24"/>
        </w:rPr>
        <w:t>；</w:t>
      </w:r>
    </w:p>
    <w:p w14:paraId="3DDD40AC" w14:textId="4DC80468" w:rsidR="007F1452" w:rsidRPr="007F1452" w:rsidRDefault="007F1452" w:rsidP="007F1452">
      <w:pPr>
        <w:pStyle w:val="a"/>
        <w:numPr>
          <w:ilvl w:val="0"/>
          <w:numId w:val="0"/>
        </w:numPr>
        <w:ind w:left="643"/>
        <w:rPr>
          <w:rFonts w:hint="eastAsia"/>
        </w:rPr>
      </w:pPr>
      <w:r>
        <w:rPr>
          <w:rFonts w:hint="eastAsia"/>
        </w:rPr>
        <w:t>Abstract</w:t>
      </w:r>
      <w:r w:rsidRPr="00847CF4">
        <w:rPr>
          <w:rFonts w:hint="eastAsia"/>
        </w:rPr>
        <w:t>：</w:t>
      </w:r>
    </w:p>
    <w:p w14:paraId="64F233D6" w14:textId="77777777" w:rsidR="00847CF4" w:rsidRDefault="00847CF4" w:rsidP="00847CF4">
      <w:pPr>
        <w:pStyle w:val="ac"/>
      </w:pPr>
      <w:r>
        <w:t xml:space="preserve">Driven by e-commerce and on-demand delivery, distribution centers face a growing number of SKUs, high order volatility, and stringent lead-time requirements. Conventional “person-to-goods” operations struggle to balance throughput, accuracy, and cost, especially during peak seasons. Smart warehouse automation integrates software platforms such as WMS and WCS with automated storage and retrieval systems, conveying and sorting lines, AGV/AMR fleets, computer vision, and data-driven algorithms to enable “goods-to-person” operations and a closed-loop digital workflow from inbound to outbound. This paper defines the technical architecture and working mechanism of smart warehouse automation, reviews global and domestic adoption trends, and conducts a case analysis of JD Logistics’ Asia No.1 smart logistics park. Based on the findings, the paper proposes implementation </w:t>
      </w:r>
      <w:r>
        <w:lastRenderedPageBreak/>
        <w:t>recommendations including phased investment planning, data governance, system integration, safety, and organizational capability building.</w:t>
      </w:r>
    </w:p>
    <w:p w14:paraId="4C8613C4" w14:textId="3A1B1BD3" w:rsidR="0011048D" w:rsidRDefault="00847CF4" w:rsidP="007F1452">
      <w:pPr>
        <w:pStyle w:val="ac"/>
        <w:ind w:firstLine="562"/>
      </w:pPr>
      <w:r w:rsidRPr="00847CF4">
        <w:rPr>
          <w:b/>
          <w:bCs/>
          <w:sz w:val="28"/>
          <w:szCs w:val="28"/>
        </w:rPr>
        <w:t>Key words</w:t>
      </w:r>
      <w:r w:rsidRPr="00847CF4">
        <w:rPr>
          <w:sz w:val="28"/>
          <w:szCs w:val="28"/>
        </w:rPr>
        <w:t>:</w:t>
      </w:r>
      <w:r>
        <w:t xml:space="preserve"> smart warehousing; automation; WMS; WCS; AGV/AMR; </w:t>
      </w:r>
    </w:p>
    <w:p w14:paraId="66EAF49C" w14:textId="32A6C5D4" w:rsidR="00847CF4" w:rsidRDefault="00847CF4" w:rsidP="00847CF4">
      <w:pPr>
        <w:pStyle w:val="a"/>
        <w:rPr>
          <w:rFonts w:hint="eastAsia"/>
        </w:rPr>
      </w:pPr>
      <w:r>
        <w:rPr>
          <w:rFonts w:hint="eastAsia"/>
        </w:rPr>
        <w:t>智能仓储自动化技术</w:t>
      </w:r>
    </w:p>
    <w:p w14:paraId="5EB6EBEC" w14:textId="54D69709" w:rsidR="00847CF4" w:rsidRDefault="00847CF4" w:rsidP="00847CF4">
      <w:pPr>
        <w:pStyle w:val="a1"/>
        <w:rPr>
          <w:rFonts w:hint="eastAsia"/>
        </w:rPr>
      </w:pPr>
      <w:r>
        <w:rPr>
          <w:rFonts w:hint="eastAsia"/>
        </w:rPr>
        <w:t>技术内涵与目标</w:t>
      </w:r>
    </w:p>
    <w:p w14:paraId="2A85A21D" w14:textId="77777777" w:rsidR="00847CF4" w:rsidRDefault="00847CF4" w:rsidP="00847CF4">
      <w:pPr>
        <w:pStyle w:val="ac"/>
        <w:rPr>
          <w:rFonts w:hint="eastAsia"/>
        </w:rPr>
      </w:pPr>
      <w:r>
        <w:rPr>
          <w:rFonts w:hint="eastAsia"/>
        </w:rPr>
        <w:t>智能仓储自动化技术是以业务系统（订单、库存、计费等）为牵引，以仓储管理系统（WMS）与仓库控制系统（WCS）为核心，通过自动化装备与算法调度实现仓内作业的数字化、自动化与智能化。WMS用于支撑“仓内业务规则与库存控制”（如入库、库位、拣选策略等）</w:t>
      </w:r>
      <w:r w:rsidRPr="00847CF4">
        <w:rPr>
          <w:rFonts w:hint="eastAsia"/>
          <w:vertAlign w:val="superscript"/>
        </w:rPr>
        <w:t>[1]</w:t>
      </w:r>
      <w:r>
        <w:rPr>
          <w:rFonts w:hint="eastAsia"/>
        </w:rPr>
        <w:t>；WCS用于对输送、分拣、堆垛、机器人等物料搬运设备进行实时控制与任务路由</w:t>
      </w:r>
      <w:r w:rsidRPr="00847CF4">
        <w:rPr>
          <w:rFonts w:hint="eastAsia"/>
          <w:vertAlign w:val="superscript"/>
        </w:rPr>
        <w:t>[2]</w:t>
      </w:r>
      <w:r>
        <w:rPr>
          <w:rFonts w:hint="eastAsia"/>
        </w:rPr>
        <w:t>。其核心目标包括：1）提升吞吐与作业稳定性；2）降低差错率与损耗；3）降低单位订单的人力与场地成本；4）增强对峰值需求与多场景业务的弹性适配能力。</w:t>
      </w:r>
    </w:p>
    <w:p w14:paraId="63A90328" w14:textId="07699F87" w:rsidR="00847CF4" w:rsidRDefault="00847CF4" w:rsidP="00847CF4">
      <w:pPr>
        <w:pStyle w:val="a1"/>
        <w:rPr>
          <w:rFonts w:hint="eastAsia"/>
        </w:rPr>
      </w:pPr>
      <w:r>
        <w:rPr>
          <w:rFonts w:hint="eastAsia"/>
        </w:rPr>
        <w:t>系统组成</w:t>
      </w:r>
    </w:p>
    <w:p w14:paraId="65EB0074" w14:textId="77777777" w:rsidR="00847CF4" w:rsidRDefault="00847CF4" w:rsidP="00847CF4">
      <w:pPr>
        <w:pStyle w:val="ac"/>
        <w:rPr>
          <w:rFonts w:hint="eastAsia"/>
        </w:rPr>
      </w:pPr>
      <w:r>
        <w:rPr>
          <w:rFonts w:hint="eastAsia"/>
        </w:rPr>
        <w:t>典型智能仓储自动化系统可分为四层：</w:t>
      </w:r>
    </w:p>
    <w:p w14:paraId="037D43B4" w14:textId="77777777" w:rsidR="00847CF4" w:rsidRDefault="00847CF4" w:rsidP="00847CF4">
      <w:pPr>
        <w:pStyle w:val="ac"/>
        <w:rPr>
          <w:rFonts w:hint="eastAsia"/>
        </w:rPr>
      </w:pPr>
      <w:r>
        <w:rPr>
          <w:rFonts w:hint="eastAsia"/>
        </w:rPr>
        <w:t>1）业务层：ERP/OMS/TMS等，负责订单来源、客户规则与运输协同。</w:t>
      </w:r>
    </w:p>
    <w:p w14:paraId="779AF088" w14:textId="77777777" w:rsidR="00847CF4" w:rsidRDefault="00847CF4" w:rsidP="00847CF4">
      <w:pPr>
        <w:pStyle w:val="ac"/>
        <w:rPr>
          <w:rFonts w:hint="eastAsia"/>
        </w:rPr>
      </w:pPr>
      <w:r>
        <w:rPr>
          <w:rFonts w:hint="eastAsia"/>
        </w:rPr>
        <w:t>2）管理层：WMS负责库存主数据、库位与作业策略、波次/任务分配、绩效与报表等。</w:t>
      </w:r>
    </w:p>
    <w:p w14:paraId="0E0A8EB1" w14:textId="77777777" w:rsidR="00847CF4" w:rsidRDefault="00847CF4" w:rsidP="00847CF4">
      <w:pPr>
        <w:pStyle w:val="ac"/>
        <w:rPr>
          <w:rFonts w:hint="eastAsia"/>
        </w:rPr>
      </w:pPr>
      <w:r>
        <w:rPr>
          <w:rFonts w:hint="eastAsia"/>
        </w:rPr>
        <w:t>3）控制层：WCS对输送线、分拣机、堆垛机、提升机、机器人等设备进行实时调度与任务分解，承担现场“实时控制与路由”。</w:t>
      </w:r>
    </w:p>
    <w:p w14:paraId="4610C463" w14:textId="77777777" w:rsidR="00847CF4" w:rsidRDefault="00847CF4" w:rsidP="00847CF4">
      <w:pPr>
        <w:pStyle w:val="ac"/>
        <w:rPr>
          <w:rFonts w:hint="eastAsia"/>
        </w:rPr>
      </w:pPr>
      <w:r>
        <w:rPr>
          <w:rFonts w:hint="eastAsia"/>
        </w:rPr>
        <w:t>4）执行层：自动化立库（AS/RS）、输送与分拣系统、AGV/AMR、机械臂、RF/视觉识别与PLC等具体装备与控制器。</w:t>
      </w:r>
    </w:p>
    <w:p w14:paraId="0C4AEAA0" w14:textId="35E7F5C6" w:rsidR="00847CF4" w:rsidRDefault="00847CF4" w:rsidP="00847CF4">
      <w:pPr>
        <w:pStyle w:val="a1"/>
        <w:rPr>
          <w:rFonts w:hint="eastAsia"/>
        </w:rPr>
      </w:pPr>
      <w:r>
        <w:rPr>
          <w:rFonts w:hint="eastAsia"/>
        </w:rPr>
        <w:t>工作机理与关键技术</w:t>
      </w:r>
    </w:p>
    <w:p w14:paraId="3117BBBE" w14:textId="77777777" w:rsidR="00847CF4" w:rsidRDefault="00847CF4" w:rsidP="00847CF4">
      <w:pPr>
        <w:pStyle w:val="ac"/>
        <w:rPr>
          <w:rFonts w:hint="eastAsia"/>
        </w:rPr>
      </w:pPr>
      <w:r>
        <w:rPr>
          <w:rFonts w:hint="eastAsia"/>
        </w:rPr>
        <w:t>在“入库—上架—拣选—复核—分拣—出库”流程中，WMS形成作业计划与任务池，WCS根据实时拥堵、设备状态与优先级进行任务拆分、路由决策与节拍控制；AGV/AMR与输送分拣系统执行物理搬运；视觉/条码/RFID等完成识别与校验；数据中台对作业日志、设备遥测与订单数据进行汇聚，用于库位优化（slotting）、波次策略、预测性维护与人机协同优化等。</w:t>
      </w:r>
    </w:p>
    <w:p w14:paraId="768A23AA" w14:textId="20D71E27" w:rsidR="00847CF4" w:rsidRDefault="00847CF4" w:rsidP="00847CF4">
      <w:pPr>
        <w:pStyle w:val="a"/>
        <w:rPr>
          <w:rFonts w:hint="eastAsia"/>
        </w:rPr>
      </w:pPr>
      <w:r>
        <w:rPr>
          <w:rFonts w:hint="eastAsia"/>
        </w:rPr>
        <w:lastRenderedPageBreak/>
        <w:t>智能仓储自动化技术的应用现状</w:t>
      </w:r>
    </w:p>
    <w:p w14:paraId="2C872114" w14:textId="3E791AEB" w:rsidR="00847CF4" w:rsidRDefault="00847CF4" w:rsidP="00847CF4">
      <w:pPr>
        <w:pStyle w:val="a1"/>
        <w:numPr>
          <w:ilvl w:val="0"/>
          <w:numId w:val="13"/>
        </w:numPr>
        <w:ind w:firstLine="562"/>
        <w:rPr>
          <w:rFonts w:hint="eastAsia"/>
        </w:rPr>
      </w:pPr>
      <w:r>
        <w:rPr>
          <w:rFonts w:hint="eastAsia"/>
        </w:rPr>
        <w:t>国外应用概况</w:t>
      </w:r>
    </w:p>
    <w:p w14:paraId="570CBA88" w14:textId="77777777" w:rsidR="00847CF4" w:rsidRDefault="00847CF4" w:rsidP="00847CF4">
      <w:pPr>
        <w:pStyle w:val="ac"/>
        <w:rPr>
          <w:rFonts w:hint="eastAsia"/>
        </w:rPr>
      </w:pPr>
      <w:r>
        <w:rPr>
          <w:rFonts w:hint="eastAsia"/>
        </w:rPr>
        <w:t>国际领先实践主要体现在“货到人”拣选、机器人集群调度与软件平台化方面。例如，亚马逊在2012年宣布收购Kiva Systems以获取其物料搬运机器人技术</w:t>
      </w:r>
      <w:r w:rsidRPr="00847CF4">
        <w:rPr>
          <w:rFonts w:hint="eastAsia"/>
          <w:vertAlign w:val="superscript"/>
        </w:rPr>
        <w:t>[3]</w:t>
      </w:r>
      <w:r>
        <w:rPr>
          <w:rFonts w:hint="eastAsia"/>
        </w:rPr>
        <w:t>；生鲜电商履约领域，Ocado提出以3D网格与机器人群为核心的“The Hive”系统，并使用AI“空中交通管制”式调度与机器人高频通信以保障效率与安全</w:t>
      </w:r>
      <w:r w:rsidRPr="00847CF4">
        <w:rPr>
          <w:rFonts w:hint="eastAsia"/>
          <w:vertAlign w:val="superscript"/>
        </w:rPr>
        <w:t>[4]</w:t>
      </w:r>
      <w:r>
        <w:rPr>
          <w:rFonts w:hint="eastAsia"/>
        </w:rPr>
        <w:t>。在第三方物流领域，DHL供应链在公开案例中披露其Goods-to-Person Robotics系统（13台机器人、5个工位、510个货架），并与WMS集成实现快速数据交互</w:t>
      </w:r>
      <w:r w:rsidRPr="00847CF4">
        <w:rPr>
          <w:rFonts w:hint="eastAsia"/>
          <w:vertAlign w:val="superscript"/>
        </w:rPr>
        <w:t>[5]</w:t>
      </w:r>
      <w:r>
        <w:rPr>
          <w:rFonts w:hint="eastAsia"/>
        </w:rPr>
        <w:t>。</w:t>
      </w:r>
    </w:p>
    <w:p w14:paraId="1E5CCB13" w14:textId="50BA35DB" w:rsidR="00847CF4" w:rsidRDefault="00847CF4" w:rsidP="00847CF4">
      <w:pPr>
        <w:pStyle w:val="a1"/>
        <w:rPr>
          <w:rFonts w:hint="eastAsia"/>
        </w:rPr>
      </w:pPr>
      <w:r>
        <w:rPr>
          <w:rFonts w:hint="eastAsia"/>
        </w:rPr>
        <w:t>国内应用概况</w:t>
      </w:r>
    </w:p>
    <w:p w14:paraId="68E75F4F" w14:textId="77777777" w:rsidR="00847CF4" w:rsidRDefault="00847CF4" w:rsidP="00847CF4">
      <w:pPr>
        <w:pStyle w:val="ac"/>
        <w:rPr>
          <w:rFonts w:hint="eastAsia"/>
        </w:rPr>
      </w:pPr>
      <w:r>
        <w:rPr>
          <w:rFonts w:hint="eastAsia"/>
        </w:rPr>
        <w:t>国内电商、快递与制造业物流在近年集中推进“自动化+数字化”改造。除自建物流体系外，平台型企业与系统集成商开始提供面向园区与仓库的WMS、自动化设备与可视化运营平台，并探索数字孪生智慧园区等能力在园区层面的应用，以支撑跨仓协同与全球化履约网络建设</w:t>
      </w:r>
      <w:r w:rsidRPr="00847CF4">
        <w:rPr>
          <w:rFonts w:hint="eastAsia"/>
          <w:vertAlign w:val="superscript"/>
        </w:rPr>
        <w:t>[6]</w:t>
      </w:r>
      <w:r>
        <w:rPr>
          <w:rFonts w:hint="eastAsia"/>
        </w:rPr>
        <w:t>。</w:t>
      </w:r>
    </w:p>
    <w:p w14:paraId="0F403783" w14:textId="0DB6FF06" w:rsidR="00847CF4" w:rsidRDefault="00847CF4" w:rsidP="00847CF4">
      <w:pPr>
        <w:pStyle w:val="a"/>
        <w:rPr>
          <w:rFonts w:hint="eastAsia"/>
        </w:rPr>
      </w:pPr>
      <w:r>
        <w:rPr>
          <w:rFonts w:hint="eastAsia"/>
        </w:rPr>
        <w:t>京东物流“亚洲一号”智能仓储应用案例分析</w:t>
      </w:r>
    </w:p>
    <w:p w14:paraId="2D9E5FF4" w14:textId="030818C9" w:rsidR="00847CF4" w:rsidRDefault="00847CF4" w:rsidP="00847CF4">
      <w:pPr>
        <w:pStyle w:val="a1"/>
        <w:numPr>
          <w:ilvl w:val="0"/>
          <w:numId w:val="14"/>
        </w:numPr>
        <w:ind w:firstLine="562"/>
        <w:rPr>
          <w:rFonts w:hint="eastAsia"/>
        </w:rPr>
      </w:pPr>
      <w:r>
        <w:rPr>
          <w:rFonts w:hint="eastAsia"/>
        </w:rPr>
        <w:t>业务背景与仓储痛点</w:t>
      </w:r>
    </w:p>
    <w:p w14:paraId="2FD3D26F" w14:textId="77777777" w:rsidR="00847CF4" w:rsidRDefault="00847CF4" w:rsidP="00847CF4">
      <w:pPr>
        <w:pStyle w:val="ac"/>
        <w:rPr>
          <w:rFonts w:hint="eastAsia"/>
        </w:rPr>
      </w:pPr>
      <w:r>
        <w:rPr>
          <w:rFonts w:hint="eastAsia"/>
        </w:rPr>
        <w:t>电商履约对“时效、准确、成本”提出刚性要求，典型痛点包括：1）SKU多且周转差异大，导致库位与拣选路径难以长期稳定；2）大促期间订单激增，人工扩容存在招聘、培训与组织成本；3）多业态（B2C/B2B/逆向）并存，规则复杂、差错成本高；4）设备与系统异构，若缺乏统一调度与数据闭环，易形成局部自动化但整体效率受限。</w:t>
      </w:r>
    </w:p>
    <w:p w14:paraId="6C3CA80A" w14:textId="7C432CDC" w:rsidR="00847CF4" w:rsidRDefault="00847CF4" w:rsidP="00847CF4">
      <w:pPr>
        <w:pStyle w:val="a1"/>
        <w:rPr>
          <w:rFonts w:hint="eastAsia"/>
        </w:rPr>
      </w:pPr>
      <w:r>
        <w:rPr>
          <w:rFonts w:hint="eastAsia"/>
        </w:rPr>
        <w:t>技术应用框架</w:t>
      </w:r>
    </w:p>
    <w:p w14:paraId="6E077EEB" w14:textId="58B9C0ED" w:rsidR="00847CF4" w:rsidRDefault="00847CF4" w:rsidP="00847CF4">
      <w:pPr>
        <w:pStyle w:val="a0"/>
        <w:rPr>
          <w:rFonts w:hint="eastAsia"/>
        </w:rPr>
      </w:pPr>
      <w:r>
        <w:rPr>
          <w:rFonts w:hint="eastAsia"/>
        </w:rPr>
        <w:t>全链路系统架构</w:t>
      </w:r>
    </w:p>
    <w:p w14:paraId="309CDDCE" w14:textId="77777777" w:rsidR="00847CF4" w:rsidRDefault="00847CF4" w:rsidP="00847CF4">
      <w:pPr>
        <w:pStyle w:val="ac"/>
        <w:rPr>
          <w:rFonts w:hint="eastAsia"/>
        </w:rPr>
      </w:pPr>
      <w:r>
        <w:rPr>
          <w:rFonts w:hint="eastAsia"/>
        </w:rPr>
        <w:t>园区以OMS/WMS作为计划与库存主控，WCS承接现场实时控制，将订单履约拆解为可执行任务并分配到各类自动化设备；同时通过统一的数据采集与监控体系，实现任务状态回传、异常告警与运营看板。</w:t>
      </w:r>
    </w:p>
    <w:p w14:paraId="0CF5F8FD" w14:textId="4124641E" w:rsidR="00847CF4" w:rsidRDefault="00847CF4" w:rsidP="00847CF4">
      <w:pPr>
        <w:pStyle w:val="a0"/>
        <w:rPr>
          <w:rFonts w:hint="eastAsia"/>
        </w:rPr>
      </w:pPr>
      <w:r>
        <w:rPr>
          <w:rFonts w:hint="eastAsia"/>
        </w:rPr>
        <w:lastRenderedPageBreak/>
        <w:t>关键装备与作业场景</w:t>
      </w:r>
    </w:p>
    <w:p w14:paraId="535DAA85" w14:textId="77777777" w:rsidR="00847CF4" w:rsidRDefault="00847CF4" w:rsidP="00847CF4">
      <w:pPr>
        <w:pStyle w:val="ac"/>
        <w:rPr>
          <w:rFonts w:hint="eastAsia"/>
        </w:rPr>
      </w:pPr>
      <w:r>
        <w:rPr>
          <w:rFonts w:hint="eastAsia"/>
        </w:rPr>
        <w:t>公开报道显示，“亚洲一号”相关园区在分拣环节配置了规模化自动化能力，例如昆山“亚洲一号”自动分拣中心拥有80余条自动分拣线、约1万台智能分拣机器人，分拣准确率可达99.99%，日均分拣能力超过450万件</w:t>
      </w:r>
      <w:r w:rsidRPr="00847CF4">
        <w:rPr>
          <w:rFonts w:hint="eastAsia"/>
          <w:vertAlign w:val="superscript"/>
        </w:rPr>
        <w:t>[7]</w:t>
      </w:r>
      <w:r>
        <w:rPr>
          <w:rFonts w:hint="eastAsia"/>
        </w:rPr>
        <w:t>。这类配置通过自动识别与路径规划完成包裹分流，并在峰值期间通过波次与产能动态调整实现稳定吞吐。</w:t>
      </w:r>
    </w:p>
    <w:p w14:paraId="4B639B63" w14:textId="232481C5" w:rsidR="00847CF4" w:rsidRDefault="00847CF4" w:rsidP="00847CF4">
      <w:pPr>
        <w:pStyle w:val="a0"/>
        <w:rPr>
          <w:rFonts w:hint="eastAsia"/>
        </w:rPr>
      </w:pPr>
      <w:r>
        <w:rPr>
          <w:rFonts w:hint="eastAsia"/>
        </w:rPr>
        <w:t>运营优化与成效口径</w:t>
      </w:r>
    </w:p>
    <w:p w14:paraId="474D1475" w14:textId="77777777" w:rsidR="00847CF4" w:rsidRDefault="00847CF4" w:rsidP="00847CF4">
      <w:pPr>
        <w:pStyle w:val="ac"/>
        <w:rPr>
          <w:rFonts w:hint="eastAsia"/>
        </w:rPr>
      </w:pPr>
      <w:r>
        <w:rPr>
          <w:rFonts w:hint="eastAsia"/>
        </w:rPr>
        <w:t>在仓储自动化升级的收益口径方面，京东物流在其智能仓储解决方案介绍中披露，典型项目可实现运营效率提升250%、人力成本降低60%（具体成效受业务结构与自动化深度影响）</w:t>
      </w:r>
      <w:r w:rsidRPr="00847CF4">
        <w:rPr>
          <w:rFonts w:hint="eastAsia"/>
          <w:vertAlign w:val="superscript"/>
        </w:rPr>
        <w:t>[8]</w:t>
      </w:r>
      <w:r>
        <w:rPr>
          <w:rFonts w:hint="eastAsia"/>
        </w:rPr>
        <w:t>。因此，企业在复制先进实践时，应通过试点仓的“订单结构—设备产能—人机协同”数据验证，形成可持续迭代的运营机制。</w:t>
      </w:r>
    </w:p>
    <w:p w14:paraId="7316B121" w14:textId="63C3D849" w:rsidR="00847CF4" w:rsidRDefault="00847CF4" w:rsidP="00847CF4">
      <w:pPr>
        <w:pStyle w:val="a1"/>
        <w:rPr>
          <w:rFonts w:hint="eastAsia"/>
        </w:rPr>
      </w:pPr>
      <w:r>
        <w:rPr>
          <w:rFonts w:hint="eastAsia"/>
        </w:rPr>
        <w:t>关键问题与实施建议</w:t>
      </w:r>
    </w:p>
    <w:p w14:paraId="48963D04" w14:textId="77777777" w:rsidR="00847CF4" w:rsidRDefault="00847CF4" w:rsidP="00847CF4">
      <w:pPr>
        <w:pStyle w:val="ac"/>
        <w:rPr>
          <w:rFonts w:hint="eastAsia"/>
        </w:rPr>
      </w:pPr>
      <w:r>
        <w:rPr>
          <w:rFonts w:hint="eastAsia"/>
        </w:rPr>
        <w:t>1、投资决策：以“业务价值链”与“瓶颈工序”为导向，先解决峰值产能、差错与人力强度最高的环节，采用分阶段、可复用的模块化改造。</w:t>
      </w:r>
    </w:p>
    <w:p w14:paraId="46AFB05F" w14:textId="77777777" w:rsidR="00847CF4" w:rsidRDefault="00847CF4" w:rsidP="00847CF4">
      <w:pPr>
        <w:pStyle w:val="ac"/>
        <w:rPr>
          <w:rFonts w:hint="eastAsia"/>
        </w:rPr>
      </w:pPr>
      <w:r>
        <w:rPr>
          <w:rFonts w:hint="eastAsia"/>
        </w:rPr>
        <w:t>2、系统集成：统一主数据与接口规范（订单、库存、任务、设备状态），以事件驱动方式实现WMS/WCS/设备的状态闭环与可追溯。</w:t>
      </w:r>
    </w:p>
    <w:p w14:paraId="5D0E1842" w14:textId="77777777" w:rsidR="00847CF4" w:rsidRDefault="00847CF4" w:rsidP="00847CF4">
      <w:pPr>
        <w:pStyle w:val="ac"/>
        <w:rPr>
          <w:rFonts w:hint="eastAsia"/>
        </w:rPr>
      </w:pPr>
      <w:r>
        <w:rPr>
          <w:rFonts w:hint="eastAsia"/>
        </w:rPr>
        <w:t>3、算法与运营协同：将库位优化、波次策略、路由与拥堵控制纳入持续优化机制，避免“上系统不改流程”。</w:t>
      </w:r>
    </w:p>
    <w:p w14:paraId="00C57D76" w14:textId="77777777" w:rsidR="00847CF4" w:rsidRDefault="00847CF4" w:rsidP="00847CF4">
      <w:pPr>
        <w:pStyle w:val="ac"/>
        <w:rPr>
          <w:rFonts w:hint="eastAsia"/>
        </w:rPr>
      </w:pPr>
      <w:r>
        <w:rPr>
          <w:rFonts w:hint="eastAsia"/>
        </w:rPr>
        <w:t>4、安全与可靠性：建立设备冗余、异常降级与应急预案；对机器人、输送分拣等高风险区域设置人机隔离与安全互锁。</w:t>
      </w:r>
    </w:p>
    <w:p w14:paraId="24D68BD3" w14:textId="0F8389B6" w:rsidR="00847CF4" w:rsidRDefault="00847CF4" w:rsidP="00847CF4">
      <w:pPr>
        <w:pStyle w:val="ac"/>
      </w:pPr>
      <w:r>
        <w:rPr>
          <w:rFonts w:hint="eastAsia"/>
        </w:rPr>
        <w:t>5、组织与人才：推动IT、工程、运营协同治理，建设运维与数据分析岗位，形成从项目交付到持续运营的闭环能力。</w:t>
      </w:r>
    </w:p>
    <w:p w14:paraId="292A3E26" w14:textId="549EF505" w:rsidR="007F1452" w:rsidRDefault="007F1452">
      <w:pPr>
        <w:widowControl/>
        <w:jc w:val="left"/>
        <w:rPr>
          <w:rFonts w:ascii="宋体" w:hAnsi="宋体" w:hint="eastAsia"/>
          <w:sz w:val="24"/>
        </w:rPr>
      </w:pPr>
      <w:r>
        <w:rPr>
          <w:rFonts w:hint="eastAsia"/>
        </w:rPr>
        <w:br w:type="page"/>
      </w:r>
    </w:p>
    <w:p w14:paraId="712AAA03" w14:textId="77777777" w:rsidR="007F1452" w:rsidRDefault="007F1452" w:rsidP="00847CF4">
      <w:pPr>
        <w:pStyle w:val="ac"/>
        <w:rPr>
          <w:rFonts w:hint="eastAsia"/>
        </w:rPr>
      </w:pPr>
    </w:p>
    <w:p w14:paraId="55BED0DD" w14:textId="430CF4C5" w:rsidR="00847CF4" w:rsidRPr="00847CF4" w:rsidRDefault="00847CF4" w:rsidP="00847CF4">
      <w:pPr>
        <w:pStyle w:val="ac"/>
        <w:ind w:firstLine="422"/>
        <w:rPr>
          <w:rFonts w:hint="eastAsia"/>
          <w:b/>
          <w:bCs/>
          <w:sz w:val="21"/>
          <w:szCs w:val="21"/>
        </w:rPr>
      </w:pPr>
      <w:r w:rsidRPr="00847CF4">
        <w:rPr>
          <w:rFonts w:hint="eastAsia"/>
          <w:b/>
          <w:bCs/>
          <w:sz w:val="21"/>
          <w:szCs w:val="21"/>
        </w:rPr>
        <w:t>表1  不同业务场景的自动化改造优先级建议</w:t>
      </w:r>
    </w:p>
    <w:tbl>
      <w:tblPr>
        <w:tblStyle w:val="a7"/>
        <w:tblW w:w="0" w:type="auto"/>
        <w:tblLook w:val="04A0" w:firstRow="1" w:lastRow="0" w:firstColumn="1" w:lastColumn="0" w:noHBand="0" w:noVBand="1"/>
      </w:tblPr>
      <w:tblGrid>
        <w:gridCol w:w="1661"/>
        <w:gridCol w:w="1661"/>
        <w:gridCol w:w="1660"/>
        <w:gridCol w:w="1660"/>
        <w:gridCol w:w="1660"/>
      </w:tblGrid>
      <w:tr w:rsidR="007F1452" w14:paraId="6CC443B9" w14:textId="77777777" w:rsidTr="00EF2B1A">
        <w:tc>
          <w:tcPr>
            <w:tcW w:w="1768" w:type="dxa"/>
          </w:tcPr>
          <w:p w14:paraId="699D21AC" w14:textId="77777777" w:rsidR="007F1452" w:rsidRDefault="007F1452" w:rsidP="00EF2B1A">
            <w:pPr>
              <w:ind w:firstLine="504"/>
            </w:pPr>
            <w:r>
              <w:t>场景</w:t>
            </w:r>
            <w:r>
              <w:t>/</w:t>
            </w:r>
            <w:r>
              <w:t>品类特征</w:t>
            </w:r>
          </w:p>
        </w:tc>
        <w:tc>
          <w:tcPr>
            <w:tcW w:w="1768" w:type="dxa"/>
          </w:tcPr>
          <w:p w14:paraId="4C21B3C4" w14:textId="77777777" w:rsidR="007F1452" w:rsidRDefault="007F1452" w:rsidP="00EF2B1A">
            <w:pPr>
              <w:ind w:firstLine="504"/>
            </w:pPr>
            <w:r>
              <w:t>订单波动</w:t>
            </w:r>
          </w:p>
        </w:tc>
        <w:tc>
          <w:tcPr>
            <w:tcW w:w="1768" w:type="dxa"/>
          </w:tcPr>
          <w:p w14:paraId="43FA3421" w14:textId="77777777" w:rsidR="007F1452" w:rsidRDefault="007F1452" w:rsidP="00EF2B1A">
            <w:pPr>
              <w:ind w:firstLine="504"/>
            </w:pPr>
            <w:r>
              <w:t>差错成本</w:t>
            </w:r>
          </w:p>
        </w:tc>
        <w:tc>
          <w:tcPr>
            <w:tcW w:w="1768" w:type="dxa"/>
          </w:tcPr>
          <w:p w14:paraId="70AEAC3A" w14:textId="77777777" w:rsidR="007F1452" w:rsidRDefault="007F1452" w:rsidP="00EF2B1A">
            <w:pPr>
              <w:ind w:firstLine="504"/>
            </w:pPr>
            <w:r>
              <w:t>人工强度</w:t>
            </w:r>
          </w:p>
        </w:tc>
        <w:tc>
          <w:tcPr>
            <w:tcW w:w="1768" w:type="dxa"/>
          </w:tcPr>
          <w:p w14:paraId="78122FE4" w14:textId="77777777" w:rsidR="007F1452" w:rsidRDefault="007F1452" w:rsidP="00EF2B1A">
            <w:pPr>
              <w:ind w:firstLine="504"/>
            </w:pPr>
            <w:r>
              <w:t>优先投入模块（示例）</w:t>
            </w:r>
          </w:p>
        </w:tc>
      </w:tr>
      <w:tr w:rsidR="007F1452" w14:paraId="30BBBD0B" w14:textId="77777777" w:rsidTr="00EF2B1A">
        <w:tc>
          <w:tcPr>
            <w:tcW w:w="1768" w:type="dxa"/>
          </w:tcPr>
          <w:p w14:paraId="406700D3" w14:textId="77777777" w:rsidR="007F1452" w:rsidRDefault="007F1452" w:rsidP="00EF2B1A">
            <w:pPr>
              <w:ind w:firstLine="504"/>
            </w:pPr>
            <w:r>
              <w:t>小件高频（</w:t>
            </w:r>
            <w:r>
              <w:t>3C</w:t>
            </w:r>
            <w:r>
              <w:t>配件、快消）</w:t>
            </w:r>
          </w:p>
        </w:tc>
        <w:tc>
          <w:tcPr>
            <w:tcW w:w="1768" w:type="dxa"/>
          </w:tcPr>
          <w:p w14:paraId="4A9778CA" w14:textId="77777777" w:rsidR="007F1452" w:rsidRDefault="007F1452" w:rsidP="00EF2B1A">
            <w:pPr>
              <w:ind w:firstLine="504"/>
            </w:pPr>
            <w:r>
              <w:t>高</w:t>
            </w:r>
          </w:p>
        </w:tc>
        <w:tc>
          <w:tcPr>
            <w:tcW w:w="1768" w:type="dxa"/>
          </w:tcPr>
          <w:p w14:paraId="3001CAEE" w14:textId="77777777" w:rsidR="007F1452" w:rsidRDefault="007F1452" w:rsidP="00EF2B1A">
            <w:pPr>
              <w:ind w:firstLine="504"/>
            </w:pPr>
            <w:r>
              <w:t>中</w:t>
            </w:r>
          </w:p>
        </w:tc>
        <w:tc>
          <w:tcPr>
            <w:tcW w:w="1768" w:type="dxa"/>
          </w:tcPr>
          <w:p w14:paraId="4FD2D55E" w14:textId="77777777" w:rsidR="007F1452" w:rsidRDefault="007F1452" w:rsidP="00EF2B1A">
            <w:pPr>
              <w:ind w:firstLine="504"/>
            </w:pPr>
            <w:r>
              <w:t>高</w:t>
            </w:r>
          </w:p>
        </w:tc>
        <w:tc>
          <w:tcPr>
            <w:tcW w:w="1768" w:type="dxa"/>
          </w:tcPr>
          <w:p w14:paraId="665046DF" w14:textId="77777777" w:rsidR="007F1452" w:rsidRDefault="007F1452" w:rsidP="00EF2B1A">
            <w:pPr>
              <w:ind w:firstLine="504"/>
            </w:pPr>
            <w:r>
              <w:t>货到人拣选、自动分拣、视觉复核</w:t>
            </w:r>
          </w:p>
        </w:tc>
      </w:tr>
      <w:tr w:rsidR="007F1452" w14:paraId="75C0B48A" w14:textId="77777777" w:rsidTr="00EF2B1A">
        <w:tc>
          <w:tcPr>
            <w:tcW w:w="1768" w:type="dxa"/>
          </w:tcPr>
          <w:p w14:paraId="2D501548" w14:textId="77777777" w:rsidR="007F1452" w:rsidRDefault="007F1452" w:rsidP="00EF2B1A">
            <w:pPr>
              <w:ind w:firstLine="504"/>
            </w:pPr>
            <w:r>
              <w:t>中件多</w:t>
            </w:r>
            <w:r>
              <w:t>SKU</w:t>
            </w:r>
            <w:r>
              <w:t>（日化、服饰）</w:t>
            </w:r>
          </w:p>
        </w:tc>
        <w:tc>
          <w:tcPr>
            <w:tcW w:w="1768" w:type="dxa"/>
          </w:tcPr>
          <w:p w14:paraId="744D2D2A" w14:textId="77777777" w:rsidR="007F1452" w:rsidRDefault="007F1452" w:rsidP="00EF2B1A">
            <w:pPr>
              <w:ind w:firstLine="504"/>
            </w:pPr>
            <w:r>
              <w:t>高</w:t>
            </w:r>
          </w:p>
        </w:tc>
        <w:tc>
          <w:tcPr>
            <w:tcW w:w="1768" w:type="dxa"/>
          </w:tcPr>
          <w:p w14:paraId="4FCAA56F" w14:textId="77777777" w:rsidR="007F1452" w:rsidRDefault="007F1452" w:rsidP="00EF2B1A">
            <w:pPr>
              <w:ind w:firstLine="504"/>
            </w:pPr>
            <w:r>
              <w:t>中</w:t>
            </w:r>
          </w:p>
        </w:tc>
        <w:tc>
          <w:tcPr>
            <w:tcW w:w="1768" w:type="dxa"/>
          </w:tcPr>
          <w:p w14:paraId="2C3972DC" w14:textId="77777777" w:rsidR="007F1452" w:rsidRDefault="007F1452" w:rsidP="00EF2B1A">
            <w:pPr>
              <w:ind w:firstLine="504"/>
            </w:pPr>
            <w:r>
              <w:t>中</w:t>
            </w:r>
          </w:p>
        </w:tc>
        <w:tc>
          <w:tcPr>
            <w:tcW w:w="1768" w:type="dxa"/>
          </w:tcPr>
          <w:p w14:paraId="32F82C1A" w14:textId="77777777" w:rsidR="007F1452" w:rsidRDefault="007F1452" w:rsidP="00EF2B1A">
            <w:pPr>
              <w:ind w:firstLine="504"/>
            </w:pPr>
            <w:r>
              <w:t>波次优化、输送线</w:t>
            </w:r>
            <w:r>
              <w:t>+</w:t>
            </w:r>
            <w:r>
              <w:t>分拣、智能库位</w:t>
            </w:r>
          </w:p>
        </w:tc>
      </w:tr>
      <w:tr w:rsidR="007F1452" w14:paraId="6904CE91" w14:textId="77777777" w:rsidTr="00EF2B1A">
        <w:tc>
          <w:tcPr>
            <w:tcW w:w="1768" w:type="dxa"/>
          </w:tcPr>
          <w:p w14:paraId="7CDAFCD4" w14:textId="77777777" w:rsidR="007F1452" w:rsidRDefault="007F1452" w:rsidP="00EF2B1A">
            <w:pPr>
              <w:ind w:firstLine="504"/>
            </w:pPr>
            <w:r>
              <w:t>大件低频（家电、家具）</w:t>
            </w:r>
          </w:p>
        </w:tc>
        <w:tc>
          <w:tcPr>
            <w:tcW w:w="1768" w:type="dxa"/>
          </w:tcPr>
          <w:p w14:paraId="78224407" w14:textId="77777777" w:rsidR="007F1452" w:rsidRDefault="007F1452" w:rsidP="00EF2B1A">
            <w:pPr>
              <w:ind w:firstLine="504"/>
            </w:pPr>
            <w:r>
              <w:t>中</w:t>
            </w:r>
          </w:p>
        </w:tc>
        <w:tc>
          <w:tcPr>
            <w:tcW w:w="1768" w:type="dxa"/>
          </w:tcPr>
          <w:p w14:paraId="5598B9DA" w14:textId="77777777" w:rsidR="007F1452" w:rsidRDefault="007F1452" w:rsidP="00EF2B1A">
            <w:pPr>
              <w:ind w:firstLine="504"/>
            </w:pPr>
            <w:r>
              <w:t>高</w:t>
            </w:r>
          </w:p>
        </w:tc>
        <w:tc>
          <w:tcPr>
            <w:tcW w:w="1768" w:type="dxa"/>
          </w:tcPr>
          <w:p w14:paraId="5F1EBD08" w14:textId="77777777" w:rsidR="007F1452" w:rsidRDefault="007F1452" w:rsidP="00EF2B1A">
            <w:pPr>
              <w:ind w:firstLine="504"/>
            </w:pPr>
            <w:r>
              <w:t>中</w:t>
            </w:r>
          </w:p>
        </w:tc>
        <w:tc>
          <w:tcPr>
            <w:tcW w:w="1768" w:type="dxa"/>
          </w:tcPr>
          <w:p w14:paraId="3946B7C5" w14:textId="77777777" w:rsidR="007F1452" w:rsidRDefault="007F1452" w:rsidP="00EF2B1A">
            <w:pPr>
              <w:ind w:firstLine="504"/>
            </w:pPr>
            <w:r>
              <w:t>立库</w:t>
            </w:r>
            <w:r>
              <w:t>/</w:t>
            </w:r>
            <w:r>
              <w:t>堆垛、无人叉车、装卸辅助</w:t>
            </w:r>
          </w:p>
        </w:tc>
      </w:tr>
      <w:tr w:rsidR="007F1452" w14:paraId="43469447" w14:textId="77777777" w:rsidTr="00EF2B1A">
        <w:tc>
          <w:tcPr>
            <w:tcW w:w="1768" w:type="dxa"/>
          </w:tcPr>
          <w:p w14:paraId="78756DE2" w14:textId="77777777" w:rsidR="007F1452" w:rsidRDefault="007F1452" w:rsidP="00EF2B1A">
            <w:pPr>
              <w:ind w:firstLine="504"/>
            </w:pPr>
            <w:r>
              <w:t>冷链</w:t>
            </w:r>
            <w:r>
              <w:t>/</w:t>
            </w:r>
            <w:r>
              <w:t>医药（温控与合规）</w:t>
            </w:r>
          </w:p>
        </w:tc>
        <w:tc>
          <w:tcPr>
            <w:tcW w:w="1768" w:type="dxa"/>
          </w:tcPr>
          <w:p w14:paraId="4C0575CE" w14:textId="77777777" w:rsidR="007F1452" w:rsidRDefault="007F1452" w:rsidP="00EF2B1A">
            <w:pPr>
              <w:ind w:firstLine="504"/>
            </w:pPr>
            <w:r>
              <w:t>中</w:t>
            </w:r>
          </w:p>
        </w:tc>
        <w:tc>
          <w:tcPr>
            <w:tcW w:w="1768" w:type="dxa"/>
          </w:tcPr>
          <w:p w14:paraId="08853FAC" w14:textId="77777777" w:rsidR="007F1452" w:rsidRDefault="007F1452" w:rsidP="00EF2B1A">
            <w:pPr>
              <w:ind w:firstLine="504"/>
            </w:pPr>
            <w:r>
              <w:t>高</w:t>
            </w:r>
          </w:p>
        </w:tc>
        <w:tc>
          <w:tcPr>
            <w:tcW w:w="1768" w:type="dxa"/>
          </w:tcPr>
          <w:p w14:paraId="7AE8692C" w14:textId="77777777" w:rsidR="007F1452" w:rsidRDefault="007F1452" w:rsidP="00EF2B1A">
            <w:pPr>
              <w:ind w:firstLine="504"/>
            </w:pPr>
            <w:r>
              <w:t>中</w:t>
            </w:r>
          </w:p>
        </w:tc>
        <w:tc>
          <w:tcPr>
            <w:tcW w:w="1768" w:type="dxa"/>
          </w:tcPr>
          <w:p w14:paraId="4117A5F6" w14:textId="77777777" w:rsidR="007F1452" w:rsidRDefault="007F1452" w:rsidP="00EF2B1A">
            <w:pPr>
              <w:ind w:firstLine="504"/>
            </w:pPr>
            <w:r>
              <w:t>温控监测、批次效期、全程追溯</w:t>
            </w:r>
          </w:p>
        </w:tc>
      </w:tr>
    </w:tbl>
    <w:p w14:paraId="5C0D0F9C" w14:textId="77777777" w:rsidR="00847CF4" w:rsidRDefault="00847CF4" w:rsidP="007F1452">
      <w:pPr>
        <w:pStyle w:val="ac"/>
        <w:ind w:firstLineChars="0" w:firstLine="0"/>
        <w:rPr>
          <w:rFonts w:hint="eastAsia"/>
        </w:rPr>
      </w:pPr>
    </w:p>
    <w:p w14:paraId="7C1CC855" w14:textId="518107EE" w:rsidR="00847CF4" w:rsidRDefault="00847CF4" w:rsidP="00847CF4">
      <w:pPr>
        <w:pStyle w:val="a"/>
        <w:rPr>
          <w:rFonts w:hint="eastAsia"/>
        </w:rPr>
      </w:pPr>
      <w:r>
        <w:rPr>
          <w:rFonts w:hint="eastAsia"/>
        </w:rPr>
        <w:t>结语</w:t>
      </w:r>
    </w:p>
    <w:p w14:paraId="773E5DF6" w14:textId="77777777" w:rsidR="00847CF4" w:rsidRDefault="00847CF4" w:rsidP="00847CF4">
      <w:pPr>
        <w:pStyle w:val="ac"/>
        <w:rPr>
          <w:rFonts w:hint="eastAsia"/>
        </w:rPr>
      </w:pPr>
      <w:r>
        <w:rPr>
          <w:rFonts w:hint="eastAsia"/>
        </w:rPr>
        <w:t>智能仓储自动化并非单一装备或软件替换，而是“系统+设备+数据+流程”的综合工程。通过以WMS/WCS为核心的软硬一体化架构，企业可在提升吞吐与稳定性的同时降低差错与用工成本。以“亚洲一号”为代表的实践显示，当自动化深度与运营机制形成闭环时，仓拣一体与机器人集群可显著增强履约弹性。未来企业应更加重视数据治理、系统集成与安全合规，在可控风险下持续推进仓储数智化升级。</w:t>
      </w:r>
    </w:p>
    <w:p w14:paraId="2EA79497" w14:textId="1665AE9E" w:rsidR="00847CF4" w:rsidRDefault="00847CF4" w:rsidP="00847CF4">
      <w:pPr>
        <w:pStyle w:val="a"/>
        <w:rPr>
          <w:rFonts w:hint="eastAsia"/>
        </w:rPr>
      </w:pPr>
      <w:r>
        <w:rPr>
          <w:rFonts w:hint="eastAsia"/>
        </w:rPr>
        <w:t>展望</w:t>
      </w:r>
    </w:p>
    <w:p w14:paraId="69597BAA" w14:textId="066ADF44" w:rsidR="00847CF4" w:rsidRDefault="00847CF4" w:rsidP="00847CF4">
      <w:pPr>
        <w:pStyle w:val="ac"/>
      </w:pPr>
      <w:r>
        <w:rPr>
          <w:rFonts w:hint="eastAsia"/>
        </w:rPr>
        <w:t>面向未来，智能仓储将向三类方向演进：1）数字孪生与仿真驱动的规划与运控，实现对产能、能耗与拥堵的“所见即所得”优化；2）更高层级的智能决策（如AI辅助排程与资源配置），提升对多仓协同与不确定性的应对能力；3）以绿色低碳为约束的运营优化，将能耗、碳排与成本纳入统一的评价与决策体系。研究与产业实践表明，数字孪生可用于对物流流程进行精确仿真与优化</w:t>
      </w:r>
      <w:r w:rsidRPr="00847CF4">
        <w:rPr>
          <w:rFonts w:hint="eastAsia"/>
          <w:vertAlign w:val="superscript"/>
        </w:rPr>
        <w:t>[9]</w:t>
      </w:r>
      <w:r>
        <w:rPr>
          <w:rFonts w:hint="eastAsia"/>
        </w:rPr>
        <w:t>，并可进一步与WMS与传感数据融合，用于资源级碳核算与情景分析</w:t>
      </w:r>
      <w:r w:rsidRPr="00847CF4">
        <w:rPr>
          <w:rFonts w:hint="eastAsia"/>
          <w:vertAlign w:val="superscript"/>
        </w:rPr>
        <w:t>[10]</w:t>
      </w:r>
      <w:r>
        <w:rPr>
          <w:rFonts w:hint="eastAsia"/>
        </w:rPr>
        <w:t>。随着标准化接口、工业互联网与大模型技术的发展，仓储自动化将从“单点自动化”走向“网络化、平台化、智能体化”的供应链基础设施。</w:t>
      </w:r>
    </w:p>
    <w:p w14:paraId="277E3BC4" w14:textId="588C5D54" w:rsidR="00847CF4" w:rsidRPr="00847CF4" w:rsidRDefault="00847CF4" w:rsidP="00847CF4">
      <w:pPr>
        <w:spacing w:beforeLines="100" w:before="312" w:afterLines="100" w:after="312"/>
        <w:ind w:firstLine="641"/>
        <w:jc w:val="center"/>
        <w:rPr>
          <w:rFonts w:hint="eastAsia"/>
          <w:b/>
          <w:bCs/>
          <w:sz w:val="32"/>
          <w:szCs w:val="32"/>
        </w:rPr>
      </w:pPr>
      <w:r>
        <w:rPr>
          <w:rFonts w:hint="eastAsia"/>
          <w:b/>
          <w:bCs/>
          <w:sz w:val="32"/>
          <w:szCs w:val="32"/>
        </w:rPr>
        <w:lastRenderedPageBreak/>
        <w:t>参考文献</w:t>
      </w:r>
    </w:p>
    <w:p w14:paraId="0D697E32" w14:textId="53FD4497" w:rsidR="00847CF4" w:rsidRDefault="00847CF4" w:rsidP="007F1452">
      <w:pPr>
        <w:pStyle w:val="ac"/>
        <w:ind w:firstLineChars="0" w:firstLine="0"/>
      </w:pPr>
      <w:r>
        <w:t>[1] SAP. What is a Warehouse Management System (WMS)</w:t>
      </w:r>
    </w:p>
    <w:p w14:paraId="231AFDF0" w14:textId="77777777" w:rsidR="00847CF4" w:rsidRDefault="00847CF4" w:rsidP="007F1452">
      <w:pPr>
        <w:pStyle w:val="ac"/>
        <w:ind w:firstLineChars="0" w:firstLine="0"/>
      </w:pPr>
      <w:r>
        <w:t>[2] Armstrong Dematic. Warehouse Control System (WCS) overview.</w:t>
      </w:r>
    </w:p>
    <w:p w14:paraId="5D8C9563" w14:textId="77777777" w:rsidR="00847CF4" w:rsidRDefault="00847CF4" w:rsidP="007F1452">
      <w:pPr>
        <w:pStyle w:val="ac"/>
        <w:ind w:firstLineChars="0" w:firstLine="0"/>
      </w:pPr>
      <w:r>
        <w:t>[3] Amazon.com, Inc. Press Release: Amazon.com to Acquire Kiva Systems, Inc. (SEC Exhibit 99.1).</w:t>
      </w:r>
    </w:p>
    <w:p w14:paraId="754BCF74" w14:textId="77777777" w:rsidR="00847CF4" w:rsidRDefault="00847CF4" w:rsidP="007F1452">
      <w:pPr>
        <w:pStyle w:val="ac"/>
        <w:ind w:firstLineChars="0" w:firstLine="0"/>
      </w:pPr>
      <w:r>
        <w:t>[4] Ocado Group. Our Technology: The Hive (Customer Fulfilment Centres).</w:t>
      </w:r>
    </w:p>
    <w:p w14:paraId="786282D5" w14:textId="77777777" w:rsidR="00847CF4" w:rsidRDefault="00847CF4" w:rsidP="007F1452">
      <w:pPr>
        <w:pStyle w:val="ac"/>
        <w:ind w:firstLineChars="0" w:firstLine="0"/>
      </w:pPr>
      <w:r>
        <w:t>[5] DHL Supply Chain. Supply Chain Accelerated Digitalization Case Studies (Robotics &amp; Automation).</w:t>
      </w:r>
    </w:p>
    <w:p w14:paraId="76422295" w14:textId="77777777" w:rsidR="00847CF4" w:rsidRDefault="00847CF4" w:rsidP="007F1452">
      <w:pPr>
        <w:pStyle w:val="ac"/>
        <w:ind w:firstLineChars="0" w:firstLine="0"/>
        <w:rPr>
          <w:rFonts w:hint="eastAsia"/>
        </w:rPr>
      </w:pPr>
      <w:r>
        <w:rPr>
          <w:rFonts w:hint="eastAsia"/>
        </w:rPr>
        <w:t>[6] 菜鸟网络. 菜鸟物流科技（数字孪生智慧园区、WMS等解决方案介绍）。</w:t>
      </w:r>
    </w:p>
    <w:p w14:paraId="62359C0C" w14:textId="77777777" w:rsidR="00847CF4" w:rsidRDefault="00847CF4" w:rsidP="007F1452">
      <w:pPr>
        <w:pStyle w:val="ac"/>
        <w:ind w:firstLineChars="0" w:firstLine="0"/>
        <w:rPr>
          <w:rFonts w:hint="eastAsia"/>
        </w:rPr>
      </w:pPr>
      <w:r>
        <w:rPr>
          <w:rFonts w:hint="eastAsia"/>
        </w:rPr>
        <w:t>[7] 央广网. 京东物流昆山“亚洲一号”全自动分拣中心相关报道。</w:t>
      </w:r>
    </w:p>
    <w:p w14:paraId="3DB0642F" w14:textId="77777777" w:rsidR="00847CF4" w:rsidRDefault="00847CF4" w:rsidP="007F1452">
      <w:pPr>
        <w:pStyle w:val="ac"/>
        <w:ind w:firstLineChars="0" w:firstLine="0"/>
        <w:rPr>
          <w:rFonts w:hint="eastAsia"/>
        </w:rPr>
      </w:pPr>
      <w:r>
        <w:rPr>
          <w:rFonts w:hint="eastAsia"/>
        </w:rPr>
        <w:t>[8] 京东物流. 智能仓储解决方案（自动化升级改造成效口径介绍）。</w:t>
      </w:r>
    </w:p>
    <w:p w14:paraId="33002129" w14:textId="77777777" w:rsidR="00847CF4" w:rsidRDefault="00847CF4" w:rsidP="007F1452">
      <w:pPr>
        <w:pStyle w:val="ac"/>
        <w:ind w:firstLineChars="0" w:firstLine="0"/>
      </w:pPr>
      <w:r>
        <w:t>[9] Fraunhofer IML. Application examples and best practices for digital twins in logistics.</w:t>
      </w:r>
    </w:p>
    <w:p w14:paraId="012D8344" w14:textId="270503AE" w:rsidR="00847CF4" w:rsidRPr="00847CF4" w:rsidRDefault="00847CF4" w:rsidP="007F1452">
      <w:pPr>
        <w:pStyle w:val="ac"/>
        <w:ind w:firstLineChars="0" w:firstLine="0"/>
        <w:rPr>
          <w:rFonts w:hint="eastAsia"/>
        </w:rPr>
      </w:pPr>
      <w:r>
        <w:t>[10] Adnane et al. Leveraging digital twins for enhanced sustainable warehouse management (ScienceDirect).</w:t>
      </w:r>
    </w:p>
    <w:sectPr w:rsidR="00847CF4" w:rsidRPr="00847CF4" w:rsidSect="004566CA">
      <w:pgSz w:w="11906" w:h="16838" w:code="9"/>
      <w:pgMar w:top="1440" w:right="1797" w:bottom="1440" w:left="1797" w:header="851" w:footer="992" w:gutter="0"/>
      <w:pgNumType w:chapStyle="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CA00" w14:textId="77777777" w:rsidR="00966BA7" w:rsidRDefault="00966BA7" w:rsidP="004566CA">
      <w:r>
        <w:separator/>
      </w:r>
    </w:p>
  </w:endnote>
  <w:endnote w:type="continuationSeparator" w:id="0">
    <w:p w14:paraId="61A9610E" w14:textId="77777777" w:rsidR="00966BA7" w:rsidRDefault="00966BA7" w:rsidP="00456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2DAC1" w14:textId="77777777" w:rsidR="00966BA7" w:rsidRDefault="00966BA7" w:rsidP="004566CA">
      <w:r>
        <w:separator/>
      </w:r>
    </w:p>
  </w:footnote>
  <w:footnote w:type="continuationSeparator" w:id="0">
    <w:p w14:paraId="2500B7B2" w14:textId="77777777" w:rsidR="00966BA7" w:rsidRDefault="00966BA7" w:rsidP="004566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3FE9"/>
    <w:multiLevelType w:val="hybridMultilevel"/>
    <w:tmpl w:val="56F09242"/>
    <w:lvl w:ilvl="0" w:tplc="954C31B6">
      <w:start w:val="1"/>
      <w:numFmt w:val="chineseCountingThousand"/>
      <w:pStyle w:val="a"/>
      <w:suff w:val="nothing"/>
      <w:lvlText w:val="%1、"/>
      <w:lvlJc w:val="left"/>
      <w:pPr>
        <w:ind w:left="400" w:hanging="400"/>
      </w:pPr>
      <w:rPr>
        <w:rFonts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 w15:restartNumberingAfterBreak="0">
    <w:nsid w:val="36540252"/>
    <w:multiLevelType w:val="hybridMultilevel"/>
    <w:tmpl w:val="09D8ED18"/>
    <w:lvl w:ilvl="0" w:tplc="16866616">
      <w:start w:val="1"/>
      <w:numFmt w:val="decimal"/>
      <w:pStyle w:val="4"/>
      <w:suff w:val="nothing"/>
      <w:lvlText w:val="（%1）"/>
      <w:lvlJc w:val="left"/>
      <w:pPr>
        <w:ind w:left="0" w:firstLine="0"/>
      </w:pPr>
      <w:rPr>
        <w:rFonts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 w15:restartNumberingAfterBreak="0">
    <w:nsid w:val="4FE71E43"/>
    <w:multiLevelType w:val="hybridMultilevel"/>
    <w:tmpl w:val="2938A670"/>
    <w:lvl w:ilvl="0" w:tplc="07EC587C">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4366BC"/>
    <w:multiLevelType w:val="hybridMultilevel"/>
    <w:tmpl w:val="C4E8A60A"/>
    <w:lvl w:ilvl="0" w:tplc="423203B0">
      <w:start w:val="1"/>
      <w:numFmt w:val="decimal"/>
      <w:pStyle w:val="a0"/>
      <w:suff w:val="nothing"/>
      <w:lvlText w:val="%1、"/>
      <w:lvlJc w:val="left"/>
      <w:pPr>
        <w:ind w:left="0" w:firstLine="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773F7822"/>
    <w:multiLevelType w:val="hybridMultilevel"/>
    <w:tmpl w:val="F64A28F2"/>
    <w:lvl w:ilvl="0" w:tplc="554E28A2">
      <w:start w:val="1"/>
      <w:numFmt w:val="chineseCountingThousand"/>
      <w:pStyle w:val="a1"/>
      <w:suff w:val="nothing"/>
      <w:lvlText w:val="(%1)"/>
      <w:lvlJc w:val="left"/>
      <w:pPr>
        <w:ind w:left="0" w:firstLine="0"/>
      </w:pPr>
      <w:rPr>
        <w:rFonts w:ascii="宋体" w:eastAsia="宋体" w:hAnsi="宋体"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num w:numId="1" w16cid:durableId="611980074">
    <w:abstractNumId w:val="0"/>
  </w:num>
  <w:num w:numId="2" w16cid:durableId="1617827210">
    <w:abstractNumId w:val="4"/>
  </w:num>
  <w:num w:numId="3" w16cid:durableId="31267805">
    <w:abstractNumId w:val="3"/>
  </w:num>
  <w:num w:numId="4" w16cid:durableId="304285145">
    <w:abstractNumId w:val="1"/>
  </w:num>
  <w:num w:numId="5" w16cid:durableId="2068913116">
    <w:abstractNumId w:val="4"/>
    <w:lvlOverride w:ilvl="0">
      <w:startOverride w:val="1"/>
    </w:lvlOverride>
  </w:num>
  <w:num w:numId="6" w16cid:durableId="70589516">
    <w:abstractNumId w:val="4"/>
    <w:lvlOverride w:ilvl="0">
      <w:startOverride w:val="1"/>
    </w:lvlOverride>
  </w:num>
  <w:num w:numId="7" w16cid:durableId="1185754941">
    <w:abstractNumId w:val="4"/>
    <w:lvlOverride w:ilvl="0">
      <w:startOverride w:val="1"/>
    </w:lvlOverride>
  </w:num>
  <w:num w:numId="8" w16cid:durableId="1987125397">
    <w:abstractNumId w:val="3"/>
    <w:lvlOverride w:ilvl="0">
      <w:startOverride w:val="1"/>
    </w:lvlOverride>
  </w:num>
  <w:num w:numId="9" w16cid:durableId="875775578">
    <w:abstractNumId w:val="3"/>
    <w:lvlOverride w:ilvl="0">
      <w:startOverride w:val="1"/>
    </w:lvlOverride>
  </w:num>
  <w:num w:numId="10" w16cid:durableId="605237434">
    <w:abstractNumId w:val="2"/>
  </w:num>
  <w:num w:numId="11" w16cid:durableId="221019901">
    <w:abstractNumId w:val="4"/>
    <w:lvlOverride w:ilvl="0">
      <w:startOverride w:val="1"/>
    </w:lvlOverride>
  </w:num>
  <w:num w:numId="12" w16cid:durableId="1319261447">
    <w:abstractNumId w:val="4"/>
    <w:lvlOverride w:ilvl="0">
      <w:startOverride w:val="1"/>
    </w:lvlOverride>
  </w:num>
  <w:num w:numId="13" w16cid:durableId="2076659423">
    <w:abstractNumId w:val="4"/>
    <w:lvlOverride w:ilvl="0">
      <w:startOverride w:val="1"/>
    </w:lvlOverride>
  </w:num>
  <w:num w:numId="14" w16cid:durableId="10272954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E1ZGIzNmVkMzQzMzcxZjJmYTc2NDliOWYwNWI5YmYifQ=="/>
  </w:docVars>
  <w:rsids>
    <w:rsidRoot w:val="00E01B17"/>
    <w:rsid w:val="00022AE9"/>
    <w:rsid w:val="00022D30"/>
    <w:rsid w:val="00063045"/>
    <w:rsid w:val="000F336F"/>
    <w:rsid w:val="0011048D"/>
    <w:rsid w:val="001670A3"/>
    <w:rsid w:val="00174D5B"/>
    <w:rsid w:val="00194487"/>
    <w:rsid w:val="001C73D2"/>
    <w:rsid w:val="001F009B"/>
    <w:rsid w:val="00283D33"/>
    <w:rsid w:val="002A319D"/>
    <w:rsid w:val="002B2DAF"/>
    <w:rsid w:val="002E32DB"/>
    <w:rsid w:val="002E59D4"/>
    <w:rsid w:val="002E72C0"/>
    <w:rsid w:val="002F33B0"/>
    <w:rsid w:val="00335CF6"/>
    <w:rsid w:val="003607DD"/>
    <w:rsid w:val="00370FEC"/>
    <w:rsid w:val="003A7302"/>
    <w:rsid w:val="003D42AA"/>
    <w:rsid w:val="004566CA"/>
    <w:rsid w:val="004A3809"/>
    <w:rsid w:val="004E512C"/>
    <w:rsid w:val="004E655C"/>
    <w:rsid w:val="005352A0"/>
    <w:rsid w:val="00565466"/>
    <w:rsid w:val="005757A8"/>
    <w:rsid w:val="005C627E"/>
    <w:rsid w:val="006034D6"/>
    <w:rsid w:val="00646E54"/>
    <w:rsid w:val="00656BC2"/>
    <w:rsid w:val="006F44ED"/>
    <w:rsid w:val="00701579"/>
    <w:rsid w:val="00760531"/>
    <w:rsid w:val="007706ED"/>
    <w:rsid w:val="00781239"/>
    <w:rsid w:val="007F1452"/>
    <w:rsid w:val="00842767"/>
    <w:rsid w:val="00847CF4"/>
    <w:rsid w:val="00852BC7"/>
    <w:rsid w:val="00882A6E"/>
    <w:rsid w:val="008D0368"/>
    <w:rsid w:val="008D361A"/>
    <w:rsid w:val="00905124"/>
    <w:rsid w:val="00920B30"/>
    <w:rsid w:val="00966BA7"/>
    <w:rsid w:val="00976887"/>
    <w:rsid w:val="009C0F9E"/>
    <w:rsid w:val="009E00EA"/>
    <w:rsid w:val="00A86AC2"/>
    <w:rsid w:val="00AC2302"/>
    <w:rsid w:val="00AC370F"/>
    <w:rsid w:val="00B42571"/>
    <w:rsid w:val="00B6327E"/>
    <w:rsid w:val="00B632BB"/>
    <w:rsid w:val="00B6609F"/>
    <w:rsid w:val="00B93BA1"/>
    <w:rsid w:val="00C709EA"/>
    <w:rsid w:val="00C7262A"/>
    <w:rsid w:val="00C7393E"/>
    <w:rsid w:val="00C809B3"/>
    <w:rsid w:val="00C864FC"/>
    <w:rsid w:val="00CC2C10"/>
    <w:rsid w:val="00CE5F91"/>
    <w:rsid w:val="00CF5E7C"/>
    <w:rsid w:val="00D05F81"/>
    <w:rsid w:val="00D433B5"/>
    <w:rsid w:val="00D4560A"/>
    <w:rsid w:val="00D7664E"/>
    <w:rsid w:val="00DA2658"/>
    <w:rsid w:val="00DA6FEC"/>
    <w:rsid w:val="00E01B17"/>
    <w:rsid w:val="00E7139A"/>
    <w:rsid w:val="00E95B77"/>
    <w:rsid w:val="00EE13C7"/>
    <w:rsid w:val="00F31F7F"/>
    <w:rsid w:val="00FD08BB"/>
    <w:rsid w:val="014D1BA2"/>
    <w:rsid w:val="0B714B9F"/>
    <w:rsid w:val="11583C2A"/>
    <w:rsid w:val="20692E35"/>
    <w:rsid w:val="209401FB"/>
    <w:rsid w:val="20B50BB6"/>
    <w:rsid w:val="2507194E"/>
    <w:rsid w:val="253A38CF"/>
    <w:rsid w:val="2D3D5BCB"/>
    <w:rsid w:val="375E6A48"/>
    <w:rsid w:val="38A61081"/>
    <w:rsid w:val="3AED3BA0"/>
    <w:rsid w:val="3CE44647"/>
    <w:rsid w:val="3EAD7660"/>
    <w:rsid w:val="40B816D3"/>
    <w:rsid w:val="42F85392"/>
    <w:rsid w:val="4A9C14DF"/>
    <w:rsid w:val="4E405C1B"/>
    <w:rsid w:val="4F5635B2"/>
    <w:rsid w:val="519B5C6C"/>
    <w:rsid w:val="5DA94139"/>
    <w:rsid w:val="5FAD2E3F"/>
    <w:rsid w:val="61DB4DB5"/>
    <w:rsid w:val="66A05974"/>
    <w:rsid w:val="68520509"/>
    <w:rsid w:val="6C347D31"/>
    <w:rsid w:val="6FA61758"/>
    <w:rsid w:val="70DE7999"/>
    <w:rsid w:val="76425553"/>
    <w:rsid w:val="78DC1DBB"/>
    <w:rsid w:val="7A6475B4"/>
    <w:rsid w:val="7AC923F8"/>
    <w:rsid w:val="7B132AB2"/>
    <w:rsid w:val="7C630BDB"/>
    <w:rsid w:val="7CFD6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36D8B0"/>
  <w15:chartTrackingRefBased/>
  <w15:docId w15:val="{4200CF40-7471-4EA5-A55B-A3AACC319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jc w:val="both"/>
    </w:pPr>
    <w:rPr>
      <w:kern w:val="2"/>
      <w:sz w:val="21"/>
      <w:szCs w:val="24"/>
    </w:rPr>
  </w:style>
  <w:style w:type="paragraph" w:styleId="1">
    <w:name w:val="heading 1"/>
    <w:basedOn w:val="a2"/>
    <w:next w:val="a2"/>
    <w:link w:val="10"/>
    <w:qFormat/>
    <w:rsid w:val="00335CF6"/>
    <w:pPr>
      <w:keepNext/>
      <w:keepLines/>
      <w:spacing w:before="340" w:after="330" w:line="578" w:lineRule="auto"/>
      <w:outlineLvl w:val="0"/>
    </w:pPr>
    <w:rPr>
      <w:b/>
      <w:bCs/>
      <w:kern w:val="44"/>
      <w:sz w:val="44"/>
      <w:szCs w:val="44"/>
    </w:rPr>
  </w:style>
  <w:style w:type="paragraph" w:styleId="2">
    <w:name w:val="heading 2"/>
    <w:basedOn w:val="a2"/>
    <w:next w:val="a2"/>
    <w:link w:val="20"/>
    <w:semiHidden/>
    <w:unhideWhenUsed/>
    <w:qFormat/>
    <w:rsid w:val="00701579"/>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2"/>
    <w:next w:val="a2"/>
    <w:link w:val="30"/>
    <w:semiHidden/>
    <w:unhideWhenUsed/>
    <w:qFormat/>
    <w:rsid w:val="00283D33"/>
    <w:pPr>
      <w:keepNext/>
      <w:keepLines/>
      <w:spacing w:before="260" w:after="260" w:line="416" w:lineRule="auto"/>
      <w:outlineLvl w:val="2"/>
    </w:pPr>
    <w:rPr>
      <w:b/>
      <w:bCs/>
      <w:sz w:val="32"/>
      <w:szCs w:val="32"/>
    </w:rPr>
  </w:style>
  <w:style w:type="paragraph" w:styleId="40">
    <w:name w:val="heading 4"/>
    <w:basedOn w:val="a2"/>
    <w:next w:val="a2"/>
    <w:link w:val="41"/>
    <w:semiHidden/>
    <w:unhideWhenUsed/>
    <w:qFormat/>
    <w:rsid w:val="00565466"/>
    <w:pPr>
      <w:keepNext/>
      <w:keepLines/>
      <w:spacing w:before="280" w:after="290" w:line="376" w:lineRule="auto"/>
      <w:outlineLvl w:val="3"/>
    </w:pPr>
    <w:rPr>
      <w:rFonts w:ascii="等线 Light" w:eastAsia="等线 Light" w:hAnsi="等线 Light"/>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ody Text Indent"/>
    <w:basedOn w:val="a2"/>
    <w:pPr>
      <w:ind w:firstLineChars="240" w:firstLine="720"/>
    </w:pPr>
    <w:rPr>
      <w:sz w:val="30"/>
    </w:rPr>
  </w:style>
  <w:style w:type="table" w:styleId="a7">
    <w:name w:val="Table Grid"/>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样式 小四 蓝色 Char"/>
    <w:link w:val="a8"/>
    <w:rPr>
      <w:rFonts w:eastAsia="宋体"/>
      <w:color w:val="0000FF"/>
      <w:kern w:val="2"/>
      <w:sz w:val="24"/>
      <w:szCs w:val="21"/>
      <w:lang w:val="en-US" w:eastAsia="zh-CN" w:bidi="ar-SA"/>
    </w:rPr>
  </w:style>
  <w:style w:type="paragraph" w:customStyle="1" w:styleId="a8">
    <w:name w:val="样式 小四 蓝色"/>
    <w:basedOn w:val="a2"/>
    <w:link w:val="Char"/>
    <w:pPr>
      <w:spacing w:line="400" w:lineRule="exact"/>
      <w:outlineLvl w:val="0"/>
    </w:pPr>
    <w:rPr>
      <w:color w:val="0000FF"/>
      <w:sz w:val="24"/>
      <w:szCs w:val="21"/>
    </w:rPr>
  </w:style>
  <w:style w:type="character" w:customStyle="1" w:styleId="Char0">
    <w:name w:val="样式 宋体 小四 加粗 蓝色 Char"/>
    <w:link w:val="a9"/>
    <w:rPr>
      <w:rFonts w:ascii="宋体" w:eastAsia="宋体" w:hAnsi="宋体"/>
      <w:b/>
      <w:bCs/>
      <w:color w:val="0000FF"/>
      <w:kern w:val="2"/>
      <w:sz w:val="24"/>
      <w:szCs w:val="24"/>
      <w:lang w:val="en-US" w:eastAsia="zh-CN" w:bidi="ar-SA"/>
    </w:rPr>
  </w:style>
  <w:style w:type="paragraph" w:customStyle="1" w:styleId="a9">
    <w:name w:val="样式 宋体 小四 加粗 蓝色"/>
    <w:basedOn w:val="a2"/>
    <w:link w:val="Char0"/>
    <w:pPr>
      <w:spacing w:line="400" w:lineRule="exact"/>
      <w:ind w:firstLineChars="200" w:firstLine="482"/>
      <w:outlineLvl w:val="0"/>
    </w:pPr>
    <w:rPr>
      <w:rFonts w:ascii="宋体" w:hAnsi="宋体"/>
      <w:b/>
      <w:bCs/>
      <w:color w:val="0000FF"/>
      <w:sz w:val="24"/>
    </w:rPr>
  </w:style>
  <w:style w:type="paragraph" w:customStyle="1" w:styleId="929215">
    <w:name w:val="样式 宋体 三号 加粗 蓝色 段前: 9.2 磅 段后: 9.2 磅 行距: 1.5 倍行距"/>
    <w:basedOn w:val="a2"/>
    <w:pPr>
      <w:spacing w:before="184" w:after="184" w:line="360" w:lineRule="auto"/>
      <w:ind w:firstLineChars="196" w:firstLine="630"/>
    </w:pPr>
    <w:rPr>
      <w:rFonts w:ascii="宋体" w:hAnsi="宋体" w:cs="宋体"/>
      <w:b/>
      <w:bCs/>
      <w:color w:val="0000FF"/>
      <w:sz w:val="32"/>
      <w:szCs w:val="20"/>
    </w:rPr>
  </w:style>
  <w:style w:type="paragraph" w:customStyle="1" w:styleId="701184184">
    <w:name w:val="样式 宋体 三号 加粗 蓝色 悬挂缩进: 7.01 字符 段前: 18.4 磅 段后: 18.4 磅"/>
    <w:basedOn w:val="a2"/>
    <w:pPr>
      <w:spacing w:before="368" w:after="368" w:line="400" w:lineRule="exact"/>
      <w:ind w:leftChars="304" w:left="2982" w:hangingChars="701" w:hanging="2252"/>
    </w:pPr>
    <w:rPr>
      <w:rFonts w:ascii="宋体" w:hAnsi="宋体" w:cs="宋体"/>
      <w:b/>
      <w:bCs/>
      <w:color w:val="0000FF"/>
      <w:sz w:val="32"/>
      <w:szCs w:val="20"/>
    </w:rPr>
  </w:style>
  <w:style w:type="paragraph" w:styleId="aa">
    <w:name w:val="List Paragraph"/>
    <w:basedOn w:val="a2"/>
    <w:uiPriority w:val="34"/>
    <w:qFormat/>
    <w:pPr>
      <w:ind w:firstLineChars="200" w:firstLine="420"/>
    </w:pPr>
  </w:style>
  <w:style w:type="character" w:customStyle="1" w:styleId="10">
    <w:name w:val="标题 1 字符"/>
    <w:link w:val="1"/>
    <w:rsid w:val="00335CF6"/>
    <w:rPr>
      <w:b/>
      <w:bCs/>
      <w:kern w:val="44"/>
      <w:sz w:val="44"/>
      <w:szCs w:val="44"/>
    </w:rPr>
  </w:style>
  <w:style w:type="paragraph" w:customStyle="1" w:styleId="a">
    <w:name w:val="正文一级标题"/>
    <w:basedOn w:val="1"/>
    <w:link w:val="ab"/>
    <w:qFormat/>
    <w:rsid w:val="00565466"/>
    <w:pPr>
      <w:numPr>
        <w:numId w:val="1"/>
      </w:numPr>
      <w:spacing w:beforeLines="100" w:before="312" w:afterLines="100" w:after="312" w:line="240" w:lineRule="auto"/>
      <w:ind w:left="0" w:firstLineChars="200" w:firstLine="643"/>
    </w:pPr>
    <w:rPr>
      <w:sz w:val="32"/>
    </w:rPr>
  </w:style>
  <w:style w:type="character" w:customStyle="1" w:styleId="ab">
    <w:name w:val="正文一级标题 字符"/>
    <w:link w:val="a"/>
    <w:rsid w:val="00565466"/>
    <w:rPr>
      <w:b/>
      <w:bCs/>
      <w:kern w:val="44"/>
      <w:sz w:val="32"/>
      <w:szCs w:val="44"/>
    </w:rPr>
  </w:style>
  <w:style w:type="paragraph" w:customStyle="1" w:styleId="ac">
    <w:name w:val="正文内容"/>
    <w:basedOn w:val="a2"/>
    <w:link w:val="ad"/>
    <w:qFormat/>
    <w:rsid w:val="00701579"/>
    <w:pPr>
      <w:spacing w:line="400" w:lineRule="exact"/>
      <w:ind w:firstLineChars="200" w:firstLine="480"/>
    </w:pPr>
    <w:rPr>
      <w:rFonts w:ascii="宋体" w:hAnsi="宋体"/>
      <w:sz w:val="24"/>
    </w:rPr>
  </w:style>
  <w:style w:type="character" w:customStyle="1" w:styleId="ad">
    <w:name w:val="正文内容 字符"/>
    <w:link w:val="ac"/>
    <w:rsid w:val="00701579"/>
    <w:rPr>
      <w:rFonts w:ascii="宋体" w:hAnsi="宋体"/>
      <w:kern w:val="2"/>
      <w:sz w:val="24"/>
      <w:szCs w:val="24"/>
    </w:rPr>
  </w:style>
  <w:style w:type="paragraph" w:customStyle="1" w:styleId="a1">
    <w:name w:val="正文二级"/>
    <w:basedOn w:val="2"/>
    <w:link w:val="ae"/>
    <w:qFormat/>
    <w:rsid w:val="0011048D"/>
    <w:pPr>
      <w:numPr>
        <w:numId w:val="2"/>
      </w:numPr>
      <w:spacing w:beforeLines="50" w:before="156" w:afterLines="50" w:after="156" w:line="240" w:lineRule="auto"/>
      <w:ind w:firstLineChars="200" w:firstLine="562"/>
    </w:pPr>
    <w:rPr>
      <w:rFonts w:eastAsia="宋体"/>
      <w:sz w:val="28"/>
      <w:szCs w:val="28"/>
    </w:rPr>
  </w:style>
  <w:style w:type="character" w:customStyle="1" w:styleId="20">
    <w:name w:val="标题 2 字符"/>
    <w:link w:val="2"/>
    <w:semiHidden/>
    <w:rsid w:val="00701579"/>
    <w:rPr>
      <w:rFonts w:ascii="等线 Light" w:eastAsia="等线 Light" w:hAnsi="等线 Light" w:cs="Times New Roman"/>
      <w:b/>
      <w:bCs/>
      <w:kern w:val="2"/>
      <w:sz w:val="32"/>
      <w:szCs w:val="32"/>
    </w:rPr>
  </w:style>
  <w:style w:type="character" w:customStyle="1" w:styleId="ae">
    <w:name w:val="正文二级 字符"/>
    <w:link w:val="a1"/>
    <w:rsid w:val="0011048D"/>
    <w:rPr>
      <w:rFonts w:ascii="等线 Light" w:hAnsi="等线 Light"/>
      <w:b/>
      <w:bCs/>
      <w:kern w:val="2"/>
      <w:sz w:val="28"/>
      <w:szCs w:val="28"/>
    </w:rPr>
  </w:style>
  <w:style w:type="paragraph" w:customStyle="1" w:styleId="a0">
    <w:name w:val="正文三级"/>
    <w:basedOn w:val="3"/>
    <w:link w:val="af"/>
    <w:qFormat/>
    <w:rsid w:val="00565466"/>
    <w:pPr>
      <w:numPr>
        <w:numId w:val="3"/>
      </w:numPr>
      <w:spacing w:before="0" w:after="0" w:line="400" w:lineRule="exact"/>
      <w:ind w:firstLineChars="200" w:firstLine="482"/>
    </w:pPr>
    <w:rPr>
      <w:rFonts w:ascii="宋体" w:hAnsi="宋体"/>
      <w:sz w:val="24"/>
    </w:rPr>
  </w:style>
  <w:style w:type="character" w:customStyle="1" w:styleId="30">
    <w:name w:val="标题 3 字符"/>
    <w:link w:val="3"/>
    <w:semiHidden/>
    <w:rsid w:val="00283D33"/>
    <w:rPr>
      <w:b/>
      <w:bCs/>
      <w:kern w:val="2"/>
      <w:sz w:val="32"/>
      <w:szCs w:val="32"/>
    </w:rPr>
  </w:style>
  <w:style w:type="character" w:customStyle="1" w:styleId="af">
    <w:name w:val="正文三级 字符"/>
    <w:link w:val="a0"/>
    <w:rsid w:val="00565466"/>
    <w:rPr>
      <w:rFonts w:ascii="宋体" w:hAnsi="宋体"/>
      <w:b/>
      <w:bCs/>
      <w:kern w:val="2"/>
      <w:sz w:val="24"/>
      <w:szCs w:val="32"/>
    </w:rPr>
  </w:style>
  <w:style w:type="paragraph" w:customStyle="1" w:styleId="4">
    <w:name w:val="4级标题"/>
    <w:basedOn w:val="40"/>
    <w:link w:val="42"/>
    <w:qFormat/>
    <w:rsid w:val="00565466"/>
    <w:pPr>
      <w:numPr>
        <w:numId w:val="4"/>
      </w:numPr>
    </w:pPr>
    <w:rPr>
      <w:rFonts w:ascii="宋体" w:eastAsia="宋体" w:hAnsi="宋体"/>
      <w:b w:val="0"/>
      <w:sz w:val="24"/>
    </w:rPr>
  </w:style>
  <w:style w:type="character" w:customStyle="1" w:styleId="42">
    <w:name w:val="4级标题 字符"/>
    <w:link w:val="4"/>
    <w:rsid w:val="00565466"/>
    <w:rPr>
      <w:rFonts w:ascii="宋体" w:hAnsi="宋体" w:cs="Times New Roman"/>
      <w:bCs/>
      <w:kern w:val="2"/>
      <w:sz w:val="24"/>
      <w:szCs w:val="28"/>
    </w:rPr>
  </w:style>
  <w:style w:type="character" w:customStyle="1" w:styleId="41">
    <w:name w:val="标题 4 字符"/>
    <w:link w:val="40"/>
    <w:semiHidden/>
    <w:rsid w:val="00565466"/>
    <w:rPr>
      <w:rFonts w:ascii="等线 Light" w:eastAsia="等线 Light" w:hAnsi="等线 Light" w:cs="Times New Roman"/>
      <w:b/>
      <w:bCs/>
      <w:kern w:val="2"/>
      <w:sz w:val="28"/>
      <w:szCs w:val="28"/>
    </w:rPr>
  </w:style>
  <w:style w:type="paragraph" w:styleId="af0">
    <w:name w:val="Title"/>
    <w:basedOn w:val="a2"/>
    <w:next w:val="a2"/>
    <w:link w:val="af1"/>
    <w:qFormat/>
    <w:rsid w:val="00905124"/>
    <w:pPr>
      <w:spacing w:before="240" w:after="60"/>
      <w:jc w:val="center"/>
      <w:outlineLvl w:val="0"/>
    </w:pPr>
    <w:rPr>
      <w:rFonts w:ascii="等线 Light" w:hAnsi="等线 Light"/>
      <w:b/>
      <w:bCs/>
      <w:sz w:val="32"/>
      <w:szCs w:val="32"/>
    </w:rPr>
  </w:style>
  <w:style w:type="character" w:customStyle="1" w:styleId="af1">
    <w:name w:val="标题 字符"/>
    <w:link w:val="af0"/>
    <w:rsid w:val="00905124"/>
    <w:rPr>
      <w:rFonts w:ascii="等线 Light" w:hAnsi="等线 Light" w:cs="Times New Roman"/>
      <w:b/>
      <w:bCs/>
      <w:kern w:val="2"/>
      <w:sz w:val="32"/>
      <w:szCs w:val="32"/>
    </w:rPr>
  </w:style>
  <w:style w:type="paragraph" w:styleId="af2">
    <w:name w:val="header"/>
    <w:basedOn w:val="a2"/>
    <w:link w:val="af3"/>
    <w:rsid w:val="004566CA"/>
    <w:pPr>
      <w:tabs>
        <w:tab w:val="center" w:pos="4153"/>
        <w:tab w:val="right" w:pos="8306"/>
      </w:tabs>
      <w:snapToGrid w:val="0"/>
      <w:jc w:val="center"/>
    </w:pPr>
    <w:rPr>
      <w:sz w:val="18"/>
      <w:szCs w:val="18"/>
    </w:rPr>
  </w:style>
  <w:style w:type="character" w:customStyle="1" w:styleId="af3">
    <w:name w:val="页眉 字符"/>
    <w:link w:val="af2"/>
    <w:rsid w:val="004566CA"/>
    <w:rPr>
      <w:kern w:val="2"/>
      <w:sz w:val="18"/>
      <w:szCs w:val="18"/>
    </w:rPr>
  </w:style>
  <w:style w:type="paragraph" w:styleId="af4">
    <w:name w:val="footer"/>
    <w:basedOn w:val="a2"/>
    <w:link w:val="af5"/>
    <w:uiPriority w:val="99"/>
    <w:rsid w:val="004566CA"/>
    <w:pPr>
      <w:tabs>
        <w:tab w:val="center" w:pos="4153"/>
        <w:tab w:val="right" w:pos="8306"/>
      </w:tabs>
      <w:snapToGrid w:val="0"/>
      <w:jc w:val="left"/>
    </w:pPr>
    <w:rPr>
      <w:sz w:val="18"/>
      <w:szCs w:val="18"/>
    </w:rPr>
  </w:style>
  <w:style w:type="character" w:customStyle="1" w:styleId="af5">
    <w:name w:val="页脚 字符"/>
    <w:link w:val="af4"/>
    <w:uiPriority w:val="99"/>
    <w:rsid w:val="004566CA"/>
    <w:rPr>
      <w:kern w:val="2"/>
      <w:sz w:val="18"/>
      <w:szCs w:val="18"/>
    </w:rPr>
  </w:style>
  <w:style w:type="paragraph" w:styleId="TOC">
    <w:name w:val="TOC Heading"/>
    <w:basedOn w:val="1"/>
    <w:next w:val="a2"/>
    <w:uiPriority w:val="39"/>
    <w:unhideWhenUsed/>
    <w:qFormat/>
    <w:rsid w:val="004566CA"/>
    <w:pPr>
      <w:widowControl/>
      <w:spacing w:before="240" w:after="0" w:line="259" w:lineRule="auto"/>
      <w:jc w:val="left"/>
      <w:outlineLvl w:val="9"/>
    </w:pPr>
    <w:rPr>
      <w:rFonts w:ascii="等线 Light" w:eastAsia="等线 Light" w:hAnsi="等线 Light"/>
      <w:b w:val="0"/>
      <w:bCs w:val="0"/>
      <w:color w:val="0F4761"/>
      <w:kern w:val="0"/>
      <w:sz w:val="32"/>
      <w:szCs w:val="32"/>
    </w:rPr>
  </w:style>
  <w:style w:type="paragraph" w:styleId="TOC2">
    <w:name w:val="toc 2"/>
    <w:basedOn w:val="a2"/>
    <w:next w:val="a2"/>
    <w:autoRedefine/>
    <w:uiPriority w:val="39"/>
    <w:unhideWhenUsed/>
    <w:rsid w:val="004566CA"/>
    <w:pPr>
      <w:widowControl/>
      <w:spacing w:after="100" w:line="259" w:lineRule="auto"/>
      <w:ind w:left="220"/>
      <w:jc w:val="left"/>
    </w:pPr>
    <w:rPr>
      <w:rFonts w:ascii="等线" w:eastAsia="等线" w:hAnsi="等线"/>
      <w:kern w:val="0"/>
      <w:sz w:val="22"/>
      <w:szCs w:val="22"/>
    </w:rPr>
  </w:style>
  <w:style w:type="paragraph" w:styleId="TOC1">
    <w:name w:val="toc 1"/>
    <w:basedOn w:val="a2"/>
    <w:next w:val="a2"/>
    <w:autoRedefine/>
    <w:uiPriority w:val="39"/>
    <w:unhideWhenUsed/>
    <w:rsid w:val="004566CA"/>
    <w:pPr>
      <w:widowControl/>
      <w:spacing w:after="100" w:line="259" w:lineRule="auto"/>
      <w:jc w:val="left"/>
    </w:pPr>
    <w:rPr>
      <w:rFonts w:ascii="等线" w:eastAsia="等线" w:hAnsi="等线"/>
      <w:kern w:val="0"/>
      <w:sz w:val="22"/>
      <w:szCs w:val="22"/>
    </w:rPr>
  </w:style>
  <w:style w:type="paragraph" w:styleId="TOC3">
    <w:name w:val="toc 3"/>
    <w:basedOn w:val="a2"/>
    <w:next w:val="a2"/>
    <w:autoRedefine/>
    <w:uiPriority w:val="39"/>
    <w:unhideWhenUsed/>
    <w:rsid w:val="004566CA"/>
    <w:pPr>
      <w:widowControl/>
      <w:spacing w:after="100" w:line="259" w:lineRule="auto"/>
      <w:ind w:left="440"/>
      <w:jc w:val="left"/>
    </w:pPr>
    <w:rPr>
      <w:rFonts w:ascii="等线" w:eastAsia="等线" w:hAnsi="等线"/>
      <w:kern w:val="0"/>
      <w:sz w:val="22"/>
      <w:szCs w:val="22"/>
    </w:rPr>
  </w:style>
  <w:style w:type="character" w:styleId="af6">
    <w:name w:val="Hyperlink"/>
    <w:uiPriority w:val="99"/>
    <w:unhideWhenUsed/>
    <w:rsid w:val="004566CA"/>
    <w:rPr>
      <w:color w:val="467886"/>
      <w:u w:val="single"/>
    </w:rPr>
  </w:style>
  <w:style w:type="character" w:styleId="af7">
    <w:name w:val="Placeholder Text"/>
    <w:basedOn w:val="a3"/>
    <w:uiPriority w:val="99"/>
    <w:unhideWhenUsed/>
    <w:rsid w:val="003607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E82CC-D264-4C7E-ADAF-CDE617AE6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2229</Words>
  <Characters>2833</Characters>
  <Application>Microsoft Office Word</Application>
  <DocSecurity>0</DocSecurity>
  <Lines>113</Lines>
  <Paragraphs>66</Paragraphs>
  <ScaleCrop>false</ScaleCrop>
  <Company>WwW.YlmF.Com</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考查课结课论文（报告、案例分析）写作要求</dc:title>
  <dc:subject/>
  <dc:creator>雨林木风</dc:creator>
  <cp:keywords/>
  <dc:description/>
  <cp:lastModifiedBy>宁 章</cp:lastModifiedBy>
  <cp:revision>4</cp:revision>
  <cp:lastPrinted>2009-05-06T01:41:00Z</cp:lastPrinted>
  <dcterms:created xsi:type="dcterms:W3CDTF">2025-12-31T12:57:00Z</dcterms:created>
  <dcterms:modified xsi:type="dcterms:W3CDTF">2025-12-31T12:58:00Z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中文名称">
    <vt:lpwstr>北京物资学院课程论文(报告)标准格式</vt:lpwstr>
  </property>
  <property fmtid="{D5CDD505-2E9C-101B-9397-08002B2CF9AE}" pid="3" name="KSOProductBuildVer">
    <vt:lpwstr>2052-12.1.0.22529</vt:lpwstr>
  </property>
  <property fmtid="{D5CDD505-2E9C-101B-9397-08002B2CF9AE}" pid="4" name="ICV">
    <vt:lpwstr>2B406190AC3A48D4B5A6A1D055D1345F_12</vt:lpwstr>
  </property>
  <property fmtid="{D5CDD505-2E9C-101B-9397-08002B2CF9AE}" pid="5" name="KSOTemplateDocerSaveRecord">
    <vt:lpwstr>eyJoZGlkIjoiZWQ5NGFmZmE1OTQ1MzIyYWQzMjg5ZTVjNjQwMjgyYmEifQ==</vt:lpwstr>
  </property>
</Properties>
</file>