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C5B1" w14:textId="0FD23ECC" w:rsidR="001C73D2" w:rsidRDefault="00D132F9" w:rsidP="00D132F9">
      <w:pPr>
        <w:jc w:val="center"/>
        <w:rPr>
          <w:rFonts w:eastAsia="黑体"/>
          <w:sz w:val="52"/>
        </w:rPr>
      </w:pPr>
      <w:r>
        <w:rPr>
          <w:rFonts w:eastAsia="黑体" w:hint="eastAsia"/>
          <w:sz w:val="52"/>
          <w:u w:val="single"/>
        </w:rPr>
        <w:t>艺术鉴赏</w:t>
      </w:r>
      <w:r w:rsidR="001C73D2">
        <w:rPr>
          <w:rFonts w:eastAsia="黑体" w:hint="eastAsia"/>
          <w:sz w:val="52"/>
        </w:rPr>
        <w:t>课程</w:t>
      </w:r>
    </w:p>
    <w:p w14:paraId="2FC705D2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  <w:r>
        <w:rPr>
          <w:rFonts w:eastAsia="黑体" w:hint="eastAsia"/>
          <w:sz w:val="52"/>
        </w:rPr>
        <w:t>论文（报告、案例分析）</w:t>
      </w:r>
    </w:p>
    <w:p w14:paraId="01372023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3AD87FD5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1EACF329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6BF93698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52B06917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54BC8B91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60432F50" w14:textId="77777777" w:rsidR="001C73D2" w:rsidRDefault="001C73D2" w:rsidP="001C73D2">
      <w:pPr>
        <w:ind w:firstLineChars="300" w:firstLine="1560"/>
        <w:rPr>
          <w:rFonts w:eastAsia="黑体"/>
          <w:sz w:val="52"/>
        </w:rPr>
      </w:pPr>
    </w:p>
    <w:p w14:paraId="0C7AF0A6" w14:textId="77777777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院    系</w:t>
      </w:r>
      <w:r>
        <w:rPr>
          <w:rFonts w:ascii="宋体" w:hAnsi="宋体" w:hint="eastAsia"/>
          <w:sz w:val="32"/>
          <w:u w:val="single"/>
        </w:rPr>
        <w:t xml:space="preserve"> 计算机与人工智能学院</w:t>
      </w:r>
      <w:r>
        <w:rPr>
          <w:rFonts w:ascii="楷体_GB2312" w:eastAsia="楷体_GB2312" w:hAnsi="宋体" w:hint="eastAsia"/>
          <w:sz w:val="32"/>
          <w:u w:val="single"/>
        </w:rPr>
        <w:t xml:space="preserve"> </w:t>
      </w:r>
    </w:p>
    <w:p w14:paraId="636EC8F3" w14:textId="4D60BCD5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专    业</w:t>
      </w:r>
      <w:r>
        <w:rPr>
          <w:rFonts w:ascii="宋体" w:hAnsi="宋体" w:hint="eastAsia"/>
          <w:sz w:val="32"/>
          <w:u w:val="single"/>
        </w:rPr>
        <w:t xml:space="preserve">   </w:t>
      </w:r>
      <w:r w:rsidR="00D132F9">
        <w:rPr>
          <w:rFonts w:ascii="宋体" w:hAnsi="宋体" w:hint="eastAsia"/>
          <w:sz w:val="32"/>
          <w:u w:val="single"/>
        </w:rPr>
        <w:t>计算机科学与技术</w:t>
      </w:r>
      <w:r>
        <w:rPr>
          <w:rFonts w:ascii="宋体" w:hAnsi="宋体" w:hint="eastAsia"/>
          <w:sz w:val="32"/>
          <w:u w:val="single"/>
        </w:rPr>
        <w:t xml:space="preserve"> </w:t>
      </w:r>
      <w:r w:rsidR="00D132F9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 xml:space="preserve"> </w:t>
      </w:r>
    </w:p>
    <w:p w14:paraId="2C1FF868" w14:textId="0F018BC0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班    级</w:t>
      </w:r>
      <w:r>
        <w:rPr>
          <w:rFonts w:ascii="宋体" w:hAnsi="宋体"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 w:rsidR="00D132F9">
        <w:rPr>
          <w:rFonts w:hint="eastAsia"/>
          <w:sz w:val="32"/>
          <w:u w:val="single"/>
        </w:rPr>
        <w:t>艺术鉴赏二班</w:t>
      </w:r>
      <w:r>
        <w:rPr>
          <w:rFonts w:hint="eastAsia"/>
          <w:sz w:val="32"/>
          <w:u w:val="single"/>
        </w:rPr>
        <w:t xml:space="preserve">   </w:t>
      </w:r>
      <w:r>
        <w:rPr>
          <w:rFonts w:ascii="宋体" w:hAnsi="宋体" w:hint="eastAsia"/>
          <w:sz w:val="32"/>
          <w:u w:val="single"/>
        </w:rPr>
        <w:t xml:space="preserve">  </w:t>
      </w:r>
    </w:p>
    <w:p w14:paraId="6189775C" w14:textId="7AD52F80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学生姓名</w:t>
      </w:r>
      <w:r>
        <w:rPr>
          <w:rFonts w:ascii="宋体" w:hAnsi="宋体" w:hint="eastAsia"/>
          <w:sz w:val="32"/>
          <w:u w:val="single"/>
        </w:rPr>
        <w:t xml:space="preserve">        </w:t>
      </w:r>
      <w:r w:rsidR="00D132F9">
        <w:rPr>
          <w:rFonts w:ascii="宋体" w:hAnsi="宋体" w:hint="eastAsia"/>
          <w:sz w:val="32"/>
          <w:u w:val="single"/>
        </w:rPr>
        <w:t>章宁</w:t>
      </w:r>
      <w:r>
        <w:rPr>
          <w:rFonts w:ascii="楷体_GB2312" w:eastAsia="楷体_GB2312" w:hAnsi="宋体" w:hint="eastAsia"/>
          <w:sz w:val="32"/>
          <w:u w:val="single"/>
        </w:rPr>
        <w:t xml:space="preserve">      </w:t>
      </w:r>
      <w:r>
        <w:rPr>
          <w:rFonts w:ascii="宋体" w:hAnsi="宋体" w:hint="eastAsia"/>
          <w:sz w:val="32"/>
          <w:u w:val="single"/>
        </w:rPr>
        <w:t xml:space="preserve">    </w:t>
      </w:r>
    </w:p>
    <w:p w14:paraId="71B4EC7F" w14:textId="2B2E02DB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学    号</w:t>
      </w:r>
      <w:r>
        <w:rPr>
          <w:rFonts w:ascii="宋体" w:hAnsi="宋体"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 w:rsidR="00D132F9">
        <w:rPr>
          <w:rFonts w:hint="eastAsia"/>
          <w:sz w:val="32"/>
          <w:u w:val="single"/>
        </w:rPr>
        <w:t>25311081200044</w:t>
      </w:r>
      <w:r>
        <w:rPr>
          <w:rFonts w:hint="eastAsia"/>
          <w:sz w:val="32"/>
          <w:u w:val="single"/>
        </w:rPr>
        <w:t xml:space="preserve">  </w:t>
      </w:r>
      <w:r>
        <w:rPr>
          <w:rFonts w:ascii="宋体" w:hAnsi="宋体" w:hint="eastAsia"/>
          <w:sz w:val="32"/>
          <w:u w:val="single"/>
        </w:rPr>
        <w:t xml:space="preserve"> </w:t>
      </w:r>
    </w:p>
    <w:p w14:paraId="44E1A971" w14:textId="0F69717D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  <w:r>
        <w:rPr>
          <w:rFonts w:ascii="宋体" w:hAnsi="宋体" w:hint="eastAsia"/>
          <w:sz w:val="32"/>
        </w:rPr>
        <w:t>任课教师</w:t>
      </w:r>
      <w:r>
        <w:rPr>
          <w:rFonts w:ascii="宋体" w:hAnsi="宋体" w:hint="eastAsia"/>
          <w:sz w:val="32"/>
          <w:u w:val="single"/>
        </w:rPr>
        <w:t xml:space="preserve">        </w:t>
      </w:r>
      <w:r w:rsidR="007A0EE9">
        <w:rPr>
          <w:rFonts w:ascii="宋体" w:hAnsi="宋体" w:hint="eastAsia"/>
          <w:sz w:val="32"/>
          <w:u w:val="single"/>
        </w:rPr>
        <w:t xml:space="preserve">    </w:t>
      </w:r>
      <w:r>
        <w:rPr>
          <w:rFonts w:ascii="宋体" w:hAnsi="宋体" w:hint="eastAsia"/>
          <w:sz w:val="32"/>
          <w:u w:val="single"/>
        </w:rPr>
        <w:t xml:space="preserve">    </w:t>
      </w:r>
      <w:r>
        <w:rPr>
          <w:rFonts w:ascii="楷体_GB2312" w:eastAsia="楷体_GB2312" w:hAnsi="宋体" w:hint="eastAsia"/>
          <w:sz w:val="32"/>
          <w:u w:val="single"/>
        </w:rPr>
        <w:t xml:space="preserve">  </w:t>
      </w:r>
      <w:r w:rsidR="00D132F9">
        <w:rPr>
          <w:rFonts w:ascii="楷体_GB2312" w:eastAsia="楷体_GB2312" w:hAnsi="宋体" w:hint="eastAsia"/>
          <w:sz w:val="32"/>
          <w:u w:val="single"/>
        </w:rPr>
        <w:t xml:space="preserve"> </w:t>
      </w:r>
      <w:r>
        <w:rPr>
          <w:rFonts w:ascii="楷体_GB2312" w:eastAsia="楷体_GB2312" w:hAnsi="宋体" w:hint="eastAsia"/>
          <w:sz w:val="32"/>
          <w:u w:val="single"/>
        </w:rPr>
        <w:t xml:space="preserve">   </w:t>
      </w:r>
    </w:p>
    <w:p w14:paraId="202E1DB5" w14:textId="77777777" w:rsidR="001C73D2" w:rsidRDefault="001C73D2" w:rsidP="001C73D2">
      <w:pPr>
        <w:spacing w:line="360" w:lineRule="auto"/>
        <w:ind w:firstLineChars="600" w:firstLine="1920"/>
        <w:rPr>
          <w:rFonts w:ascii="宋体" w:hAnsi="宋体" w:hint="eastAsia"/>
          <w:sz w:val="32"/>
          <w:u w:val="single"/>
        </w:rPr>
      </w:pPr>
    </w:p>
    <w:p w14:paraId="266563C2" w14:textId="082F79C2" w:rsidR="00CE5F91" w:rsidRPr="001C73D2" w:rsidRDefault="001C73D2" w:rsidP="001C73D2">
      <w:pPr>
        <w:spacing w:line="360" w:lineRule="auto"/>
        <w:ind w:firstLineChars="800" w:firstLine="2560"/>
        <w:rPr>
          <w:rFonts w:ascii="宋体" w:hAnsi="宋体" w:hint="eastAsia"/>
          <w:sz w:val="32"/>
        </w:rPr>
        <w:sectPr w:rsidR="00CE5F91" w:rsidRPr="001C73D2" w:rsidSect="004566CA">
          <w:pgSz w:w="11906" w:h="16838" w:code="9"/>
          <w:pgMar w:top="1440" w:right="1797" w:bottom="1440" w:left="1797" w:header="851" w:footer="992" w:gutter="0"/>
          <w:pgNumType w:chapStyle="1"/>
          <w:cols w:space="720"/>
          <w:docGrid w:type="lines" w:linePitch="312"/>
        </w:sectPr>
      </w:pPr>
      <w:r>
        <w:rPr>
          <w:rFonts w:ascii="宋体" w:hAnsi="宋体" w:hint="eastAsia"/>
          <w:sz w:val="32"/>
        </w:rPr>
        <w:t xml:space="preserve">  </w:t>
      </w:r>
      <w:r w:rsidR="00D132F9">
        <w:rPr>
          <w:rFonts w:ascii="宋体" w:hAnsi="宋体" w:hint="eastAsia"/>
          <w:sz w:val="32"/>
        </w:rPr>
        <w:t>2025</w:t>
      </w:r>
      <w:r>
        <w:rPr>
          <w:rFonts w:ascii="宋体" w:hAnsi="宋体" w:hint="eastAsia"/>
          <w:sz w:val="32"/>
        </w:rPr>
        <w:t xml:space="preserve">  年 </w:t>
      </w:r>
      <w:r w:rsidR="00D132F9">
        <w:rPr>
          <w:rFonts w:ascii="宋体" w:hAnsi="宋体" w:hint="eastAsia"/>
          <w:sz w:val="32"/>
        </w:rPr>
        <w:t xml:space="preserve"> 12</w:t>
      </w:r>
      <w:r>
        <w:rPr>
          <w:rFonts w:ascii="宋体" w:hAnsi="宋体" w:hint="eastAsia"/>
          <w:sz w:val="32"/>
        </w:rPr>
        <w:t xml:space="preserve">   月 </w:t>
      </w:r>
      <w:r w:rsidR="00D132F9">
        <w:rPr>
          <w:rFonts w:ascii="宋体" w:hAnsi="宋体" w:hint="eastAsia"/>
          <w:sz w:val="32"/>
        </w:rPr>
        <w:t xml:space="preserve"> 31</w:t>
      </w:r>
      <w:r>
        <w:rPr>
          <w:rFonts w:ascii="宋体" w:hAnsi="宋体" w:hint="eastAsia"/>
          <w:sz w:val="32"/>
        </w:rPr>
        <w:t xml:space="preserve">   日</w:t>
      </w:r>
    </w:p>
    <w:p w14:paraId="1AB0DA07" w14:textId="46AC4A64" w:rsidR="00C809B3" w:rsidRPr="00C809B3" w:rsidRDefault="00C809B3" w:rsidP="002A319D">
      <w:pPr>
        <w:spacing w:line="400" w:lineRule="exact"/>
        <w:rPr>
          <w:rFonts w:eastAsia="黑体"/>
          <w:b/>
          <w:sz w:val="36"/>
        </w:rPr>
      </w:pPr>
    </w:p>
    <w:p w14:paraId="7E47C7DB" w14:textId="5016D0D5" w:rsidR="001C73D2" w:rsidRPr="001C73D2" w:rsidRDefault="007A0EE9" w:rsidP="007A0EE9">
      <w:pPr>
        <w:spacing w:beforeLines="200" w:before="624" w:after="100" w:afterAutospacing="1" w:line="400" w:lineRule="exact"/>
        <w:jc w:val="center"/>
        <w:rPr>
          <w:rFonts w:eastAsia="楷体_GB2312"/>
          <w:bCs/>
          <w:sz w:val="36"/>
          <w:szCs w:val="36"/>
        </w:rPr>
      </w:pPr>
      <w:r w:rsidRPr="007A0EE9">
        <w:rPr>
          <w:rFonts w:eastAsia="黑体" w:hint="eastAsia"/>
          <w:bCs/>
          <w:sz w:val="36"/>
          <w:szCs w:val="36"/>
        </w:rPr>
        <w:t>边缘计算驱动物联网演进的研究综述</w:t>
      </w:r>
    </w:p>
    <w:p w14:paraId="26DD8A08" w14:textId="77777777" w:rsidR="00842767" w:rsidRDefault="00842767" w:rsidP="007A0EE9">
      <w:pPr>
        <w:pStyle w:val="a"/>
        <w:numPr>
          <w:ilvl w:val="0"/>
          <w:numId w:val="0"/>
        </w:numPr>
        <w:ind w:firstLineChars="200" w:firstLine="643"/>
      </w:pPr>
      <w:r>
        <w:rPr>
          <w:rFonts w:hint="eastAsia"/>
        </w:rPr>
        <w:t>摘要</w:t>
      </w:r>
    </w:p>
    <w:p w14:paraId="1C051B0B" w14:textId="23073EBC" w:rsidR="001C73D2" w:rsidRPr="00842767" w:rsidRDefault="00D132F9" w:rsidP="00842767">
      <w:pPr>
        <w:pStyle w:val="ac"/>
        <w:rPr>
          <w:rStyle w:val="Char0"/>
          <w:rFonts w:hint="eastAsia"/>
          <w:b w:val="0"/>
          <w:bCs w:val="0"/>
          <w:color w:val="auto"/>
        </w:rPr>
      </w:pPr>
      <w:r w:rsidRPr="00D132F9">
        <w:rPr>
          <w:rFonts w:hint="eastAsia"/>
        </w:rPr>
        <w:t>京剧作为中国传统戏曲的典型代表，以行当制、程式化表演与写意性舞台共同构成其审美核心。在国家非物质文化遗产保护与文化数字化战略持续推进的背景下，京剧的传承生态正在发生结构性变化：一方面，剧场生产与院团制度仍然是“守正”的主阵地；另一方面，短视频、直播、沉浸式影像与人工智能修复等技术，正在重塑京剧的传播路径、受</w:t>
      </w:r>
      <w:proofErr w:type="gramStart"/>
      <w:r w:rsidRPr="00D132F9">
        <w:rPr>
          <w:rFonts w:hint="eastAsia"/>
        </w:rPr>
        <w:t>众结构</w:t>
      </w:r>
      <w:proofErr w:type="gramEnd"/>
      <w:r w:rsidRPr="00D132F9">
        <w:rPr>
          <w:rFonts w:hint="eastAsia"/>
        </w:rPr>
        <w:t>与作品形态。本文在非</w:t>
      </w:r>
      <w:proofErr w:type="gramStart"/>
      <w:r w:rsidRPr="00D132F9">
        <w:rPr>
          <w:rFonts w:hint="eastAsia"/>
        </w:rPr>
        <w:t>遗</w:t>
      </w:r>
      <w:proofErr w:type="gramEnd"/>
      <w:r w:rsidRPr="00D132F9">
        <w:rPr>
          <w:rFonts w:hint="eastAsia"/>
        </w:rPr>
        <w:t>保护与媒介生态学的综合视角下，通过政策文本梳理、院团实践案例分析与表演文本阐释，讨论京剧程式美学如何在数字化场景中实现可理解、可体验、可持续的转化，并提出“分层传承—场景转化—生态协同”的未来路径模型。研究认为：数字化并非简单的传播工具，而是一种新的舞台与教育空间；其价值取决于对程式、声腔与表演伦理的尊重，以及对平台逻辑、版权治理与评价体系的系统性回应</w:t>
      </w:r>
      <w:r w:rsidR="00842767">
        <w:rPr>
          <w:rFonts w:hint="eastAsia"/>
        </w:rPr>
        <w:t>。</w:t>
      </w:r>
    </w:p>
    <w:p w14:paraId="0AEB2913" w14:textId="35AF9A97" w:rsidR="00701579" w:rsidRPr="00701579" w:rsidRDefault="001C73D2" w:rsidP="00701579">
      <w:pPr>
        <w:spacing w:line="400" w:lineRule="exact"/>
        <w:ind w:firstLineChars="200" w:firstLine="562"/>
        <w:rPr>
          <w:rFonts w:ascii="黑体" w:eastAsia="黑体" w:hAnsi="宋体" w:hint="eastAsia"/>
        </w:rPr>
      </w:pPr>
      <w:bookmarkStart w:id="0" w:name="_Toc214818471"/>
      <w:r>
        <w:rPr>
          <w:rStyle w:val="Char0"/>
          <w:rFonts w:hint="eastAsia"/>
          <w:color w:val="000000"/>
          <w:sz w:val="28"/>
          <w:szCs w:val="28"/>
        </w:rPr>
        <w:t>关键词</w:t>
      </w:r>
      <w:bookmarkEnd w:id="0"/>
      <w:r>
        <w:rPr>
          <w:rFonts w:ascii="黑体" w:eastAsia="黑体" w:hAnsi="宋体" w:hint="eastAsia"/>
          <w:sz w:val="24"/>
        </w:rPr>
        <w:t>：</w:t>
      </w:r>
      <w:r w:rsidR="00D132F9" w:rsidRPr="00D132F9">
        <w:rPr>
          <w:rFonts w:ascii="宋体" w:hAnsi="宋体" w:hint="eastAsia"/>
          <w:sz w:val="24"/>
        </w:rPr>
        <w:t>京剧；程式美学；非物质文化遗产；数字化传播；传承机制</w:t>
      </w:r>
      <w:r w:rsidR="007A0EE9">
        <w:rPr>
          <w:rFonts w:ascii="宋体" w:hAnsi="宋体" w:hint="eastAsia"/>
          <w:sz w:val="24"/>
        </w:rPr>
        <w:t>;</w:t>
      </w:r>
    </w:p>
    <w:p w14:paraId="7A937A97" w14:textId="77777777" w:rsidR="001C73D2" w:rsidRPr="00565466" w:rsidRDefault="00701579" w:rsidP="00D132F9">
      <w:pPr>
        <w:pStyle w:val="a"/>
      </w:pPr>
      <w:bookmarkStart w:id="1" w:name="_Toc214818472"/>
      <w:r w:rsidRPr="00565466">
        <w:rPr>
          <w:rFonts w:hint="eastAsia"/>
        </w:rPr>
        <w:t>引言</w:t>
      </w:r>
      <w:bookmarkEnd w:id="1"/>
    </w:p>
    <w:p w14:paraId="312E8FAA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京剧在近现代中国艺术史中具有双重身份：既是以舞台综合性与高度程式化著称的表演艺术，也是被制度化、经典化并不断被再阐释的文化符号。进入二十一世纪后，京剧的“危机叙事”与“复兴叙事”交织并存：观众结构老化、演出市场分化、青年从业者培养成本高等问题长期存在；与此同时，国家层面的非遗保护、公共文化服务与美育政策持续加力，院团治理与内容生产也在探索新机制。特别是近两年，戏曲数字化项目、主题直播与沉浸式影像实践频繁出现，使“数字化是否会稀释程式之美”“如何在算法平台上保持艺术标准”等议题进入公共讨论。</w:t>
      </w:r>
    </w:p>
    <w:p w14:paraId="640C33B7" w14:textId="624A331D" w:rsidR="007A0EE9" w:rsidRDefault="00D132F9" w:rsidP="00D132F9">
      <w:pPr>
        <w:pStyle w:val="ac"/>
      </w:pPr>
      <w:r>
        <w:rPr>
          <w:rFonts w:hint="eastAsia"/>
        </w:rPr>
        <w:t>基于此，本文提出三个核心问题：其一，京剧程式美学的关键构成要素是什么，哪些环节最容易在跨媒介转译中发生误读？其二，政策与院团实践在近况中呈现出怎样的路径特征，哪些经验具有可复制性？其三，面向未来，如何在“守正”与“创新”的张力中建立可持续的传承模型，使京剧既能保持艺术品格，又能进入更广阔的公共文化空间</w:t>
      </w:r>
      <w:r w:rsidR="00701579" w:rsidRPr="00701579">
        <w:rPr>
          <w:rFonts w:hint="eastAsia"/>
        </w:rPr>
        <w:t>。</w:t>
      </w:r>
    </w:p>
    <w:p w14:paraId="29715DFA" w14:textId="173FF925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lastRenderedPageBreak/>
        <w:t>理论与研究综述</w:t>
      </w:r>
    </w:p>
    <w:p w14:paraId="7D2F1097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（一）非</w:t>
      </w:r>
      <w:proofErr w:type="gramStart"/>
      <w:r>
        <w:rPr>
          <w:rFonts w:hint="eastAsia"/>
        </w:rPr>
        <w:t>遗保护</w:t>
      </w:r>
      <w:proofErr w:type="gramEnd"/>
      <w:r>
        <w:rPr>
          <w:rFonts w:hint="eastAsia"/>
        </w:rPr>
        <w:t>视角。非</w:t>
      </w:r>
      <w:proofErr w:type="gramStart"/>
      <w:r>
        <w:rPr>
          <w:rFonts w:hint="eastAsia"/>
        </w:rPr>
        <w:t>遗理论</w:t>
      </w:r>
      <w:proofErr w:type="gramEnd"/>
      <w:r>
        <w:rPr>
          <w:rFonts w:hint="eastAsia"/>
        </w:rPr>
        <w:t>强调“活态传承”，即技艺与知识必须在实践共同体中被持续使用与更新。京剧的核心并不等同于某部剧目的文本，而更接近由行当训练、唱念做打、舞台规约与审美伦理共同构成的“表演知识体系”。因此，传承评估不应仅以演出数量或线上播放量为指标，更需要关注师承链条、训练强度、演出质量与观众理解等维度。</w:t>
      </w:r>
    </w:p>
    <w:p w14:paraId="119C69B8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（二）媒介生态与文化产业视角。媒介形态改变会重组艺术生产链条：从剧场的“现场性”到平台的“可切片性”，从完整演出到片段传播，从专业观众</w:t>
      </w:r>
      <w:proofErr w:type="gramStart"/>
      <w:r>
        <w:rPr>
          <w:rFonts w:hint="eastAsia"/>
        </w:rPr>
        <w:t>到泛娱乐受</w:t>
      </w:r>
      <w:proofErr w:type="gramEnd"/>
      <w:r>
        <w:rPr>
          <w:rFonts w:hint="eastAsia"/>
        </w:rPr>
        <w:t>众。短视频与直播扩大</w:t>
      </w:r>
      <w:proofErr w:type="gramStart"/>
      <w:r>
        <w:rPr>
          <w:rFonts w:hint="eastAsia"/>
        </w:rPr>
        <w:t>了触达面</w:t>
      </w:r>
      <w:proofErr w:type="gramEnd"/>
      <w:r>
        <w:rPr>
          <w:rFonts w:hint="eastAsia"/>
        </w:rPr>
        <w:t>，但也引入了流量分配、热点周期与算法推荐等外部变量。对于程式高度精细的京剧而言，媒介的改变不仅是传播渠道变化，更可能影响创作结构、表演节奏与审美期待。</w:t>
      </w:r>
    </w:p>
    <w:p w14:paraId="38906ADF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三）研究述评。既有研究多从史学、音乐学、表演学或文化政策角度展开，关于“数字化如何重构程式理解”的讨论仍相对零散；同时，面向实践层面的可操作模型不足。本文尝试把政策、院团治理与媒介实践纳入同一框架，在保持论述简明的前提下提供结构化分析。</w:t>
      </w:r>
    </w:p>
    <w:p w14:paraId="1760BB3D" w14:textId="3887D79C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t>研究方法与材料来源</w:t>
      </w:r>
    </w:p>
    <w:p w14:paraId="74FBDEE9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本文采用三类方法：第一，政策文本分析，选取近年与非遗保护、戏曲传承、美育和数字文化相关的中央与部委文件及公开答复，提炼其目标、工具与实施机制；第二，案例研究，重点讨论国家级院团在节点性年份的演出、人才培养与社会传播实践，以及文化主管部门与平台机构合作的数字化项目；第三，表演文本阐释，以“程式—语汇—意义”的路径解释唱念做打、身段与场面调度在不同媒介中的可见性差异。材料主要来自政府门户网站、文化和旅游部及教育部公开信息、国家级院团公开发布内容以及相关学术文献。</w:t>
      </w:r>
    </w:p>
    <w:p w14:paraId="7DA382FB" w14:textId="28C3DF62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t>京剧程式美学的结构机制</w:t>
      </w:r>
    </w:p>
    <w:p w14:paraId="04E4DE95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（一）行当系统与程式语汇。京剧以生、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、净、丑为基本行当体系，形成相对稳定的嗓音方法、身段规范与角色气质类型。程式并非僵化模仿，而是经过长期舞台实践沉淀的“高密度符号系统”：一套水袖的抛掷、一次圆场的行走、一个亮相的定势，都在约定俗成中承载叙事与情感。对学习者而言，程式是进入传统的“门径”；对观众而言，程式是理解虚拟性与写意性的“钥匙”。</w:t>
      </w:r>
    </w:p>
    <w:p w14:paraId="5B3BB64C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lastRenderedPageBreak/>
        <w:t>（二）写意性与虚拟性。京剧舞台以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简景物实现时空转换，强调“以少胜多”的意象建构。虚拟性要求观众参与想象：一桌二</w:t>
      </w:r>
      <w:proofErr w:type="gramStart"/>
      <w:r>
        <w:rPr>
          <w:rFonts w:hint="eastAsia"/>
        </w:rPr>
        <w:t>椅可以</w:t>
      </w:r>
      <w:proofErr w:type="gramEnd"/>
      <w:r>
        <w:rPr>
          <w:rFonts w:hint="eastAsia"/>
        </w:rPr>
        <w:t>是厅堂、船舱或城楼；一段跑圆场可以是奔袭千里。正因如此，京剧对“现场共在”的依赖度较高，观众通过乐队节奏、演员气息与台上台下的互动获得完整体验。</w:t>
      </w:r>
    </w:p>
    <w:p w14:paraId="1CCD55FB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三）声腔、文辞与身体的合一。京剧的音乐结构、念白节奏与身体动作高度耦合。唱腔承载抒情与叙事，念白建立人物关系与情境，做打呈现动作逻辑与审美张力。任何单一要素的“抽离”都可能降低整体性。例如，仅以片段展示某一动作的“炫技”，容易遮蔽其与剧情、音乐、人物弧线之间的互文关系。</w:t>
      </w:r>
    </w:p>
    <w:p w14:paraId="0C6845E5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四）舞台综合性与“场面”组织。京剧的综合性不仅体现在演员的唱念做打，也体现在文场、武场对节奏与氛围的塑造，以及舞台美术、灯光与服饰程式对人物身份的编码。传统剧场里，观众往往通过锣鼓点的“提示”进入情境；而在影像化呈现中，若镜头语言忽略了场面与节奏的层次，容易把京剧误读为“动作拼贴”。因此，讨论数字化转译时，必须把乐队、锣鼓经与舞台调度作为整体系统看待。</w:t>
      </w:r>
    </w:p>
    <w:p w14:paraId="174E0F27" w14:textId="438E8FA8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t>近况分析：政策驱动、院团实践与数字化转型</w:t>
      </w:r>
    </w:p>
    <w:p w14:paraId="28A7FE0C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一）宏观政策：从保护到系统治理。近年来，国家层面持续强调非遗系统性保护与传承能力建设。《关于进一步加强非物质文化遗产保护工作的意见》提出健全保护体系、提高传承能力、促进合理利用等要求，为戏曲类非遗的政策支持与公共投入提供了制度基础。</w:t>
      </w:r>
    </w:p>
    <w:p w14:paraId="4FC9D2A6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（二）教育场景：美育与“戏曲进校园”的常态化。围绕青少年受众培育，教育部门与文化部</w:t>
      </w:r>
      <w:proofErr w:type="gramStart"/>
      <w:r>
        <w:rPr>
          <w:rFonts w:hint="eastAsia"/>
        </w:rPr>
        <w:t>门推动</w:t>
      </w:r>
      <w:proofErr w:type="gramEnd"/>
      <w:r>
        <w:rPr>
          <w:rFonts w:hint="eastAsia"/>
        </w:rPr>
        <w:t>戏曲文化通识教育。《关于戏曲进校园的实施意见》作为重要政策依据被多次引用；教育部在相关公开答复中明确将戏曲进校园与学校美育目标结合，强调在大中小学开展戏曲文化通识教育。文化和旅游部也在公开答复中提到，一些省份逐步将戏曲教育纳入义务教育体系，并组织戏曲剧目、演员进校园展演与交流。地方层面亦以通知、活动方案等方式推动项目化落地，为京剧的“早期接触—持续体验—兴趣深化”提供平台。</w:t>
      </w:r>
    </w:p>
    <w:p w14:paraId="0CA2FE4E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（三）院团实践：节点性年份与人才体系建设。国家级院团在2025年前后以“建院70周年”等节点组织系列演出与公共活动，既展示经典谱系，也通过新创与复排形成当代 repertory。同时，院团在人才培养方面强调“领军”“拔尖”对象遴选、教材编写与少儿团培养等举措，体现出在组织层面对传承链条的再加固。节点性活动的意义不止于“纪念”，更在于通过集中呈现与社会传播，强化行业标准与公共认知。</w:t>
      </w:r>
    </w:p>
    <w:p w14:paraId="64029B33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lastRenderedPageBreak/>
        <w:t>（四）数字化转型：从影像记录到沉浸体验。2023年底启动的“中国戏曲数字</w:t>
      </w:r>
      <w:proofErr w:type="gramStart"/>
      <w:r>
        <w:rPr>
          <w:rFonts w:hint="eastAsia"/>
        </w:rPr>
        <w:t>焕</w:t>
      </w:r>
      <w:proofErr w:type="gramEnd"/>
      <w:r>
        <w:rPr>
          <w:rFonts w:hint="eastAsia"/>
        </w:rPr>
        <w:t>新行动”在2025年公布阶段性成果，呈现出三类路径：第一，经典影像的数字修复与再发布，通过人工智能修复使历史资料重新进入公共视野；第二，沉浸式与空间影像实验，如京剧程式的6DoF录制与数字转化，使观众能够以更接近现场的方式观察身段细节；第三，主题直播与互动模板等轻量化传播产品，降低初次接触门槛</w:t>
      </w:r>
      <w:proofErr w:type="gramStart"/>
      <w:r>
        <w:rPr>
          <w:rFonts w:hint="eastAsia"/>
        </w:rPr>
        <w:t>并适配平台传播</w:t>
      </w:r>
      <w:proofErr w:type="gramEnd"/>
      <w:r>
        <w:rPr>
          <w:rFonts w:hint="eastAsia"/>
        </w:rPr>
        <w:t>。此类项目显示：数字化正在从“保存”走向“再生产”，从“档案”走向“体验”。</w:t>
      </w:r>
    </w:p>
    <w:p w14:paraId="5308DB74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五）组织能力与人才结构：数字化时代的“复合型”队伍需求。数字化转型不仅需要演员与乐队的艺术能力，也需要导演、录音、摄影、多机位剪辑、数字策展与版权管理等复合岗位的协同。对院团而言，这意味着在保留传统训练体系的同时，引入项目制生产与跨界合作机制，并通过标准化教材、分级培训与青年人才遴选等方式稳固行业规范。以国家级院团在周年节点推出考级教材编写出版、人才培养对象遴选等举措为例，其背后反映的正是“艺术标准可传递、学习路径可追踪”的治理思路。</w:t>
      </w:r>
    </w:p>
    <w:p w14:paraId="15D7C883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六）问题与张力：平台逻辑与艺术标准的碰撞。数字平台强调即时反馈与热点驱动，容易鼓励可切片、可模仿、可二创的内容形态。京剧传播因此出现两种倾向：一是“技艺景观化”，将程式拆解为可复制动作；二是“情绪短路化”，以夸张情节剪辑制造爽点。二者虽能带来短期曝光，却可能削弱对唱腔结构、人物塑造与戏曲伦理的理解。如何在平台逻辑中保持艺术完整性，成为近况中的关键命题。</w:t>
      </w:r>
    </w:p>
    <w:p w14:paraId="1233F520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（七）</w:t>
      </w:r>
      <w:proofErr w:type="gramStart"/>
      <w:r>
        <w:rPr>
          <w:rFonts w:hint="eastAsia"/>
        </w:rPr>
        <w:t>文旅融合</w:t>
      </w:r>
      <w:proofErr w:type="gramEnd"/>
      <w:r>
        <w:rPr>
          <w:rFonts w:hint="eastAsia"/>
        </w:rPr>
        <w:t>与公共文化服务的扩展。除专业剧场外，近年来京剧在城市公共文化空间、节庆活动</w:t>
      </w:r>
      <w:proofErr w:type="gramStart"/>
      <w:r>
        <w:rPr>
          <w:rFonts w:hint="eastAsia"/>
        </w:rPr>
        <w:t>与文旅场景</w:t>
      </w:r>
      <w:proofErr w:type="gramEnd"/>
      <w:r>
        <w:rPr>
          <w:rFonts w:hint="eastAsia"/>
        </w:rPr>
        <w:t>中的出现频率上升。此类场景的优势在于扩大覆盖面、强化“可遇见性”，但风险在于演出被压缩为背景性节目，从而削弱艺术完整性。未来更可取的方式是</w:t>
      </w:r>
      <w:proofErr w:type="gramStart"/>
      <w:r>
        <w:rPr>
          <w:rFonts w:hint="eastAsia"/>
        </w:rPr>
        <w:t>把文旅场景</w:t>
      </w:r>
      <w:proofErr w:type="gramEnd"/>
      <w:r>
        <w:rPr>
          <w:rFonts w:hint="eastAsia"/>
        </w:rPr>
        <w:t>与导赏、互动体验和知识解释结合，使“看见京剧”进一步转化为“理解京剧”。</w:t>
      </w:r>
    </w:p>
    <w:p w14:paraId="6E4F948E" w14:textId="591608DF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t>面向未来的核心议题：守正与创新的可持续平衡</w:t>
      </w:r>
    </w:p>
    <w:p w14:paraId="7E02F3CF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一）内容生产：经典整理与新编创作的双轮驱动。未来京剧创作需要同时完成两项任务：其一是经典整理的“标准化工程”，包括唱腔谱系、表演范式与舞台版本的系统梳理；其二是新编创作的“当代化表达”，在题材、叙事与舞台语汇上与现实经验形成连接。若缺少经典支撑，创新易流于表面；若缺少当代议题，经典易被封存为博物馆化文本。</w:t>
      </w:r>
    </w:p>
    <w:p w14:paraId="52503F83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（二）受众结构：从“观演”到“参与”的转变。青年受众对京剧的接受，</w:t>
      </w:r>
      <w:r>
        <w:rPr>
          <w:rFonts w:hint="eastAsia"/>
        </w:rPr>
        <w:lastRenderedPageBreak/>
        <w:t>往往从“好奇—理解—认同”逐步推进。数字平台可以完成第一步触达，但第二、三步仍需依靠系统性的审美教育与高质量现场体验。未来受众培育应更强调参与式机制，例如面向校园与社区的工作坊、导赏、公开排练、互动讲座与跨界合作项目，使观众获得“理解成本被分担”的学习通道。</w:t>
      </w:r>
    </w:p>
    <w:p w14:paraId="6BA17368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三）技术前沿：人工智能与虚拟演出带来的新边界。AI修复、智能字幕、动作捕捉、虚拟舞台与多视角拍摄正在扩展京剧的呈现方式。技术的合理使用可以提升可达性与可学习性，例如通过多角度镜头呈现身段细节、用结构化字幕解释</w:t>
      </w:r>
      <w:proofErr w:type="gramStart"/>
      <w:r>
        <w:rPr>
          <w:rFonts w:hint="eastAsia"/>
        </w:rPr>
        <w:t>板式与</w:t>
      </w:r>
      <w:proofErr w:type="gramEnd"/>
      <w:r>
        <w:rPr>
          <w:rFonts w:hint="eastAsia"/>
        </w:rPr>
        <w:t>唱词，但也可能带来“去现场化”的误解，或在AI生成与二次创作中引发版权与表演伦理争议。未来需要建立明确的授权机制、数据使用规范与数字资产管理体系。</w:t>
      </w:r>
    </w:p>
    <w:p w14:paraId="2BD54F6C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（四）评价体系：从流量指标回到综合绩效。京剧的公共价值包含艺术价值、教育价值与文化认同价值。未来评价应形成“线上指标+线下指标”的组合：线上</w:t>
      </w:r>
      <w:proofErr w:type="gramStart"/>
      <w:r>
        <w:rPr>
          <w:rFonts w:hint="eastAsia"/>
        </w:rPr>
        <w:t>关注触达与</w:t>
      </w:r>
      <w:proofErr w:type="gramEnd"/>
      <w:r>
        <w:rPr>
          <w:rFonts w:hint="eastAsia"/>
        </w:rPr>
        <w:t>互动，但更要评价内容的解释性质量；线下关注演出质量、观众满意度、青少年参与度与人才培养成效。只有把流量纳入可治理的框架，数字化才不会异化为单纯的娱乐化竞赛。</w:t>
      </w:r>
    </w:p>
    <w:p w14:paraId="3154B8C7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五）国际传播：跨文化语境中的“可译性”问题。随着对外文化交流常态化，京剧常被作为中国文化名片进入国际舞台。然而，京剧的程式高度依赖文化约定与诗性语言，跨文化传播不能仅靠字幕翻译，还需要情境</w:t>
      </w:r>
      <w:proofErr w:type="gramStart"/>
      <w:r>
        <w:rPr>
          <w:rFonts w:hint="eastAsia"/>
        </w:rPr>
        <w:t>化解释</w:t>
      </w:r>
      <w:proofErr w:type="gramEnd"/>
      <w:r>
        <w:rPr>
          <w:rFonts w:hint="eastAsia"/>
        </w:rPr>
        <w:t>与“可译性设计”，例如通过前置导赏、节目单知识图谱、关键程式的示范讲解与观演互动等方式降低理解门槛。同时，国际传播也应避免把京剧单纯包装为异域奇观，而应呈现其人物伦理、音乐结构与表演训练的专业性。</w:t>
      </w:r>
    </w:p>
    <w:p w14:paraId="1A417C44" w14:textId="37D091EC" w:rsidR="00D132F9" w:rsidRDefault="00D132F9" w:rsidP="00D132F9">
      <w:pPr>
        <w:pStyle w:val="a"/>
        <w:rPr>
          <w:rFonts w:hint="eastAsia"/>
        </w:rPr>
      </w:pPr>
      <w:r>
        <w:rPr>
          <w:rFonts w:hint="eastAsia"/>
        </w:rPr>
        <w:t>路径建议：分层传承—场景转化—生态协同</w:t>
      </w:r>
    </w:p>
    <w:p w14:paraId="5D490B9A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一）分层传承：建立“核心技艺—通识教育—公众体验”的三层结构。核心技艺层面坚持师徒制与院校训练的高强度标准，保障唱念做打的专业性；通识教育层面以课程、教材与社团活动普及戏曲知识；公众体验层面通过城市公共文化空间、</w:t>
      </w:r>
      <w:proofErr w:type="gramStart"/>
      <w:r>
        <w:rPr>
          <w:rFonts w:hint="eastAsia"/>
        </w:rPr>
        <w:t>文旅场景</w:t>
      </w:r>
      <w:proofErr w:type="gramEnd"/>
      <w:r>
        <w:rPr>
          <w:rFonts w:hint="eastAsia"/>
        </w:rPr>
        <w:t>与线上平台提供低门槛接触。三层之间应形成转介机制：线上</w:t>
      </w:r>
      <w:proofErr w:type="gramStart"/>
      <w:r>
        <w:rPr>
          <w:rFonts w:hint="eastAsia"/>
        </w:rPr>
        <w:t>触达可</w:t>
      </w:r>
      <w:proofErr w:type="gramEnd"/>
      <w:r>
        <w:rPr>
          <w:rFonts w:hint="eastAsia"/>
        </w:rPr>
        <w:t>导流至线下导赏与演出，校园体验可导流</w:t>
      </w:r>
      <w:proofErr w:type="gramStart"/>
      <w:r>
        <w:rPr>
          <w:rFonts w:hint="eastAsia"/>
        </w:rPr>
        <w:t>至专业</w:t>
      </w:r>
      <w:proofErr w:type="gramEnd"/>
      <w:r>
        <w:rPr>
          <w:rFonts w:hint="eastAsia"/>
        </w:rPr>
        <w:t>学习与长期观演。</w:t>
      </w:r>
    </w:p>
    <w:p w14:paraId="564EF70C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（二）场景转化：以“剧场为核、校园为源、社区为网、平台为扩展”。剧场承担艺术标准与完整呈现；校园承担审美启蒙与兴趣培养；社区承担生活化的持续参与；平台承担</w:t>
      </w:r>
      <w:proofErr w:type="gramStart"/>
      <w:r>
        <w:rPr>
          <w:rFonts w:hint="eastAsia"/>
        </w:rPr>
        <w:t>规模化触达与</w:t>
      </w:r>
      <w:proofErr w:type="gramEnd"/>
      <w:r>
        <w:rPr>
          <w:rFonts w:hint="eastAsia"/>
        </w:rPr>
        <w:t>知识解释。对每一场景，应配置相应的内容形态：剧场以整本戏与经典折子为主，校园以导赏与示范为主，社区以工作坊与小型演出为主，平台以结构化科普、幕后纪录与多视角片段为主，避免用单一产品覆盖</w:t>
      </w:r>
      <w:r>
        <w:rPr>
          <w:rFonts w:hint="eastAsia"/>
        </w:rPr>
        <w:lastRenderedPageBreak/>
        <w:t>所有场景。</w:t>
      </w:r>
    </w:p>
    <w:p w14:paraId="2E687AFA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三）生态协同：政府、院团、高校与平台的分工与合作。政府侧重制度供给、公共投入与版权治理；院团侧重内容生产、人才培养与艺术把关；高校侧重课程体系、研究支持与评价方法；平台侧重技术能力、传播分发与用户运营。协同机制可以项目制为载体，但更需要长期化制度安排，例如共建数字资源库、共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教学内容标准、共设青年人才实践基地等。</w:t>
      </w:r>
    </w:p>
    <w:p w14:paraId="794286B5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四）路线图与量化评估建议。为避免传承项目“重启动、轻沉淀”，可建立三年滚动路线图：第一年侧重数字资源清点、经典版本标准化与课程内容开发；第二年侧重多场景产品矩阵与受众分层运营；第三年侧重区域协同与国际传播试点。在评估指标上，除演出场次、票房与线上播放外，可加入观众理解度问卷、青少年持续参与率、教师与传承人培养数量、经典版本整理完成度、数字资产授权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率等指标，形成可对比、可复盘的绩效体系。</w:t>
      </w:r>
    </w:p>
    <w:p w14:paraId="0836CF4F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（五）风险治理：版权、数据与文化伦理。数字化将大量表演资料转化为可复制资产，必须明确作品权属、表演者权利与平台使用边界；同时，AI人脸融合、虚拟复原等技术涉及身份与伦理问题，应坚持可追溯、可授权、可撤回的原则。通过规则的前置，才能让技术创新在合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与尊重艺术人格的前提下运行。</w:t>
      </w:r>
    </w:p>
    <w:p w14:paraId="39BBBF6C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八、结论</w:t>
      </w:r>
    </w:p>
    <w:p w14:paraId="72AB7523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京剧的当代传承并非“传统与现代”的二元对立，而是一个涉及制度、人才、观众、媒介与伦理的系统工程。程式美学的价值在于其高度凝练的符号系统与现场写意逻辑；数字化的意义在于扩展可见性、降低理解门槛并创造新的体验空间。面向未来，京剧需要在守正中保持训练与舞台标准，在创新中主动适配媒介生态与受</w:t>
      </w:r>
      <w:proofErr w:type="gramStart"/>
      <w:r>
        <w:rPr>
          <w:rFonts w:hint="eastAsia"/>
        </w:rPr>
        <w:t>众结构</w:t>
      </w:r>
      <w:proofErr w:type="gramEnd"/>
      <w:r>
        <w:rPr>
          <w:rFonts w:hint="eastAsia"/>
        </w:rPr>
        <w:t>变化。本文提出的“分层传承—场景转化—生态协同”模型，旨在为京剧在数字化时代实现可持续发展提供可操作框架。</w:t>
      </w:r>
    </w:p>
    <w:p w14:paraId="36B9B6ED" w14:textId="77777777" w:rsidR="00D132F9" w:rsidRDefault="00D132F9" w:rsidP="00D132F9">
      <w:pPr>
        <w:pStyle w:val="ac"/>
        <w:rPr>
          <w:rFonts w:hint="eastAsia"/>
        </w:rPr>
      </w:pPr>
      <w:r>
        <w:rPr>
          <w:rFonts w:hint="eastAsia"/>
        </w:rPr>
        <w:t>需要指出的是，本文主要基于公开政策文本与典型案例进行分析，未能覆盖不同地区院团在资源禀赋、市场环境与受</w:t>
      </w:r>
      <w:proofErr w:type="gramStart"/>
      <w:r>
        <w:rPr>
          <w:rFonts w:hint="eastAsia"/>
        </w:rPr>
        <w:t>众结构</w:t>
      </w:r>
      <w:proofErr w:type="gramEnd"/>
      <w:r>
        <w:rPr>
          <w:rFonts w:hint="eastAsia"/>
        </w:rPr>
        <w:t>上的差异；对平台传播数据与观众行为的讨论亦偏于定性。后续研究可在更细颗粒度的演出与传播数据基础上，结合田野调查与受众访谈，进一步检验“分层传承—场景转化—生态协同”模型的适用边界，并提出更具地域针对性的实施方案。</w:t>
      </w:r>
    </w:p>
    <w:p w14:paraId="1C5AB4FE" w14:textId="3134F571" w:rsidR="00D132F9" w:rsidRDefault="00D132F9" w:rsidP="00D132F9">
      <w:pPr>
        <w:spacing w:beforeLines="100" w:before="312" w:afterLines="100" w:after="312"/>
        <w:ind w:firstLine="641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参考文献</w:t>
      </w:r>
    </w:p>
    <w:p w14:paraId="06B2F861" w14:textId="5EDE4040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［1］中共中央办公厅、国务院办公厅：《关于进一步加强非物质文化遗产保护工作的意见》，中华人民共和国中央人民政府门户网站，2021-08-12。</w:t>
      </w:r>
    </w:p>
    <w:p w14:paraId="1AEF64C0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［2］文化和旅游</w:t>
      </w:r>
      <w:proofErr w:type="gramStart"/>
      <w:r>
        <w:rPr>
          <w:rFonts w:hint="eastAsia"/>
        </w:rPr>
        <w:t>部艺术</w:t>
      </w:r>
      <w:proofErr w:type="gramEnd"/>
      <w:r>
        <w:rPr>
          <w:rFonts w:hint="eastAsia"/>
        </w:rPr>
        <w:t>发展中心：《“中国戏曲数字焕新行动”取得阶段性成果》，</w:t>
      </w:r>
      <w:r>
        <w:rPr>
          <w:rFonts w:hint="eastAsia"/>
        </w:rPr>
        <w:lastRenderedPageBreak/>
        <w:t>文化和旅游部网站，2025-01-17。</w:t>
      </w:r>
    </w:p>
    <w:p w14:paraId="6CF8E679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［3］教育部：《对十四届全国人大一次会议第8105号建议的答复》，教育部政府信息公开，2024-01-02。</w:t>
      </w:r>
    </w:p>
    <w:p w14:paraId="23AEB029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［4］文化和旅游部：《文化和旅游部对十四届全国人大二次会议第2768号建议的答复》，文化和旅游</w:t>
      </w:r>
      <w:proofErr w:type="gramStart"/>
      <w:r>
        <w:rPr>
          <w:rFonts w:hint="eastAsia"/>
        </w:rPr>
        <w:t>部政府</w:t>
      </w:r>
      <w:proofErr w:type="gramEnd"/>
      <w:r>
        <w:rPr>
          <w:rFonts w:hint="eastAsia"/>
        </w:rPr>
        <w:t>信息公开，2024-12-24。</w:t>
      </w:r>
    </w:p>
    <w:p w14:paraId="7FA8E6A3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［5］人民网：《纪念国家京剧院建院70周年 14场精彩好戏将登台》，人民网，2025-01-22。</w:t>
      </w:r>
    </w:p>
    <w:p w14:paraId="0DA501F0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［6］国家京剧院：《“国家京剧院建院70周年”系列演出》专题页，国家京剧院官网，2025。</w:t>
      </w:r>
    </w:p>
    <w:p w14:paraId="0E481E72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［7］北京市教育委员会：《关于举办2023年北京市戏曲进校园系列活动的通知》，北京市教育委员会网站，2023-11-27。</w:t>
      </w:r>
    </w:p>
    <w:p w14:paraId="7FC4AF1C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［8］周传家：《京剧艺术概论》，北京：文化艺术出版社，2018。</w:t>
      </w:r>
    </w:p>
    <w:p w14:paraId="377ED21D" w14:textId="77777777" w:rsid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［9］刘祯：《戏曲表演美学》，北京：高等教育出版社，2016。</w:t>
      </w:r>
    </w:p>
    <w:p w14:paraId="772FCBAB" w14:textId="174F6FA4" w:rsidR="00D132F9" w:rsidRPr="00D132F9" w:rsidRDefault="00D132F9" w:rsidP="00D132F9">
      <w:pPr>
        <w:pStyle w:val="ac"/>
        <w:ind w:firstLineChars="0" w:firstLine="0"/>
        <w:rPr>
          <w:rFonts w:hint="eastAsia"/>
        </w:rPr>
      </w:pPr>
      <w:r>
        <w:rPr>
          <w:rFonts w:hint="eastAsia"/>
        </w:rPr>
        <w:t>［10］王安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：《戏曲与现代文化》，上海：复旦大学出版社，2019。</w:t>
      </w:r>
    </w:p>
    <w:p w14:paraId="1FF381D4" w14:textId="1E10D7BF" w:rsidR="00711828" w:rsidRPr="00711828" w:rsidRDefault="00711828" w:rsidP="00711828">
      <w:pPr>
        <w:spacing w:line="400" w:lineRule="exact"/>
        <w:rPr>
          <w:rFonts w:ascii="宋体" w:hAnsi="宋体" w:hint="eastAsia"/>
          <w:sz w:val="24"/>
        </w:rPr>
      </w:pPr>
    </w:p>
    <w:sectPr w:rsidR="00711828" w:rsidRPr="00711828" w:rsidSect="004566CA">
      <w:pgSz w:w="11906" w:h="16838" w:code="9"/>
      <w:pgMar w:top="1440" w:right="1797" w:bottom="1440" w:left="1797" w:header="851" w:footer="992" w:gutter="0"/>
      <w:pgNumType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E4249" w14:textId="77777777" w:rsidR="00B51B33" w:rsidRDefault="00B51B33" w:rsidP="004566CA">
      <w:r>
        <w:separator/>
      </w:r>
    </w:p>
  </w:endnote>
  <w:endnote w:type="continuationSeparator" w:id="0">
    <w:p w14:paraId="7691E20F" w14:textId="77777777" w:rsidR="00B51B33" w:rsidRDefault="00B51B33" w:rsidP="0045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8415" w14:textId="77777777" w:rsidR="00B51B33" w:rsidRDefault="00B51B33" w:rsidP="004566CA">
      <w:r>
        <w:separator/>
      </w:r>
    </w:p>
  </w:footnote>
  <w:footnote w:type="continuationSeparator" w:id="0">
    <w:p w14:paraId="29C83983" w14:textId="77777777" w:rsidR="00B51B33" w:rsidRDefault="00B51B33" w:rsidP="00456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3FE9"/>
    <w:multiLevelType w:val="hybridMultilevel"/>
    <w:tmpl w:val="56F09242"/>
    <w:lvl w:ilvl="0" w:tplc="954C31B6">
      <w:start w:val="1"/>
      <w:numFmt w:val="chineseCountingThousand"/>
      <w:pStyle w:val="a"/>
      <w:suff w:val="nothing"/>
      <w:lvlText w:val="%1、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" w15:restartNumberingAfterBreak="0">
    <w:nsid w:val="36540252"/>
    <w:multiLevelType w:val="hybridMultilevel"/>
    <w:tmpl w:val="09D8ED18"/>
    <w:lvl w:ilvl="0" w:tplc="16866616">
      <w:start w:val="1"/>
      <w:numFmt w:val="decimal"/>
      <w:pStyle w:val="4"/>
      <w:suff w:val="nothing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4FE71E43"/>
    <w:multiLevelType w:val="hybridMultilevel"/>
    <w:tmpl w:val="2938A670"/>
    <w:lvl w:ilvl="0" w:tplc="07EC587C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4366BC"/>
    <w:multiLevelType w:val="hybridMultilevel"/>
    <w:tmpl w:val="C4E8A60A"/>
    <w:lvl w:ilvl="0" w:tplc="423203B0">
      <w:start w:val="1"/>
      <w:numFmt w:val="decimal"/>
      <w:pStyle w:val="a0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773F7822"/>
    <w:multiLevelType w:val="hybridMultilevel"/>
    <w:tmpl w:val="F64A28F2"/>
    <w:lvl w:ilvl="0" w:tplc="554E28A2">
      <w:start w:val="1"/>
      <w:numFmt w:val="chineseCountingThousand"/>
      <w:pStyle w:val="a1"/>
      <w:suff w:val="nothing"/>
      <w:lvlText w:val="(%1)"/>
      <w:lvlJc w:val="left"/>
      <w:pPr>
        <w:ind w:left="0" w:firstLine="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611980074">
    <w:abstractNumId w:val="0"/>
  </w:num>
  <w:num w:numId="2" w16cid:durableId="1617827210">
    <w:abstractNumId w:val="4"/>
  </w:num>
  <w:num w:numId="3" w16cid:durableId="31267805">
    <w:abstractNumId w:val="3"/>
  </w:num>
  <w:num w:numId="4" w16cid:durableId="304285145">
    <w:abstractNumId w:val="1"/>
  </w:num>
  <w:num w:numId="5" w16cid:durableId="2068913116">
    <w:abstractNumId w:val="4"/>
    <w:lvlOverride w:ilvl="0">
      <w:startOverride w:val="1"/>
    </w:lvlOverride>
  </w:num>
  <w:num w:numId="6" w16cid:durableId="70589516">
    <w:abstractNumId w:val="4"/>
    <w:lvlOverride w:ilvl="0">
      <w:startOverride w:val="1"/>
    </w:lvlOverride>
  </w:num>
  <w:num w:numId="7" w16cid:durableId="1185754941">
    <w:abstractNumId w:val="4"/>
    <w:lvlOverride w:ilvl="0">
      <w:startOverride w:val="1"/>
    </w:lvlOverride>
  </w:num>
  <w:num w:numId="8" w16cid:durableId="1987125397">
    <w:abstractNumId w:val="3"/>
    <w:lvlOverride w:ilvl="0">
      <w:startOverride w:val="1"/>
    </w:lvlOverride>
  </w:num>
  <w:num w:numId="9" w16cid:durableId="875775578">
    <w:abstractNumId w:val="3"/>
    <w:lvlOverride w:ilvl="0">
      <w:startOverride w:val="1"/>
    </w:lvlOverride>
  </w:num>
  <w:num w:numId="10" w16cid:durableId="605237434">
    <w:abstractNumId w:val="2"/>
  </w:num>
  <w:num w:numId="11" w16cid:durableId="221019901">
    <w:abstractNumId w:val="4"/>
    <w:lvlOverride w:ilvl="0">
      <w:startOverride w:val="1"/>
    </w:lvlOverride>
  </w:num>
  <w:num w:numId="12" w16cid:durableId="402525684">
    <w:abstractNumId w:val="4"/>
    <w:lvlOverride w:ilvl="0">
      <w:startOverride w:val="1"/>
    </w:lvlOverride>
  </w:num>
  <w:num w:numId="13" w16cid:durableId="99449946">
    <w:abstractNumId w:val="4"/>
    <w:lvlOverride w:ilvl="0">
      <w:startOverride w:val="1"/>
    </w:lvlOverride>
  </w:num>
  <w:num w:numId="14" w16cid:durableId="366495559">
    <w:abstractNumId w:val="4"/>
    <w:lvlOverride w:ilvl="0">
      <w:startOverride w:val="1"/>
    </w:lvlOverride>
  </w:num>
  <w:num w:numId="15" w16cid:durableId="1710832899">
    <w:abstractNumId w:val="4"/>
    <w:lvlOverride w:ilvl="0">
      <w:startOverride w:val="1"/>
    </w:lvlOverride>
  </w:num>
  <w:num w:numId="16" w16cid:durableId="18032089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E1ZGIzNmVkMzQzMzcxZjJmYTc2NDliOWYwNWI5YmYifQ=="/>
  </w:docVars>
  <w:rsids>
    <w:rsidRoot w:val="00E01B17"/>
    <w:rsid w:val="00022D30"/>
    <w:rsid w:val="000F336F"/>
    <w:rsid w:val="0011048D"/>
    <w:rsid w:val="0015711E"/>
    <w:rsid w:val="00174D5B"/>
    <w:rsid w:val="00194487"/>
    <w:rsid w:val="001C73D2"/>
    <w:rsid w:val="001F009B"/>
    <w:rsid w:val="00283D33"/>
    <w:rsid w:val="002A319D"/>
    <w:rsid w:val="002B2DAF"/>
    <w:rsid w:val="002E32DB"/>
    <w:rsid w:val="002E59D4"/>
    <w:rsid w:val="002F33B0"/>
    <w:rsid w:val="00335CF6"/>
    <w:rsid w:val="003607DD"/>
    <w:rsid w:val="00370FEC"/>
    <w:rsid w:val="003A7302"/>
    <w:rsid w:val="003D42AA"/>
    <w:rsid w:val="003F7168"/>
    <w:rsid w:val="004566CA"/>
    <w:rsid w:val="004A3809"/>
    <w:rsid w:val="004E655C"/>
    <w:rsid w:val="005352A0"/>
    <w:rsid w:val="00563E96"/>
    <w:rsid w:val="00565466"/>
    <w:rsid w:val="005757A8"/>
    <w:rsid w:val="005C627E"/>
    <w:rsid w:val="006034D6"/>
    <w:rsid w:val="00646E54"/>
    <w:rsid w:val="00656BC2"/>
    <w:rsid w:val="00701579"/>
    <w:rsid w:val="00711828"/>
    <w:rsid w:val="00760531"/>
    <w:rsid w:val="007706ED"/>
    <w:rsid w:val="00781239"/>
    <w:rsid w:val="007A0EE9"/>
    <w:rsid w:val="00842767"/>
    <w:rsid w:val="00852BC7"/>
    <w:rsid w:val="00871461"/>
    <w:rsid w:val="00882A6E"/>
    <w:rsid w:val="008D361A"/>
    <w:rsid w:val="00905124"/>
    <w:rsid w:val="00920B30"/>
    <w:rsid w:val="00976887"/>
    <w:rsid w:val="009C0F9E"/>
    <w:rsid w:val="009E00EA"/>
    <w:rsid w:val="00A86AC2"/>
    <w:rsid w:val="00AC2302"/>
    <w:rsid w:val="00AC370F"/>
    <w:rsid w:val="00B42571"/>
    <w:rsid w:val="00B51B33"/>
    <w:rsid w:val="00B632BB"/>
    <w:rsid w:val="00B93BA1"/>
    <w:rsid w:val="00C709EA"/>
    <w:rsid w:val="00C7262A"/>
    <w:rsid w:val="00C7393E"/>
    <w:rsid w:val="00C809B3"/>
    <w:rsid w:val="00C864FC"/>
    <w:rsid w:val="00CC2C10"/>
    <w:rsid w:val="00CE5F91"/>
    <w:rsid w:val="00CF5E7C"/>
    <w:rsid w:val="00D05F81"/>
    <w:rsid w:val="00D132F9"/>
    <w:rsid w:val="00D433B5"/>
    <w:rsid w:val="00D4560A"/>
    <w:rsid w:val="00D7664E"/>
    <w:rsid w:val="00DA1DF1"/>
    <w:rsid w:val="00DA2658"/>
    <w:rsid w:val="00DA6FEC"/>
    <w:rsid w:val="00E01B17"/>
    <w:rsid w:val="00E7139A"/>
    <w:rsid w:val="00E95B77"/>
    <w:rsid w:val="00EE13C7"/>
    <w:rsid w:val="00F31F7F"/>
    <w:rsid w:val="00FD08BB"/>
    <w:rsid w:val="014D1BA2"/>
    <w:rsid w:val="0B714B9F"/>
    <w:rsid w:val="11583C2A"/>
    <w:rsid w:val="20692E35"/>
    <w:rsid w:val="209401FB"/>
    <w:rsid w:val="20B50BB6"/>
    <w:rsid w:val="2507194E"/>
    <w:rsid w:val="253A38CF"/>
    <w:rsid w:val="2D3D5BCB"/>
    <w:rsid w:val="375E6A48"/>
    <w:rsid w:val="38A61081"/>
    <w:rsid w:val="3AED3BA0"/>
    <w:rsid w:val="3CE44647"/>
    <w:rsid w:val="3EAD7660"/>
    <w:rsid w:val="40B816D3"/>
    <w:rsid w:val="42F85392"/>
    <w:rsid w:val="4A9C14DF"/>
    <w:rsid w:val="4E405C1B"/>
    <w:rsid w:val="4F5635B2"/>
    <w:rsid w:val="519B5C6C"/>
    <w:rsid w:val="5DA94139"/>
    <w:rsid w:val="5FAD2E3F"/>
    <w:rsid w:val="61DB4DB5"/>
    <w:rsid w:val="66A05974"/>
    <w:rsid w:val="68520509"/>
    <w:rsid w:val="6C347D31"/>
    <w:rsid w:val="6FA61758"/>
    <w:rsid w:val="70DE7999"/>
    <w:rsid w:val="76425553"/>
    <w:rsid w:val="78DC1DBB"/>
    <w:rsid w:val="7A6475B4"/>
    <w:rsid w:val="7AC923F8"/>
    <w:rsid w:val="7B132AB2"/>
    <w:rsid w:val="7C630BDB"/>
    <w:rsid w:val="7CFD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6D8B0"/>
  <w15:chartTrackingRefBased/>
  <w15:docId w15:val="{4200CF40-7471-4EA5-A55B-A3AACC31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2"/>
    <w:link w:val="10"/>
    <w:qFormat/>
    <w:rsid w:val="00335C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2"/>
    <w:next w:val="a2"/>
    <w:link w:val="20"/>
    <w:semiHidden/>
    <w:unhideWhenUsed/>
    <w:qFormat/>
    <w:rsid w:val="00701579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2"/>
    <w:next w:val="a2"/>
    <w:link w:val="30"/>
    <w:semiHidden/>
    <w:unhideWhenUsed/>
    <w:qFormat/>
    <w:rsid w:val="00283D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2"/>
    <w:next w:val="a2"/>
    <w:link w:val="41"/>
    <w:semiHidden/>
    <w:unhideWhenUsed/>
    <w:qFormat/>
    <w:rsid w:val="0056546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 Indent"/>
    <w:basedOn w:val="a2"/>
    <w:pPr>
      <w:ind w:firstLineChars="240" w:firstLine="720"/>
    </w:pPr>
    <w:rPr>
      <w:sz w:val="30"/>
    </w:rPr>
  </w:style>
  <w:style w:type="table" w:styleId="a7">
    <w:name w:val="Table Grid"/>
    <w:basedOn w:val="a4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样式 小四 蓝色 Char"/>
    <w:link w:val="a8"/>
    <w:rPr>
      <w:rFonts w:eastAsia="宋体"/>
      <w:color w:val="0000FF"/>
      <w:kern w:val="2"/>
      <w:sz w:val="24"/>
      <w:szCs w:val="21"/>
      <w:lang w:val="en-US" w:eastAsia="zh-CN" w:bidi="ar-SA"/>
    </w:rPr>
  </w:style>
  <w:style w:type="paragraph" w:customStyle="1" w:styleId="a8">
    <w:name w:val="样式 小四 蓝色"/>
    <w:basedOn w:val="a2"/>
    <w:link w:val="Char"/>
    <w:pPr>
      <w:spacing w:line="400" w:lineRule="exact"/>
      <w:outlineLvl w:val="0"/>
    </w:pPr>
    <w:rPr>
      <w:color w:val="0000FF"/>
      <w:sz w:val="24"/>
      <w:szCs w:val="21"/>
    </w:rPr>
  </w:style>
  <w:style w:type="character" w:customStyle="1" w:styleId="Char0">
    <w:name w:val="样式 宋体 小四 加粗 蓝色 Char"/>
    <w:link w:val="a9"/>
    <w:rPr>
      <w:rFonts w:ascii="宋体" w:eastAsia="宋体" w:hAnsi="宋体"/>
      <w:b/>
      <w:bCs/>
      <w:color w:val="0000FF"/>
      <w:kern w:val="2"/>
      <w:sz w:val="24"/>
      <w:szCs w:val="24"/>
      <w:lang w:val="en-US" w:eastAsia="zh-CN" w:bidi="ar-SA"/>
    </w:rPr>
  </w:style>
  <w:style w:type="paragraph" w:customStyle="1" w:styleId="a9">
    <w:name w:val="样式 宋体 小四 加粗 蓝色"/>
    <w:basedOn w:val="a2"/>
    <w:link w:val="Char0"/>
    <w:pPr>
      <w:spacing w:line="400" w:lineRule="exact"/>
      <w:ind w:firstLineChars="200" w:firstLine="482"/>
      <w:outlineLvl w:val="0"/>
    </w:pPr>
    <w:rPr>
      <w:rFonts w:ascii="宋体" w:hAnsi="宋体"/>
      <w:b/>
      <w:bCs/>
      <w:color w:val="0000FF"/>
      <w:sz w:val="24"/>
    </w:rPr>
  </w:style>
  <w:style w:type="paragraph" w:customStyle="1" w:styleId="929215">
    <w:name w:val="样式 宋体 三号 加粗 蓝色 段前: 9.2 磅 段后: 9.2 磅 行距: 1.5 倍行距"/>
    <w:basedOn w:val="a2"/>
    <w:pPr>
      <w:spacing w:before="184" w:after="184" w:line="360" w:lineRule="auto"/>
      <w:ind w:firstLineChars="196" w:firstLine="630"/>
    </w:pPr>
    <w:rPr>
      <w:rFonts w:ascii="宋体" w:hAnsi="宋体" w:cs="宋体"/>
      <w:b/>
      <w:bCs/>
      <w:color w:val="0000FF"/>
      <w:sz w:val="32"/>
      <w:szCs w:val="20"/>
    </w:rPr>
  </w:style>
  <w:style w:type="paragraph" w:customStyle="1" w:styleId="701184184">
    <w:name w:val="样式 宋体 三号 加粗 蓝色 悬挂缩进: 7.01 字符 段前: 18.4 磅 段后: 18.4 磅"/>
    <w:basedOn w:val="a2"/>
    <w:pPr>
      <w:spacing w:before="368" w:after="368" w:line="400" w:lineRule="exact"/>
      <w:ind w:leftChars="304" w:left="2982" w:hangingChars="701" w:hanging="2252"/>
    </w:pPr>
    <w:rPr>
      <w:rFonts w:ascii="宋体" w:hAnsi="宋体" w:cs="宋体"/>
      <w:b/>
      <w:bCs/>
      <w:color w:val="0000FF"/>
      <w:sz w:val="32"/>
      <w:szCs w:val="20"/>
    </w:rPr>
  </w:style>
  <w:style w:type="paragraph" w:styleId="aa">
    <w:name w:val="List Paragraph"/>
    <w:basedOn w:val="a2"/>
    <w:uiPriority w:val="34"/>
    <w:qFormat/>
    <w:pPr>
      <w:ind w:firstLineChars="200" w:firstLine="420"/>
    </w:pPr>
  </w:style>
  <w:style w:type="character" w:customStyle="1" w:styleId="10">
    <w:name w:val="标题 1 字符"/>
    <w:link w:val="1"/>
    <w:rsid w:val="00335CF6"/>
    <w:rPr>
      <w:b/>
      <w:bCs/>
      <w:kern w:val="44"/>
      <w:sz w:val="44"/>
      <w:szCs w:val="44"/>
    </w:rPr>
  </w:style>
  <w:style w:type="paragraph" w:customStyle="1" w:styleId="a">
    <w:name w:val="正文一级标题"/>
    <w:basedOn w:val="1"/>
    <w:link w:val="ab"/>
    <w:qFormat/>
    <w:rsid w:val="00565466"/>
    <w:pPr>
      <w:numPr>
        <w:numId w:val="1"/>
      </w:numPr>
      <w:spacing w:beforeLines="100" w:before="312" w:afterLines="100" w:after="312" w:line="240" w:lineRule="auto"/>
      <w:ind w:left="0" w:firstLineChars="200" w:firstLine="643"/>
    </w:pPr>
    <w:rPr>
      <w:sz w:val="32"/>
    </w:rPr>
  </w:style>
  <w:style w:type="character" w:customStyle="1" w:styleId="ab">
    <w:name w:val="正文一级标题 字符"/>
    <w:link w:val="a"/>
    <w:rsid w:val="00565466"/>
    <w:rPr>
      <w:b/>
      <w:bCs/>
      <w:kern w:val="44"/>
      <w:sz w:val="32"/>
      <w:szCs w:val="44"/>
    </w:rPr>
  </w:style>
  <w:style w:type="paragraph" w:customStyle="1" w:styleId="ac">
    <w:name w:val="正文内容"/>
    <w:basedOn w:val="a2"/>
    <w:link w:val="ad"/>
    <w:qFormat/>
    <w:rsid w:val="00701579"/>
    <w:pPr>
      <w:spacing w:line="400" w:lineRule="exact"/>
      <w:ind w:firstLineChars="200" w:firstLine="480"/>
    </w:pPr>
    <w:rPr>
      <w:rFonts w:ascii="宋体" w:hAnsi="宋体"/>
      <w:sz w:val="24"/>
    </w:rPr>
  </w:style>
  <w:style w:type="character" w:customStyle="1" w:styleId="ad">
    <w:name w:val="正文内容 字符"/>
    <w:link w:val="ac"/>
    <w:rsid w:val="00701579"/>
    <w:rPr>
      <w:rFonts w:ascii="宋体" w:hAnsi="宋体"/>
      <w:kern w:val="2"/>
      <w:sz w:val="24"/>
      <w:szCs w:val="24"/>
    </w:rPr>
  </w:style>
  <w:style w:type="paragraph" w:customStyle="1" w:styleId="a1">
    <w:name w:val="正文二级"/>
    <w:basedOn w:val="2"/>
    <w:link w:val="ae"/>
    <w:qFormat/>
    <w:rsid w:val="0011048D"/>
    <w:pPr>
      <w:numPr>
        <w:numId w:val="2"/>
      </w:numPr>
      <w:spacing w:beforeLines="50" w:before="156" w:afterLines="50" w:after="156" w:line="240" w:lineRule="auto"/>
      <w:ind w:firstLineChars="200" w:firstLine="562"/>
    </w:pPr>
    <w:rPr>
      <w:rFonts w:eastAsia="宋体"/>
      <w:sz w:val="28"/>
      <w:szCs w:val="28"/>
    </w:rPr>
  </w:style>
  <w:style w:type="character" w:customStyle="1" w:styleId="20">
    <w:name w:val="标题 2 字符"/>
    <w:link w:val="2"/>
    <w:semiHidden/>
    <w:rsid w:val="0070157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ae">
    <w:name w:val="正文二级 字符"/>
    <w:link w:val="a1"/>
    <w:rsid w:val="0011048D"/>
    <w:rPr>
      <w:rFonts w:ascii="等线 Light" w:hAnsi="等线 Light"/>
      <w:b/>
      <w:bCs/>
      <w:kern w:val="2"/>
      <w:sz w:val="28"/>
      <w:szCs w:val="28"/>
    </w:rPr>
  </w:style>
  <w:style w:type="paragraph" w:customStyle="1" w:styleId="a0">
    <w:name w:val="正文三级"/>
    <w:basedOn w:val="3"/>
    <w:link w:val="af"/>
    <w:qFormat/>
    <w:rsid w:val="00565466"/>
    <w:pPr>
      <w:numPr>
        <w:numId w:val="3"/>
      </w:numPr>
      <w:spacing w:before="0" w:after="0" w:line="400" w:lineRule="exact"/>
      <w:ind w:firstLineChars="200" w:firstLine="482"/>
    </w:pPr>
    <w:rPr>
      <w:rFonts w:ascii="宋体" w:hAnsi="宋体"/>
      <w:sz w:val="24"/>
    </w:rPr>
  </w:style>
  <w:style w:type="character" w:customStyle="1" w:styleId="30">
    <w:name w:val="标题 3 字符"/>
    <w:link w:val="3"/>
    <w:semiHidden/>
    <w:rsid w:val="00283D33"/>
    <w:rPr>
      <w:b/>
      <w:bCs/>
      <w:kern w:val="2"/>
      <w:sz w:val="32"/>
      <w:szCs w:val="32"/>
    </w:rPr>
  </w:style>
  <w:style w:type="character" w:customStyle="1" w:styleId="af">
    <w:name w:val="正文三级 字符"/>
    <w:link w:val="a0"/>
    <w:rsid w:val="00565466"/>
    <w:rPr>
      <w:rFonts w:ascii="宋体" w:hAnsi="宋体"/>
      <w:b/>
      <w:bCs/>
      <w:kern w:val="2"/>
      <w:sz w:val="24"/>
      <w:szCs w:val="32"/>
    </w:rPr>
  </w:style>
  <w:style w:type="paragraph" w:customStyle="1" w:styleId="4">
    <w:name w:val="4级标题"/>
    <w:basedOn w:val="40"/>
    <w:link w:val="42"/>
    <w:qFormat/>
    <w:rsid w:val="00565466"/>
    <w:pPr>
      <w:numPr>
        <w:numId w:val="4"/>
      </w:numPr>
    </w:pPr>
    <w:rPr>
      <w:rFonts w:ascii="宋体" w:eastAsia="宋体" w:hAnsi="宋体"/>
      <w:b w:val="0"/>
      <w:sz w:val="24"/>
    </w:rPr>
  </w:style>
  <w:style w:type="character" w:customStyle="1" w:styleId="42">
    <w:name w:val="4级标题 字符"/>
    <w:link w:val="4"/>
    <w:rsid w:val="00565466"/>
    <w:rPr>
      <w:rFonts w:ascii="宋体" w:hAnsi="宋体" w:cs="Times New Roman"/>
      <w:bCs/>
      <w:kern w:val="2"/>
      <w:sz w:val="24"/>
      <w:szCs w:val="28"/>
    </w:rPr>
  </w:style>
  <w:style w:type="character" w:customStyle="1" w:styleId="41">
    <w:name w:val="标题 4 字符"/>
    <w:link w:val="40"/>
    <w:semiHidden/>
    <w:rsid w:val="00565466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paragraph" w:styleId="af0">
    <w:name w:val="Title"/>
    <w:basedOn w:val="a2"/>
    <w:next w:val="a2"/>
    <w:link w:val="af1"/>
    <w:qFormat/>
    <w:rsid w:val="00905124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1">
    <w:name w:val="标题 字符"/>
    <w:link w:val="af0"/>
    <w:rsid w:val="00905124"/>
    <w:rPr>
      <w:rFonts w:ascii="等线 Light" w:hAnsi="等线 Light" w:cs="Times New Roman"/>
      <w:b/>
      <w:bCs/>
      <w:kern w:val="2"/>
      <w:sz w:val="32"/>
      <w:szCs w:val="32"/>
    </w:rPr>
  </w:style>
  <w:style w:type="paragraph" w:styleId="af2">
    <w:name w:val="header"/>
    <w:basedOn w:val="a2"/>
    <w:link w:val="af3"/>
    <w:rsid w:val="004566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link w:val="af2"/>
    <w:rsid w:val="004566CA"/>
    <w:rPr>
      <w:kern w:val="2"/>
      <w:sz w:val="18"/>
      <w:szCs w:val="18"/>
    </w:rPr>
  </w:style>
  <w:style w:type="paragraph" w:styleId="af4">
    <w:name w:val="footer"/>
    <w:basedOn w:val="a2"/>
    <w:link w:val="af5"/>
    <w:uiPriority w:val="99"/>
    <w:rsid w:val="00456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link w:val="af4"/>
    <w:uiPriority w:val="99"/>
    <w:rsid w:val="004566CA"/>
    <w:rPr>
      <w:kern w:val="2"/>
      <w:sz w:val="18"/>
      <w:szCs w:val="18"/>
    </w:rPr>
  </w:style>
  <w:style w:type="paragraph" w:styleId="TOC">
    <w:name w:val="TOC Heading"/>
    <w:basedOn w:val="1"/>
    <w:next w:val="a2"/>
    <w:uiPriority w:val="39"/>
    <w:unhideWhenUsed/>
    <w:qFormat/>
    <w:rsid w:val="004566CA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0F4761"/>
      <w:kern w:val="0"/>
      <w:sz w:val="32"/>
      <w:szCs w:val="32"/>
    </w:rPr>
  </w:style>
  <w:style w:type="paragraph" w:styleId="TOC2">
    <w:name w:val="toc 2"/>
    <w:basedOn w:val="a2"/>
    <w:next w:val="a2"/>
    <w:autoRedefine/>
    <w:uiPriority w:val="39"/>
    <w:unhideWhenUsed/>
    <w:rsid w:val="004566CA"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2"/>
    <w:next w:val="a2"/>
    <w:autoRedefine/>
    <w:uiPriority w:val="39"/>
    <w:unhideWhenUsed/>
    <w:rsid w:val="004566CA"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2"/>
    <w:next w:val="a2"/>
    <w:autoRedefine/>
    <w:uiPriority w:val="39"/>
    <w:unhideWhenUsed/>
    <w:rsid w:val="004566CA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character" w:styleId="af6">
    <w:name w:val="Hyperlink"/>
    <w:uiPriority w:val="99"/>
    <w:unhideWhenUsed/>
    <w:rsid w:val="004566CA"/>
    <w:rPr>
      <w:color w:val="467886"/>
      <w:u w:val="single"/>
    </w:rPr>
  </w:style>
  <w:style w:type="character" w:styleId="af7">
    <w:name w:val="Placeholder Text"/>
    <w:basedOn w:val="a3"/>
    <w:uiPriority w:val="99"/>
    <w:unhideWhenUsed/>
    <w:rsid w:val="003607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82CC-D264-4C7E-ADAF-CDE617AE6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2774</Words>
  <Characters>3525</Characters>
  <Application>Microsoft Office Word</Application>
  <DocSecurity>0</DocSecurity>
  <Lines>141</Lines>
  <Paragraphs>82</Paragraphs>
  <ScaleCrop>false</ScaleCrop>
  <Company>WwW.YlmF.Com</Company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考查课结课论文（报告、案例分析）写作要求</dc:title>
  <dc:subject/>
  <dc:creator>雨林木风</dc:creator>
  <cp:keywords/>
  <dc:description/>
  <cp:lastModifiedBy>宁 章</cp:lastModifiedBy>
  <cp:revision>2</cp:revision>
  <cp:lastPrinted>2025-12-23T13:46:00Z</cp:lastPrinted>
  <dcterms:created xsi:type="dcterms:W3CDTF">2025-12-31T13:57:00Z</dcterms:created>
  <dcterms:modified xsi:type="dcterms:W3CDTF">2025-12-31T13:57:00Z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中文名称">
    <vt:lpwstr>北京物资学院课程论文(报告)标准格式</vt:lpwstr>
  </property>
  <property fmtid="{D5CDD505-2E9C-101B-9397-08002B2CF9AE}" pid="3" name="KSOProductBuildVer">
    <vt:lpwstr>2052-12.1.0.22529</vt:lpwstr>
  </property>
  <property fmtid="{D5CDD505-2E9C-101B-9397-08002B2CF9AE}" pid="4" name="ICV">
    <vt:lpwstr>2B406190AC3A48D4B5A6A1D055D1345F_12</vt:lpwstr>
  </property>
  <property fmtid="{D5CDD505-2E9C-101B-9397-08002B2CF9AE}" pid="5" name="KSOTemplateDocerSaveRecord">
    <vt:lpwstr>eyJoZGlkIjoiZWQ5NGFmZmE1OTQ1MzIyYWQzMjg5ZTVjNjQwMjgyYmEifQ==</vt:lpwstr>
  </property>
</Properties>
</file>