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C09C1" w:rsidRDefault="001C09C1">
      <w:pPr>
        <w:pStyle w:val="Date"/>
      </w:pPr>
    </w:p>
    <w:p w:rsidR="001C09C1" w:rsidRDefault="004035B1">
      <w:pPr>
        <w:pStyle w:val="Title"/>
      </w:pPr>
      <w:r>
        <w:t>PFAS Phase-Out:</w:t>
      </w:r>
      <w:r>
        <w:t xml:space="preserve"> </w:t>
      </w:r>
      <w:r>
        <w:t>Action Plan for Sustainable Change</w:t>
      </w:r>
    </w:p>
    <w:p w:rsidR="001C09C1" w:rsidRDefault="004035B1">
      <w:pPr>
        <w:pStyle w:val="Heading1"/>
      </w:pPr>
      <w:r>
        <w:t>Initial Assessment</w:t>
      </w:r>
    </w:p>
    <w:p w:rsidR="001C09C1" w:rsidRDefault="00F75672">
      <w:r>
        <w:t>You do</w:t>
      </w:r>
      <w:r>
        <w:t xml:space="preserve"> not</w:t>
      </w:r>
      <w:r>
        <w:t xml:space="preserve"> need to overhaul your whole company overnight. Many companies begin with just one product, one process, or one pilot</w:t>
      </w:r>
      <w:r>
        <w:t>.</w:t>
      </w:r>
    </w:p>
    <w:p w:rsidR="001C09C1" w:rsidRDefault="005754D6">
      <w:pPr>
        <w:pStyle w:val="Heading2"/>
      </w:pPr>
      <w:r>
        <w:t>Use the following list to e</w:t>
      </w:r>
      <w:r w:rsidR="004035B1">
        <w:t>valuate your current position and identify immediate opportunities</w:t>
      </w:r>
      <w:r w:rsidR="004035B1">
        <w:t xml:space="preserve">. </w:t>
      </w:r>
    </w:p>
    <w:p w:rsidR="001C09C1" w:rsidRDefault="004035B1" w:rsidP="004035B1">
      <w:pPr>
        <w:pStyle w:val="Heading3"/>
      </w:pPr>
      <w:r>
        <w:t>We have identified which departments use PFAS-containing materials</w:t>
      </w:r>
    </w:p>
    <w:p w:rsidR="004035B1" w:rsidRDefault="004035B1" w:rsidP="004035B1">
      <w:pPr>
        <w:pStyle w:val="Heading3"/>
      </w:pPr>
      <w:r>
        <w:t>We have access to supplier information and procurement data</w:t>
      </w:r>
    </w:p>
    <w:p w:rsidR="004035B1" w:rsidRDefault="004035B1" w:rsidP="004035B1">
      <w:pPr>
        <w:pStyle w:val="Heading3"/>
      </w:pPr>
      <w:r>
        <w:t>We have begun internal conversations about sustainability goals</w:t>
      </w:r>
    </w:p>
    <w:p w:rsidR="004035B1" w:rsidRDefault="004035B1" w:rsidP="004035B1">
      <w:pPr>
        <w:pStyle w:val="Heading3"/>
      </w:pPr>
      <w:r>
        <w:t>There is leadership interest in environmental health and corporate responsibility</w:t>
      </w:r>
    </w:p>
    <w:p w:rsidR="004035B1" w:rsidRDefault="004035B1" w:rsidP="004035B1">
      <w:pPr>
        <w:pStyle w:val="Heading3"/>
      </w:pPr>
      <w:r>
        <w:t>We have existing policies related to hazardous materials or environmental safety</w:t>
      </w:r>
    </w:p>
    <w:p w:rsidR="004035B1" w:rsidRDefault="004035B1" w:rsidP="004035B1">
      <w:pPr>
        <w:pStyle w:val="Heading3"/>
      </w:pPr>
      <w:r>
        <w:t>We have staff capacity to support this effort over the next 6–12 months</w:t>
      </w:r>
    </w:p>
    <w:p w:rsidR="004035B1" w:rsidRDefault="004035B1" w:rsidP="004035B1">
      <w:pPr>
        <w:pStyle w:val="Heading3"/>
      </w:pPr>
      <w:r>
        <w:t>A preliminary PFAS risk report has been conducted internally or by a third party</w:t>
      </w:r>
    </w:p>
    <w:p w:rsidR="005754D6" w:rsidRDefault="005754D6" w:rsidP="004035B1">
      <w:pPr>
        <w:pStyle w:val="Heading3"/>
      </w:pPr>
      <w:r>
        <w:t>Add any additional assets or gaps noted:</w:t>
      </w:r>
    </w:p>
    <w:p w:rsidR="001C09C1" w:rsidRDefault="005754D6">
      <w:pPr>
        <w:pStyle w:val="Heading1"/>
      </w:pPr>
      <w:r>
        <w:t>Strategic Intent &amp; Motivation</w:t>
      </w:r>
    </w:p>
    <w:p w:rsidR="001C09C1" w:rsidRDefault="005754D6" w:rsidP="005754D6">
      <w:r>
        <w:t>Align internal motivations with external responsibilities</w:t>
      </w:r>
    </w:p>
    <w:p w:rsidR="005754D6" w:rsidRDefault="005754D6" w:rsidP="005754D6">
      <w:pPr>
        <w:pStyle w:val="Heading2"/>
      </w:pPr>
      <w:r>
        <w:t>What drives our organization to act now?</w:t>
      </w:r>
      <w:r>
        <w:t xml:space="preserve"> (examples)</w:t>
      </w:r>
    </w:p>
    <w:p w:rsidR="005754D6" w:rsidRDefault="005754D6" w:rsidP="005754D6">
      <w:pPr>
        <w:pStyle w:val="Heading3"/>
      </w:pPr>
      <w:r>
        <w:t>Reputational concerns among stakeholders or consumers</w:t>
      </w:r>
    </w:p>
    <w:p w:rsidR="005754D6" w:rsidRDefault="005754D6" w:rsidP="005754D6">
      <w:pPr>
        <w:pStyle w:val="Heading3"/>
      </w:pPr>
      <w:r>
        <w:t>R</w:t>
      </w:r>
      <w:r>
        <w:t>isk of regulatory action or legal liability</w:t>
      </w:r>
    </w:p>
    <w:p w:rsidR="005754D6" w:rsidRDefault="005754D6" w:rsidP="005754D6">
      <w:pPr>
        <w:pStyle w:val="Heading3"/>
      </w:pPr>
      <w:r>
        <w:t>Pressure from shareholders or investment groups</w:t>
      </w:r>
    </w:p>
    <w:p w:rsidR="005754D6" w:rsidRDefault="005754D6" w:rsidP="005754D6">
      <w:pPr>
        <w:pStyle w:val="Heading3"/>
      </w:pPr>
      <w:r>
        <w:t>I</w:t>
      </w:r>
      <w:r>
        <w:t>nternal values on sustainability and human health</w:t>
      </w:r>
    </w:p>
    <w:p w:rsidR="005754D6" w:rsidRDefault="005754D6" w:rsidP="005754D6">
      <w:pPr>
        <w:pStyle w:val="Heading3"/>
      </w:pPr>
      <w:r>
        <w:t>Alignment with upcoming EU</w:t>
      </w:r>
      <w:r>
        <w:t xml:space="preserve"> </w:t>
      </w:r>
      <w:r>
        <w:t>regulatory frameworks</w:t>
      </w:r>
    </w:p>
    <w:p w:rsidR="005754D6" w:rsidRDefault="005754D6" w:rsidP="005754D6">
      <w:pPr>
        <w:pStyle w:val="Heading3"/>
      </w:pPr>
      <w:r>
        <w:t>Employee or consumer advocacy</w:t>
      </w:r>
    </w:p>
    <w:p w:rsidR="005754D6" w:rsidRDefault="005754D6" w:rsidP="005754D6">
      <w:pPr>
        <w:pStyle w:val="Heading2"/>
      </w:pPr>
      <w:r>
        <w:t>In your own words, why is it essential for us to begin phasing out PFAS now?</w:t>
      </w:r>
    </w:p>
    <w:p w:rsidR="005754D6" w:rsidRDefault="005754D6" w:rsidP="005754D6">
      <w:pPr>
        <w:pStyle w:val="Heading1"/>
        <w:numPr>
          <w:ilvl w:val="0"/>
          <w:numId w:val="0"/>
        </w:numPr>
        <w:ind w:left="360"/>
      </w:pPr>
    </w:p>
    <w:p w:rsidR="005754D6" w:rsidRDefault="005754D6" w:rsidP="005754D6">
      <w:pPr>
        <w:pStyle w:val="Heading1"/>
      </w:pPr>
      <w:r>
        <w:lastRenderedPageBreak/>
        <w:t>Stakeholder Engagement Plan</w:t>
      </w:r>
    </w:p>
    <w:p w:rsidR="005754D6" w:rsidRDefault="005754D6" w:rsidP="005754D6">
      <w:pPr>
        <w:pStyle w:val="Heading2"/>
      </w:pPr>
      <w:r>
        <w:t>Identify who must be informed, included, or consulted early on</w:t>
      </w:r>
    </w:p>
    <w:tbl>
      <w:tblPr>
        <w:tblStyle w:val="PlainTable1"/>
        <w:tblpPr w:leftFromText="180" w:rightFromText="180" w:vertAnchor="text" w:horzAnchor="margin" w:tblpXSpec="center" w:tblpY="-69"/>
        <w:tblW w:w="10065" w:type="dxa"/>
        <w:tblLook w:val="04A0" w:firstRow="1" w:lastRow="0" w:firstColumn="1" w:lastColumn="0" w:noHBand="0" w:noVBand="1"/>
      </w:tblPr>
      <w:tblGrid>
        <w:gridCol w:w="2127"/>
        <w:gridCol w:w="2646"/>
        <w:gridCol w:w="2646"/>
        <w:gridCol w:w="2646"/>
      </w:tblGrid>
      <w:tr w:rsidR="005754D6" w:rsidTr="00AB0E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5754D6" w:rsidRDefault="005754D6" w:rsidP="00AB0E09">
            <w:pPr>
              <w:ind w:left="0"/>
              <w:jc w:val="center"/>
            </w:pPr>
            <w:r>
              <w:t>Stakeholder Group</w:t>
            </w:r>
          </w:p>
        </w:tc>
        <w:tc>
          <w:tcPr>
            <w:tcW w:w="2646" w:type="dxa"/>
            <w:vAlign w:val="center"/>
          </w:tcPr>
          <w:p w:rsidR="005754D6" w:rsidRDefault="005754D6" w:rsidP="00AB0E09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Relevance</w:t>
            </w:r>
          </w:p>
        </w:tc>
        <w:tc>
          <w:tcPr>
            <w:tcW w:w="2646" w:type="dxa"/>
            <w:vAlign w:val="center"/>
          </w:tcPr>
          <w:p w:rsidR="005754D6" w:rsidRDefault="005754D6" w:rsidP="00AB0E09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 in Phase-Out</w:t>
            </w:r>
          </w:p>
        </w:tc>
        <w:tc>
          <w:tcPr>
            <w:tcW w:w="2646" w:type="dxa"/>
            <w:vAlign w:val="center"/>
          </w:tcPr>
          <w:p w:rsidR="005754D6" w:rsidRDefault="005754D6" w:rsidP="00AB0E09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 Channel</w:t>
            </w:r>
          </w:p>
        </w:tc>
      </w:tr>
      <w:tr w:rsidR="005754D6" w:rsidTr="00575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5754D6" w:rsidRDefault="005754D6" w:rsidP="005754D6">
            <w:pPr>
              <w:pStyle w:val="Heading1"/>
              <w:numPr>
                <w:ilvl w:val="0"/>
                <w:numId w:val="0"/>
              </w:numPr>
            </w:pPr>
          </w:p>
        </w:tc>
        <w:tc>
          <w:tcPr>
            <w:tcW w:w="2646" w:type="dxa"/>
          </w:tcPr>
          <w:p w:rsidR="005754D6" w:rsidRDefault="005754D6" w:rsidP="005754D6">
            <w:pPr>
              <w:pStyle w:val="Heading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:rsidR="005754D6" w:rsidRDefault="005754D6" w:rsidP="005754D6">
            <w:pPr>
              <w:pStyle w:val="Heading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:rsidR="005754D6" w:rsidRDefault="005754D6" w:rsidP="005754D6">
            <w:pPr>
              <w:pStyle w:val="Heading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54D6" w:rsidTr="00575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5754D6" w:rsidRDefault="005754D6" w:rsidP="005754D6">
            <w:pPr>
              <w:pStyle w:val="Heading1"/>
              <w:numPr>
                <w:ilvl w:val="0"/>
                <w:numId w:val="0"/>
              </w:numPr>
            </w:pPr>
          </w:p>
        </w:tc>
        <w:tc>
          <w:tcPr>
            <w:tcW w:w="2646" w:type="dxa"/>
          </w:tcPr>
          <w:p w:rsidR="005754D6" w:rsidRDefault="005754D6" w:rsidP="005754D6">
            <w:pPr>
              <w:pStyle w:val="Heading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:rsidR="005754D6" w:rsidRDefault="005754D6" w:rsidP="005754D6">
            <w:pPr>
              <w:pStyle w:val="Heading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:rsidR="005754D6" w:rsidRDefault="005754D6" w:rsidP="005754D6">
            <w:pPr>
              <w:pStyle w:val="Heading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54D6" w:rsidTr="00575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5754D6" w:rsidRDefault="005754D6" w:rsidP="005754D6">
            <w:pPr>
              <w:pStyle w:val="Heading1"/>
              <w:numPr>
                <w:ilvl w:val="0"/>
                <w:numId w:val="0"/>
              </w:numPr>
            </w:pPr>
          </w:p>
        </w:tc>
        <w:tc>
          <w:tcPr>
            <w:tcW w:w="2646" w:type="dxa"/>
          </w:tcPr>
          <w:p w:rsidR="005754D6" w:rsidRDefault="005754D6" w:rsidP="005754D6">
            <w:pPr>
              <w:pStyle w:val="Heading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:rsidR="005754D6" w:rsidRDefault="005754D6" w:rsidP="005754D6">
            <w:pPr>
              <w:pStyle w:val="Heading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:rsidR="005754D6" w:rsidRDefault="005754D6" w:rsidP="005754D6">
            <w:pPr>
              <w:pStyle w:val="Heading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54D6" w:rsidTr="005754D6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5754D6" w:rsidRDefault="005754D6" w:rsidP="005754D6">
            <w:pPr>
              <w:pStyle w:val="Heading1"/>
              <w:numPr>
                <w:ilvl w:val="0"/>
                <w:numId w:val="0"/>
              </w:numPr>
            </w:pPr>
          </w:p>
        </w:tc>
        <w:tc>
          <w:tcPr>
            <w:tcW w:w="2646" w:type="dxa"/>
          </w:tcPr>
          <w:p w:rsidR="005754D6" w:rsidRDefault="005754D6" w:rsidP="005754D6">
            <w:pPr>
              <w:pStyle w:val="Heading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:rsidR="005754D6" w:rsidRDefault="005754D6" w:rsidP="005754D6">
            <w:pPr>
              <w:pStyle w:val="Heading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:rsidR="005754D6" w:rsidRDefault="005754D6" w:rsidP="005754D6">
            <w:pPr>
              <w:pStyle w:val="Heading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54D6" w:rsidRDefault="005754D6" w:rsidP="005754D6">
      <w:pPr>
        <w:pStyle w:val="Heading2"/>
      </w:pPr>
      <w:r>
        <w:t xml:space="preserve">Internal Champions: </w:t>
      </w:r>
      <w:r>
        <w:t>List names/departments best positioned to lead or support this effort</w:t>
      </w:r>
    </w:p>
    <w:p w:rsidR="005754D6" w:rsidRDefault="005754D6" w:rsidP="005754D6">
      <w:pPr>
        <w:pStyle w:val="Heading3"/>
      </w:pPr>
      <w:r>
        <w:t>…………………………………………</w:t>
      </w:r>
    </w:p>
    <w:p w:rsidR="005754D6" w:rsidRDefault="005754D6" w:rsidP="005754D6">
      <w:pPr>
        <w:pStyle w:val="Heading3"/>
      </w:pPr>
      <w:r>
        <w:t>…………………………………………</w:t>
      </w:r>
    </w:p>
    <w:p w:rsidR="005754D6" w:rsidRDefault="005754D6" w:rsidP="005754D6">
      <w:pPr>
        <w:pStyle w:val="Heading3"/>
      </w:pPr>
      <w:r>
        <w:t>…………………………………………</w:t>
      </w:r>
    </w:p>
    <w:p w:rsidR="005754D6" w:rsidRDefault="005754D6" w:rsidP="005754D6">
      <w:pPr>
        <w:pStyle w:val="Heading3"/>
      </w:pPr>
      <w:r>
        <w:t>…………………………………………</w:t>
      </w:r>
    </w:p>
    <w:p w:rsidR="005754D6" w:rsidRDefault="005754D6" w:rsidP="005754D6">
      <w:pPr>
        <w:pStyle w:val="Heading3"/>
      </w:pPr>
      <w:r>
        <w:t>…………………………………………</w:t>
      </w:r>
    </w:p>
    <w:p w:rsidR="005754D6" w:rsidRDefault="00AB0E09" w:rsidP="005754D6">
      <w:pPr>
        <w:pStyle w:val="Heading2"/>
      </w:pPr>
      <w:r>
        <w:t>Potential Resistance Points:</w:t>
      </w:r>
      <w:r>
        <w:t xml:space="preserve"> </w:t>
      </w:r>
      <w:r>
        <w:t>Identify likely concerns and how they might be addressed</w:t>
      </w:r>
    </w:p>
    <w:p w:rsidR="00AB0E09" w:rsidRDefault="00AB0E09" w:rsidP="00AB0E09">
      <w:pPr>
        <w:pStyle w:val="Heading3"/>
      </w:pPr>
      <w:r>
        <w:t>Concern:</w:t>
      </w:r>
    </w:p>
    <w:p w:rsidR="00AB0E09" w:rsidRDefault="00AB0E09" w:rsidP="00AB0E09">
      <w:pPr>
        <w:pStyle w:val="Heading4"/>
      </w:pPr>
      <w:r>
        <w:t>…………………………………………</w:t>
      </w:r>
    </w:p>
    <w:p w:rsidR="00AB0E09" w:rsidRDefault="00AB0E09" w:rsidP="00AB0E09">
      <w:pPr>
        <w:pStyle w:val="Heading3"/>
      </w:pPr>
      <w:r>
        <w:t>Response Strategy:</w:t>
      </w:r>
    </w:p>
    <w:p w:rsidR="005754D6" w:rsidRDefault="00AB0E09" w:rsidP="00AB0E09">
      <w:pPr>
        <w:pStyle w:val="Heading4"/>
      </w:pPr>
      <w:r>
        <w:t>…………………………………………</w:t>
      </w:r>
    </w:p>
    <w:p w:rsidR="005754D6" w:rsidRDefault="00AB0E09" w:rsidP="005754D6">
      <w:pPr>
        <w:pStyle w:val="Heading1"/>
      </w:pPr>
      <w:r>
        <w:t>First Steps Roadmap</w:t>
      </w:r>
    </w:p>
    <w:p w:rsidR="00AB0E09" w:rsidRDefault="00AB0E09" w:rsidP="00AB0E09">
      <w:pPr>
        <w:pStyle w:val="Heading2"/>
      </w:pPr>
      <w:r>
        <w:t>Phase 1</w:t>
      </w:r>
    </w:p>
    <w:p w:rsidR="00AB0E09" w:rsidRDefault="00AB0E09" w:rsidP="00AB0E09">
      <w:pPr>
        <w:pStyle w:val="Heading3"/>
      </w:pPr>
      <w:r>
        <w:t>Appoint a PFAS Phase-Out Lead or Task Group</w:t>
      </w:r>
    </w:p>
    <w:p w:rsidR="00AB0E09" w:rsidRDefault="00AB0E09" w:rsidP="00AB0E09">
      <w:pPr>
        <w:pStyle w:val="Heading3"/>
      </w:pPr>
      <w:r>
        <w:t>Communicate commitment internally (Board email, all-hands, etc.)</w:t>
      </w:r>
    </w:p>
    <w:p w:rsidR="00AB0E09" w:rsidRDefault="00AB0E09" w:rsidP="00AB0E09">
      <w:pPr>
        <w:pStyle w:val="Heading3"/>
      </w:pPr>
      <w:r>
        <w:t>Review procurement data for PFAS exposure</w:t>
      </w:r>
    </w:p>
    <w:p w:rsidR="00AB0E09" w:rsidRDefault="00AB0E09" w:rsidP="00AB0E09">
      <w:pPr>
        <w:pStyle w:val="Heading3"/>
      </w:pPr>
      <w:r>
        <w:t>Identify any known regulatory risks</w:t>
      </w:r>
    </w:p>
    <w:p w:rsidR="00AB0E09" w:rsidRDefault="00AB0E09" w:rsidP="00AB0E09">
      <w:pPr>
        <w:pStyle w:val="Heading2"/>
      </w:pPr>
      <w:r>
        <w:t>Phase 2</w:t>
      </w:r>
    </w:p>
    <w:p w:rsidR="00AB0E09" w:rsidRDefault="00AB0E09" w:rsidP="00AB0E09">
      <w:pPr>
        <w:pStyle w:val="Heading3"/>
      </w:pPr>
      <w:r>
        <w:t>Engage suppliers to request PFAS disclosures</w:t>
      </w:r>
    </w:p>
    <w:p w:rsidR="00AB0E09" w:rsidRDefault="00AB0E09" w:rsidP="00AB0E09">
      <w:pPr>
        <w:pStyle w:val="Heading3"/>
      </w:pPr>
      <w:r>
        <w:t>Begin high-level cost/impact analysis</w:t>
      </w:r>
    </w:p>
    <w:p w:rsidR="00AB0E09" w:rsidRDefault="00AB0E09" w:rsidP="00AB0E09">
      <w:pPr>
        <w:pStyle w:val="Heading2"/>
        <w:numPr>
          <w:ilvl w:val="0"/>
          <w:numId w:val="0"/>
        </w:numPr>
        <w:ind w:left="720"/>
      </w:pPr>
    </w:p>
    <w:p w:rsidR="00AB0E09" w:rsidRDefault="00AB0E09" w:rsidP="00AB0E09">
      <w:pPr>
        <w:pStyle w:val="Heading2"/>
      </w:pPr>
      <w:r>
        <w:lastRenderedPageBreak/>
        <w:t>Phase 3</w:t>
      </w:r>
    </w:p>
    <w:p w:rsidR="00AB0E09" w:rsidRDefault="00AB0E09" w:rsidP="00AB0E09">
      <w:pPr>
        <w:pStyle w:val="Heading3"/>
      </w:pPr>
      <w:r>
        <w:t>Host internal planning workshop with key stakeholders</w:t>
      </w:r>
    </w:p>
    <w:p w:rsidR="00AB0E09" w:rsidRDefault="00AB0E09" w:rsidP="00AB0E09">
      <w:pPr>
        <w:pStyle w:val="Heading3"/>
      </w:pPr>
      <w:r>
        <w:t>Draft a short PFAS Reduction Policy for board feedback</w:t>
      </w:r>
    </w:p>
    <w:p w:rsidR="00AB0E09" w:rsidRDefault="00AB0E09" w:rsidP="00AB0E09">
      <w:pPr>
        <w:pStyle w:val="Heading3"/>
      </w:pPr>
      <w:r>
        <w:t>Announce public intention (e.g., sustainability update, press release)</w:t>
      </w:r>
    </w:p>
    <w:p w:rsidR="00AB0E09" w:rsidRDefault="00AB0E09" w:rsidP="00AB0E09">
      <w:pPr>
        <w:pStyle w:val="Heading3"/>
      </w:pPr>
      <w:r>
        <w:t>Determine pilot area(s) for alternative materials</w:t>
      </w:r>
    </w:p>
    <w:p w:rsidR="00AB0E09" w:rsidRDefault="00AB0E09" w:rsidP="005754D6">
      <w:pPr>
        <w:pStyle w:val="Heading1"/>
      </w:pPr>
      <w:r>
        <w:t>Monitoring Progress &amp; Reflecting on Impact</w:t>
      </w:r>
    </w:p>
    <w:p w:rsidR="00AB0E09" w:rsidRDefault="00AB0E09" w:rsidP="00AB0E09">
      <w:pPr>
        <w:pStyle w:val="Heading2"/>
      </w:pPr>
      <w:r>
        <w:t>How will we measure early success?</w:t>
      </w:r>
    </w:p>
    <w:tbl>
      <w:tblPr>
        <w:tblStyle w:val="PlainTable1"/>
        <w:tblpPr w:leftFromText="180" w:rightFromText="180" w:vertAnchor="text" w:horzAnchor="margin" w:tblpXSpec="center" w:tblpY="-69"/>
        <w:tblW w:w="10065" w:type="dxa"/>
        <w:tblLook w:val="04A0" w:firstRow="1" w:lastRow="0" w:firstColumn="1" w:lastColumn="0" w:noHBand="0" w:noVBand="1"/>
      </w:tblPr>
      <w:tblGrid>
        <w:gridCol w:w="2127"/>
        <w:gridCol w:w="2646"/>
        <w:gridCol w:w="2646"/>
        <w:gridCol w:w="2646"/>
      </w:tblGrid>
      <w:tr w:rsidR="00AB0E09" w:rsidTr="00AB0E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AB0E09" w:rsidRDefault="00AB0E09" w:rsidP="00AB0E09">
            <w:pPr>
              <w:ind w:left="0"/>
              <w:jc w:val="center"/>
            </w:pPr>
            <w:r>
              <w:t>Milestone</w:t>
            </w:r>
          </w:p>
        </w:tc>
        <w:tc>
          <w:tcPr>
            <w:tcW w:w="2646" w:type="dxa"/>
            <w:vAlign w:val="center"/>
          </w:tcPr>
          <w:p w:rsidR="00AB0E09" w:rsidRDefault="00AB0E09" w:rsidP="00AB0E09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Strategy</w:t>
            </w:r>
          </w:p>
        </w:tc>
        <w:tc>
          <w:tcPr>
            <w:tcW w:w="2646" w:type="dxa"/>
            <w:vAlign w:val="center"/>
          </w:tcPr>
          <w:p w:rsidR="00AB0E09" w:rsidRDefault="00AB0E09" w:rsidP="00AB0E09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2646" w:type="dxa"/>
            <w:vAlign w:val="center"/>
          </w:tcPr>
          <w:p w:rsidR="00AB0E09" w:rsidRDefault="00AB0E09" w:rsidP="00AB0E09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</w:tr>
      <w:tr w:rsidR="00AB0E09" w:rsidTr="004E6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B0E09" w:rsidRDefault="00AB0E09" w:rsidP="004E6ABF">
            <w:pPr>
              <w:pStyle w:val="Heading1"/>
              <w:numPr>
                <w:ilvl w:val="0"/>
                <w:numId w:val="0"/>
              </w:numPr>
            </w:pPr>
          </w:p>
        </w:tc>
        <w:tc>
          <w:tcPr>
            <w:tcW w:w="2646" w:type="dxa"/>
          </w:tcPr>
          <w:p w:rsidR="00AB0E09" w:rsidRDefault="00AB0E09" w:rsidP="004E6ABF">
            <w:pPr>
              <w:pStyle w:val="Heading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:rsidR="00AB0E09" w:rsidRDefault="00AB0E09" w:rsidP="004E6ABF">
            <w:pPr>
              <w:pStyle w:val="Heading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:rsidR="00AB0E09" w:rsidRDefault="00AB0E09" w:rsidP="004E6ABF">
            <w:pPr>
              <w:pStyle w:val="Heading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0E09" w:rsidTr="004E6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B0E09" w:rsidRDefault="00AB0E09" w:rsidP="004E6ABF">
            <w:pPr>
              <w:pStyle w:val="Heading1"/>
              <w:numPr>
                <w:ilvl w:val="0"/>
                <w:numId w:val="0"/>
              </w:numPr>
            </w:pPr>
          </w:p>
        </w:tc>
        <w:tc>
          <w:tcPr>
            <w:tcW w:w="2646" w:type="dxa"/>
          </w:tcPr>
          <w:p w:rsidR="00AB0E09" w:rsidRDefault="00AB0E09" w:rsidP="004E6ABF">
            <w:pPr>
              <w:pStyle w:val="Heading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:rsidR="00AB0E09" w:rsidRDefault="00AB0E09" w:rsidP="004E6ABF">
            <w:pPr>
              <w:pStyle w:val="Heading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:rsidR="00AB0E09" w:rsidRDefault="00AB0E09" w:rsidP="004E6ABF">
            <w:pPr>
              <w:pStyle w:val="Heading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0E09" w:rsidTr="004E6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B0E09" w:rsidRDefault="00AB0E09" w:rsidP="004E6ABF">
            <w:pPr>
              <w:pStyle w:val="Heading1"/>
              <w:numPr>
                <w:ilvl w:val="0"/>
                <w:numId w:val="0"/>
              </w:numPr>
            </w:pPr>
          </w:p>
        </w:tc>
        <w:tc>
          <w:tcPr>
            <w:tcW w:w="2646" w:type="dxa"/>
          </w:tcPr>
          <w:p w:rsidR="00AB0E09" w:rsidRDefault="00AB0E09" w:rsidP="004E6ABF">
            <w:pPr>
              <w:pStyle w:val="Heading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:rsidR="00AB0E09" w:rsidRDefault="00AB0E09" w:rsidP="004E6ABF">
            <w:pPr>
              <w:pStyle w:val="Heading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:rsidR="00AB0E09" w:rsidRDefault="00AB0E09" w:rsidP="004E6ABF">
            <w:pPr>
              <w:pStyle w:val="Heading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0E09" w:rsidTr="004E6ABF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B0E09" w:rsidRDefault="00AB0E09" w:rsidP="004E6ABF">
            <w:pPr>
              <w:pStyle w:val="Heading1"/>
              <w:numPr>
                <w:ilvl w:val="0"/>
                <w:numId w:val="0"/>
              </w:numPr>
            </w:pPr>
          </w:p>
        </w:tc>
        <w:tc>
          <w:tcPr>
            <w:tcW w:w="2646" w:type="dxa"/>
          </w:tcPr>
          <w:p w:rsidR="00AB0E09" w:rsidRDefault="00AB0E09" w:rsidP="004E6ABF">
            <w:pPr>
              <w:pStyle w:val="Heading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:rsidR="00AB0E09" w:rsidRDefault="00AB0E09" w:rsidP="004E6ABF">
            <w:pPr>
              <w:pStyle w:val="Heading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:rsidR="00AB0E09" w:rsidRDefault="00AB0E09" w:rsidP="004E6ABF">
            <w:pPr>
              <w:pStyle w:val="Heading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B0E09" w:rsidRDefault="00AB0E09" w:rsidP="00AB0E09">
      <w:pPr>
        <w:pStyle w:val="Heading2"/>
        <w:numPr>
          <w:ilvl w:val="0"/>
          <w:numId w:val="0"/>
        </w:numPr>
        <w:ind w:left="720"/>
      </w:pPr>
    </w:p>
    <w:p w:rsidR="00AB0E09" w:rsidRPr="00AB0E09" w:rsidRDefault="00AB0E09" w:rsidP="00AB0E09">
      <w:pPr>
        <w:rPr>
          <w:lang w:val="en-PT"/>
        </w:rPr>
      </w:pPr>
      <w:r w:rsidRPr="00AB0E09">
        <w:rPr>
          <w:lang w:val="en-PT"/>
        </w:rPr>
        <w:t>This document is a declaration of progress, not perfection. By taking practical, achievable steps now, your organization positions itself at the forefront of responsible, ethical leadership</w:t>
      </w:r>
      <w:r>
        <w:rPr>
          <w:lang w:val="en-PT"/>
        </w:rPr>
        <w:t xml:space="preserve"> and protecting yourself from liability</w:t>
      </w:r>
      <w:r w:rsidRPr="00AB0E09">
        <w:rPr>
          <w:lang w:val="en-PT"/>
        </w:rPr>
        <w:t>. The path to eliminating PFAS begins not with sweeping reforms, but with one strong and coordinated step.</w:t>
      </w:r>
    </w:p>
    <w:p w:rsidR="00AB0E09" w:rsidRPr="00AB0E09" w:rsidRDefault="00AB0E09" w:rsidP="00AB0E09">
      <w:pPr>
        <w:rPr>
          <w:lang w:val="en-PT"/>
        </w:rPr>
      </w:pPr>
      <w:r w:rsidRPr="00AB0E09">
        <w:rPr>
          <w:b/>
          <w:bCs/>
          <w:lang w:val="en-PT"/>
        </w:rPr>
        <w:t>Let’s lead with integrity, transparency, and the will to protect what matters most.</w:t>
      </w:r>
    </w:p>
    <w:p w:rsidR="00AB0E09" w:rsidRPr="00AB0E09" w:rsidRDefault="00AB0E09" w:rsidP="00AB0E09">
      <w:pPr>
        <w:pStyle w:val="Heading2"/>
        <w:numPr>
          <w:ilvl w:val="0"/>
          <w:numId w:val="0"/>
        </w:numPr>
        <w:rPr>
          <w:lang w:val="en-PT"/>
        </w:rPr>
      </w:pPr>
    </w:p>
    <w:p w:rsidR="005754D6" w:rsidRDefault="005754D6" w:rsidP="005754D6"/>
    <w:sectPr w:rsidR="005754D6">
      <w:footerReference w:type="default" r:id="rId8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342BB" w:rsidRDefault="009342BB">
      <w:pPr>
        <w:spacing w:after="0" w:line="240" w:lineRule="auto"/>
      </w:pPr>
      <w:r>
        <w:separator/>
      </w:r>
    </w:p>
    <w:p w:rsidR="009342BB" w:rsidRDefault="009342BB"/>
  </w:endnote>
  <w:endnote w:type="continuationSeparator" w:id="0">
    <w:p w:rsidR="009342BB" w:rsidRDefault="009342BB">
      <w:pPr>
        <w:spacing w:after="0" w:line="240" w:lineRule="auto"/>
      </w:pPr>
      <w:r>
        <w:continuationSeparator/>
      </w:r>
    </w:p>
    <w:p w:rsidR="009342BB" w:rsidRDefault="009342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C09C1" w:rsidRDefault="008C237E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342BB" w:rsidRDefault="009342BB">
      <w:pPr>
        <w:spacing w:after="0" w:line="240" w:lineRule="auto"/>
      </w:pPr>
      <w:r>
        <w:separator/>
      </w:r>
    </w:p>
    <w:p w:rsidR="009342BB" w:rsidRDefault="009342BB"/>
  </w:footnote>
  <w:footnote w:type="continuationSeparator" w:id="0">
    <w:p w:rsidR="009342BB" w:rsidRDefault="009342BB">
      <w:pPr>
        <w:spacing w:after="0" w:line="240" w:lineRule="auto"/>
      </w:pPr>
      <w:r>
        <w:continuationSeparator/>
      </w:r>
    </w:p>
    <w:p w:rsidR="009342BB" w:rsidRDefault="009342B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" w15:restartNumberingAfterBreak="0">
    <w:nsid w:val="702D4871"/>
    <w:multiLevelType w:val="hybridMultilevel"/>
    <w:tmpl w:val="8FB0CFC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0371591">
    <w:abstractNumId w:val="0"/>
  </w:num>
  <w:num w:numId="2" w16cid:durableId="1069308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72"/>
    <w:rsid w:val="000E0FF4"/>
    <w:rsid w:val="001C09C1"/>
    <w:rsid w:val="004035B1"/>
    <w:rsid w:val="005754D6"/>
    <w:rsid w:val="008C237E"/>
    <w:rsid w:val="009342BB"/>
    <w:rsid w:val="00AB0E09"/>
    <w:rsid w:val="00F7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7D1DC7"/>
  <w15:chartTrackingRefBased/>
  <w15:docId w15:val="{B4B64D74-C291-4148-8636-30DE1414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5754D6"/>
    <w:pPr>
      <w:ind w:left="720"/>
      <w:contextualSpacing/>
    </w:pPr>
  </w:style>
  <w:style w:type="table" w:styleId="TableGrid">
    <w:name w:val="Table Grid"/>
    <w:basedOn w:val="TableNormal"/>
    <w:uiPriority w:val="39"/>
    <w:rsid w:val="00575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754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64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anacaseiro/Library/Containers/com.microsoft.Word/Data/Library/Application%20Support/Microsoft/Office/16.0/DTS/en-GB%7b02D9DAF5-F475-CD49-8C8F-7B482BE2243D%7d/%7b01469E69-3D30-A242-8A52-7A6ED274DD85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159B8C-A774-BD42-B807-8A856E7EA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28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A. Caseiro</dc:creator>
  <cp:keywords/>
  <dc:description/>
  <cp:lastModifiedBy>Joana Saraiva De Barros Alves Caseir</cp:lastModifiedBy>
  <cp:revision>1</cp:revision>
  <dcterms:created xsi:type="dcterms:W3CDTF">2025-05-21T15:12:00Z</dcterms:created>
  <dcterms:modified xsi:type="dcterms:W3CDTF">2025-05-21T15:52:00Z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