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6FF" w:rsidRDefault="00FF4139">
      <w:pPr>
        <w:rPr>
          <w:rFonts w:asciiTheme="minorEastAsia" w:hAnsiTheme="minorEastAsia" w:cs="Arial"/>
          <w:b/>
          <w:bCs/>
          <w:color w:val="4F4F4F"/>
          <w:kern w:val="36"/>
          <w:szCs w:val="21"/>
        </w:rPr>
      </w:pPr>
      <w:r w:rsidRPr="00B23933">
        <w:rPr>
          <w:rFonts w:asciiTheme="minorEastAsia" w:hAnsiTheme="minorEastAsia" w:cs="Arial"/>
          <w:b/>
          <w:bCs/>
          <w:color w:val="4F4F4F"/>
          <w:kern w:val="36"/>
          <w:szCs w:val="21"/>
        </w:rPr>
        <w:t xml:space="preserve">2018年ICM问题D: </w:t>
      </w:r>
      <w:r>
        <w:rPr>
          <w:rFonts w:asciiTheme="minorEastAsia" w:hAnsiTheme="minorEastAsia" w:cs="Arial" w:hint="eastAsia"/>
          <w:b/>
          <w:bCs/>
          <w:color w:val="4F4F4F"/>
          <w:kern w:val="36"/>
          <w:szCs w:val="21"/>
        </w:rPr>
        <w:t>新能源</w:t>
      </w:r>
      <w:r w:rsidRPr="00B23933">
        <w:rPr>
          <w:rFonts w:asciiTheme="minorEastAsia" w:hAnsiTheme="minorEastAsia" w:cs="Arial"/>
          <w:b/>
          <w:bCs/>
          <w:color w:val="4F4F4F"/>
          <w:kern w:val="36"/>
          <w:szCs w:val="21"/>
        </w:rPr>
        <w:t>汽车（电量非空的）</w:t>
      </w:r>
    </w:p>
    <w:p w:rsidR="00FF4139" w:rsidRPr="00B23933" w:rsidRDefault="00FF4139" w:rsidP="00FF4139">
      <w:pPr>
        <w:widowControl/>
        <w:shd w:val="clear" w:color="auto" w:fill="FFFFFF"/>
        <w:wordWrap w:val="0"/>
        <w:spacing w:before="136" w:line="373" w:lineRule="atLeast"/>
        <w:ind w:left="542"/>
        <w:jc w:val="left"/>
        <w:rPr>
          <w:rFonts w:asciiTheme="minorEastAsia" w:hAnsiTheme="minorEastAsia" w:cs="Arial"/>
          <w:color w:val="333333"/>
          <w:kern w:val="0"/>
          <w:szCs w:val="21"/>
        </w:rPr>
      </w:pPr>
      <w:r w:rsidRPr="00B23933">
        <w:rPr>
          <w:rFonts w:asciiTheme="minorEastAsia" w:hAnsiTheme="minorEastAsia" w:cs="Arial"/>
          <w:color w:val="333333"/>
          <w:kern w:val="0"/>
          <w:szCs w:val="21"/>
        </w:rPr>
        <w:t>由于环境和经济的原因，全球都在减少使用化石燃料，包括汽车汽油。 无论是受环境或经济动机，消费者开始转向电动汽车。 几个国家正在看到采用电动汽车快速增长的潜力。 在美国和其他国家，更经济实惠的全电式特斯拉3型车型的发布带来了预购订单和长期等待名单的记录。为了进一步加快向电动汽车的转型，包括中国在内的一些国家已经宣布将在未来几年内禁止汽油和柴油车</w:t>
      </w:r>
    </w:p>
    <w:p w:rsidR="00FF4139" w:rsidRPr="00B23933" w:rsidRDefault="00FF4139" w:rsidP="00FF4139">
      <w:pPr>
        <w:widowControl/>
        <w:shd w:val="clear" w:color="auto" w:fill="FFFFFF"/>
        <w:wordWrap w:val="0"/>
        <w:spacing w:before="136" w:line="373" w:lineRule="atLeast"/>
        <w:ind w:left="542"/>
        <w:jc w:val="left"/>
        <w:rPr>
          <w:rFonts w:asciiTheme="minorEastAsia" w:hAnsiTheme="minorEastAsia" w:cs="Arial"/>
          <w:color w:val="333333"/>
          <w:kern w:val="0"/>
          <w:szCs w:val="21"/>
        </w:rPr>
      </w:pPr>
      <w:r w:rsidRPr="00B23933">
        <w:rPr>
          <w:rFonts w:asciiTheme="minorEastAsia" w:hAnsiTheme="minorEastAsia" w:cs="Arial"/>
          <w:color w:val="333333"/>
          <w:kern w:val="0"/>
          <w:szCs w:val="21"/>
        </w:rPr>
        <w:t>最终，禁令生效时，要在所有的地方都有足够数量的车辆充电站，以便人们可以利用车辆进行日常工作，也可以进行偶尔的长途旅行。 然而，从汽油车和柴油车到电动车的过渡并不是一帆风顺的，不能一蹴而就。 在一个幻想的世界里，我们会有一天醒来，每一辆汽车都换上一辆电动汽车，每一辆加油站都换上一个充电站。 实际上资源有限，消费者需要时间进行转换。 事实上，充电站的位置和方便性对于早期使用者以及最终成为主流消费者的志愿者来说是至关重要的。</w:t>
      </w:r>
    </w:p>
    <w:p w:rsidR="00FF4139" w:rsidRPr="00B23933" w:rsidRDefault="00FF4139" w:rsidP="00FF4139">
      <w:pPr>
        <w:widowControl/>
        <w:shd w:val="clear" w:color="auto" w:fill="FFFFFF"/>
        <w:wordWrap w:val="0"/>
        <w:spacing w:before="136" w:line="373" w:lineRule="atLeast"/>
        <w:ind w:left="542"/>
        <w:jc w:val="left"/>
        <w:rPr>
          <w:rFonts w:asciiTheme="minorEastAsia" w:hAnsiTheme="minorEastAsia" w:cs="Arial"/>
          <w:color w:val="333333"/>
          <w:kern w:val="0"/>
          <w:szCs w:val="21"/>
        </w:rPr>
      </w:pPr>
      <w:r w:rsidRPr="00B23933">
        <w:rPr>
          <w:rFonts w:asciiTheme="minorEastAsia" w:hAnsiTheme="minorEastAsia" w:cs="Arial"/>
          <w:color w:val="333333"/>
          <w:kern w:val="0"/>
          <w:szCs w:val="21"/>
        </w:rPr>
        <w:t>当国家计划这一转型时，他们需要考虑充电站的最终网络（车站的数量，所在的位置，车站充电器的数量以及农村，郊区的需求的差异，以及城市地区）以及充电站网络的发展和演变。例如，当电动汽车占所有汽车的10％，所有汽车的30％，所有汽车的50％以及所有汽车的90％时，网络应该如何？</w:t>
      </w:r>
    </w:p>
    <w:p w:rsidR="00FF4139" w:rsidRPr="00B23933" w:rsidRDefault="00FF4139" w:rsidP="00FF4139">
      <w:pPr>
        <w:widowControl/>
        <w:shd w:val="clear" w:color="auto" w:fill="FFFFFF"/>
        <w:wordWrap w:val="0"/>
        <w:spacing w:before="136" w:line="373" w:lineRule="atLeast"/>
        <w:ind w:left="542"/>
        <w:jc w:val="left"/>
        <w:rPr>
          <w:rFonts w:asciiTheme="minorEastAsia" w:hAnsiTheme="minorEastAsia" w:cs="Arial"/>
          <w:color w:val="333333"/>
          <w:kern w:val="0"/>
          <w:szCs w:val="21"/>
        </w:rPr>
      </w:pPr>
      <w:r w:rsidRPr="00B23933">
        <w:rPr>
          <w:rFonts w:asciiTheme="minorEastAsia" w:hAnsiTheme="minorEastAsia" w:cs="Arial"/>
          <w:color w:val="333333"/>
          <w:kern w:val="0"/>
          <w:szCs w:val="21"/>
        </w:rPr>
        <w:t>随着各国寻求制定促进向电动汽车过渡的政策，他们将需要制定一个最适合其国家的计划。在他们开始之前，他们希望您的团队帮助确定充电网络的最终架构，以支持全电动车辆的全面采用。此外，他们希望您确定在规划最终禁止汽油车辆和柴油车辆大幅度减少的时间表时将起重要作用的关键因素。</w:t>
      </w:r>
    </w:p>
    <w:p w:rsidR="00FF4139" w:rsidRDefault="00FF4139" w:rsidP="00FF4139">
      <w:pPr>
        <w:widowControl/>
        <w:shd w:val="clear" w:color="auto" w:fill="FFFFFF"/>
        <w:wordWrap w:val="0"/>
        <w:spacing w:before="136" w:line="373" w:lineRule="atLeast"/>
        <w:ind w:left="542"/>
        <w:jc w:val="left"/>
        <w:rPr>
          <w:rFonts w:asciiTheme="minorEastAsia" w:hAnsiTheme="minorEastAsia" w:cs="Arial"/>
          <w:color w:val="333333"/>
          <w:kern w:val="0"/>
          <w:szCs w:val="21"/>
        </w:rPr>
      </w:pPr>
      <w:r w:rsidRPr="00B23933">
        <w:rPr>
          <w:rFonts w:asciiTheme="minorEastAsia" w:hAnsiTheme="minorEastAsia" w:cs="Arial"/>
          <w:color w:val="333333"/>
          <w:kern w:val="0"/>
          <w:szCs w:val="21"/>
        </w:rPr>
        <w:t>为了帮助您的团队管理这个问题的范围，我们要求您只关注个人乘用车（即用于乘客的轿车，货车和轻型客车）。在你的报告结尾，你可以简要地评论你的发现和商业车辆的结论的相关性，包括重型卡车和公共汽车。</w:t>
      </w:r>
    </w:p>
    <w:p w:rsidR="00FF4139" w:rsidRPr="00B23933" w:rsidRDefault="00FF4139" w:rsidP="00FF4139">
      <w:pPr>
        <w:widowControl/>
        <w:shd w:val="clear" w:color="auto" w:fill="FFFFFF"/>
        <w:wordWrap w:val="0"/>
        <w:spacing w:before="136" w:line="373" w:lineRule="atLeast"/>
        <w:ind w:left="542"/>
        <w:jc w:val="left"/>
        <w:rPr>
          <w:rFonts w:asciiTheme="minorEastAsia" w:hAnsiTheme="minorEastAsia" w:cs="Arial" w:hint="eastAsia"/>
          <w:color w:val="333333"/>
          <w:kern w:val="0"/>
          <w:szCs w:val="21"/>
        </w:rPr>
      </w:pPr>
    </w:p>
    <w:p w:rsidR="00FF4139" w:rsidRDefault="00FF4139" w:rsidP="00FF4139">
      <w:r>
        <w:rPr>
          <w:rFonts w:hint="eastAsia"/>
        </w:rPr>
        <w:t>你的任务如下：</w:t>
      </w:r>
    </w:p>
    <w:p w:rsidR="00FF4139" w:rsidRDefault="00FF4139" w:rsidP="00FF4139">
      <w:r>
        <w:t xml:space="preserve">任务1：探索美国当前和日益增长的特斯拉充电站网络。 特斯拉目前提供两种类型的充电站： </w:t>
      </w:r>
    </w:p>
    <w:p w:rsidR="00FF4139" w:rsidRDefault="00FF4139" w:rsidP="00FF4139"/>
    <w:p w:rsidR="00FF4139" w:rsidRDefault="00FF4139" w:rsidP="00FF4139">
      <w:r>
        <w:rPr>
          <w:rFonts w:hint="eastAsia"/>
        </w:rPr>
        <w:t>（</w:t>
      </w:r>
      <w:r>
        <w:t>1）目的地充电设计为一次或甚至一夜充电数小时;</w:t>
      </w:r>
    </w:p>
    <w:p w:rsidR="00FF4139" w:rsidRDefault="00FF4139" w:rsidP="00FF4139">
      <w:r>
        <w:rPr>
          <w:rFonts w:hint="eastAsia"/>
        </w:rPr>
        <w:t>（</w:t>
      </w:r>
      <w:r>
        <w:t>2）增压设计用于长途旅行，在短短30分钟的充电时间内提供170英里的行驶里程的电力</w:t>
      </w:r>
    </w:p>
    <w:p w:rsidR="00FF4139" w:rsidRDefault="00FF4139" w:rsidP="00FF4139">
      <w:r>
        <w:t>这些充电站是除了拥有私人车库或车道的许多特斯拉车主所使用的这些车站之外。 特斯拉正走在美国的一个完全切换到全电的轨道上吗？ 如果每个人都在美国转向全电动乘用车，那么需要多少个充电站，又如何在城市，郊区和农村之间进行分配呢？</w:t>
      </w:r>
    </w:p>
    <w:p w:rsidR="00FF4139" w:rsidRPr="00B23933" w:rsidRDefault="00FF4139" w:rsidP="00FF4139">
      <w:pPr>
        <w:widowControl/>
        <w:shd w:val="clear" w:color="auto" w:fill="FFFFFF"/>
        <w:wordWrap w:val="0"/>
        <w:spacing w:before="136" w:after="271" w:line="610" w:lineRule="atLeast"/>
        <w:jc w:val="left"/>
        <w:outlineLvl w:val="0"/>
        <w:rPr>
          <w:rFonts w:asciiTheme="minorEastAsia" w:hAnsiTheme="minorEastAsia" w:cs="Arial"/>
          <w:b/>
          <w:bCs/>
          <w:color w:val="4F4F4F"/>
          <w:kern w:val="36"/>
          <w:szCs w:val="21"/>
        </w:rPr>
      </w:pPr>
      <w:r w:rsidRPr="00B23933">
        <w:rPr>
          <w:rFonts w:asciiTheme="minorEastAsia" w:hAnsiTheme="minorEastAsia" w:cs="Arial"/>
          <w:b/>
          <w:bCs/>
          <w:color w:val="4F4F4F"/>
          <w:kern w:val="36"/>
          <w:szCs w:val="21"/>
        </w:rPr>
        <w:t>您的提交应该包括：</w:t>
      </w:r>
    </w:p>
    <w:p w:rsidR="00FF4139" w:rsidRPr="00B23933" w:rsidRDefault="00FF4139" w:rsidP="00FF4139">
      <w:pPr>
        <w:widowControl/>
        <w:numPr>
          <w:ilvl w:val="0"/>
          <w:numId w:val="2"/>
        </w:numPr>
        <w:shd w:val="clear" w:color="auto" w:fill="FFFFFF"/>
        <w:wordWrap w:val="0"/>
        <w:spacing w:before="136" w:line="373" w:lineRule="atLeast"/>
        <w:ind w:left="542"/>
        <w:jc w:val="left"/>
        <w:rPr>
          <w:rFonts w:asciiTheme="minorEastAsia" w:hAnsiTheme="minorEastAsia" w:cs="Arial"/>
          <w:color w:val="333333"/>
          <w:kern w:val="0"/>
          <w:szCs w:val="21"/>
        </w:rPr>
      </w:pPr>
      <w:r w:rsidRPr="00B23933">
        <w:rPr>
          <w:rFonts w:asciiTheme="minorEastAsia" w:hAnsiTheme="minorEastAsia" w:cs="Arial"/>
          <w:color w:val="333333"/>
          <w:kern w:val="0"/>
          <w:szCs w:val="21"/>
        </w:rPr>
        <w:lastRenderedPageBreak/>
        <w:t>单页控制表，</w:t>
      </w:r>
    </w:p>
    <w:p w:rsidR="00FF4139" w:rsidRPr="00B23933" w:rsidRDefault="00FF4139" w:rsidP="00FF4139">
      <w:pPr>
        <w:widowControl/>
        <w:numPr>
          <w:ilvl w:val="0"/>
          <w:numId w:val="2"/>
        </w:numPr>
        <w:shd w:val="clear" w:color="auto" w:fill="FFFFFF"/>
        <w:wordWrap w:val="0"/>
        <w:spacing w:before="136" w:line="373" w:lineRule="atLeast"/>
        <w:ind w:left="542"/>
        <w:jc w:val="left"/>
        <w:rPr>
          <w:rFonts w:asciiTheme="minorEastAsia" w:hAnsiTheme="minorEastAsia" w:cs="Arial"/>
          <w:color w:val="333333"/>
          <w:kern w:val="0"/>
          <w:szCs w:val="21"/>
        </w:rPr>
      </w:pPr>
      <w:r w:rsidRPr="00B23933">
        <w:rPr>
          <w:rFonts w:asciiTheme="minorEastAsia" w:hAnsiTheme="minorEastAsia" w:cs="Arial"/>
          <w:color w:val="333333"/>
          <w:kern w:val="0"/>
          <w:szCs w:val="21"/>
        </w:rPr>
        <w:t>单页讲义材料，</w:t>
      </w:r>
    </w:p>
    <w:p w:rsidR="00FF4139" w:rsidRPr="00B23933" w:rsidRDefault="00FF4139" w:rsidP="00FF4139">
      <w:pPr>
        <w:widowControl/>
        <w:numPr>
          <w:ilvl w:val="0"/>
          <w:numId w:val="2"/>
        </w:numPr>
        <w:shd w:val="clear" w:color="auto" w:fill="FFFFFF"/>
        <w:wordWrap w:val="0"/>
        <w:spacing w:before="136" w:line="373" w:lineRule="atLeast"/>
        <w:ind w:left="542"/>
        <w:jc w:val="left"/>
        <w:rPr>
          <w:rFonts w:asciiTheme="minorEastAsia" w:hAnsiTheme="minorEastAsia" w:cs="Arial"/>
          <w:color w:val="333333"/>
          <w:kern w:val="0"/>
          <w:szCs w:val="21"/>
        </w:rPr>
      </w:pPr>
      <w:r w:rsidRPr="00B23933">
        <w:rPr>
          <w:rFonts w:asciiTheme="minorEastAsia" w:hAnsiTheme="minorEastAsia" w:cs="Arial"/>
          <w:color w:val="333333"/>
          <w:kern w:val="0"/>
          <w:szCs w:val="21"/>
        </w:rPr>
        <w:t>您的解决方案不超过20页，最多22页，包括摘要和讲义。</w:t>
      </w:r>
    </w:p>
    <w:p w:rsidR="00FF4139" w:rsidRPr="00B23933" w:rsidRDefault="00FF4139" w:rsidP="00FF4139">
      <w:pPr>
        <w:widowControl/>
        <w:numPr>
          <w:ilvl w:val="0"/>
          <w:numId w:val="2"/>
        </w:numPr>
        <w:shd w:val="clear" w:color="auto" w:fill="FFFFFF"/>
        <w:wordWrap w:val="0"/>
        <w:spacing w:before="136" w:line="373" w:lineRule="atLeast"/>
        <w:ind w:left="542"/>
        <w:jc w:val="left"/>
        <w:rPr>
          <w:rFonts w:asciiTheme="minorEastAsia" w:hAnsiTheme="minorEastAsia" w:cs="Arial"/>
          <w:color w:val="333333"/>
          <w:kern w:val="0"/>
          <w:szCs w:val="21"/>
        </w:rPr>
      </w:pPr>
      <w:r w:rsidRPr="00B23933">
        <w:rPr>
          <w:rFonts w:asciiTheme="minorEastAsia" w:hAnsiTheme="minorEastAsia" w:cs="Arial"/>
          <w:color w:val="333333"/>
          <w:kern w:val="0"/>
          <w:szCs w:val="21"/>
        </w:rPr>
        <w:t>注意：参考列表和任何附录不计入22页的限制，应该在完成解决方案后出现。</w:t>
      </w:r>
    </w:p>
    <w:p w:rsidR="00FF4139" w:rsidRPr="00B23933" w:rsidRDefault="00FF4139" w:rsidP="00FF4139">
      <w:pPr>
        <w:rPr>
          <w:rFonts w:asciiTheme="minorEastAsia" w:hAnsiTheme="minorEastAsia"/>
          <w:szCs w:val="21"/>
        </w:rPr>
      </w:pP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电动汽车占领地球</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 xml:space="preserve">  随着石油的日益短缺和温室效应的日益加剧，电动汽车应运而生。为了促进电动汽车的推广，我们必须建立相应的基础设施，即充电设施。</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在本文中，我们详细分析了如何在已知的人口分布和道路分布的区位选择中建立两个充电站。在此过程中，我们还考虑了区域经济发展和天气、地形等因素。</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任务1：设计了基于线路的多目标优化模型和基于点的多目标优化模型，分别对增压站和目的地充电站的位置进行了设计。这些模型包括两个子模型：成本-收益模型和用户需求模型。我们已经到了美国需要建造1080762个充电站的地步。</w:t>
      </w:r>
    </w:p>
    <w:p w:rsidR="00FF4139" w:rsidRDefault="00FF4139" w:rsidP="00FF4139">
      <w:pPr>
        <w:rPr>
          <w:rFonts w:asciiTheme="minorEastAsia" w:hAnsiTheme="minorEastAsia"/>
          <w:szCs w:val="21"/>
        </w:rPr>
      </w:pPr>
      <w:r w:rsidRPr="00B23933">
        <w:rPr>
          <w:rFonts w:asciiTheme="minorEastAsia" w:hAnsiTheme="minorEastAsia" w:hint="eastAsia"/>
          <w:szCs w:val="21"/>
        </w:rPr>
        <w:t>最后，我们进行了敏感性分析，并指出了模型的优缺点。</w:t>
      </w:r>
    </w:p>
    <w:p w:rsidR="00FF4139" w:rsidRPr="00B23933" w:rsidRDefault="00FF4139" w:rsidP="00FF4139">
      <w:pPr>
        <w:rPr>
          <w:rFonts w:asciiTheme="minorEastAsia" w:hAnsiTheme="minorEastAsia" w:hint="eastAsia"/>
          <w:szCs w:val="21"/>
        </w:rPr>
      </w:pPr>
    </w:p>
    <w:p w:rsidR="00FF4139" w:rsidRPr="00B23933" w:rsidRDefault="00FF4139" w:rsidP="00FF4139">
      <w:pPr>
        <w:pStyle w:val="WPSOffice1"/>
        <w:tabs>
          <w:tab w:val="right" w:leader="dot" w:pos="8306"/>
        </w:tabs>
        <w:rPr>
          <w:rFonts w:asciiTheme="minorEastAsia" w:eastAsiaTheme="minorEastAsia" w:hAnsiTheme="minorEastAsia"/>
          <w:sz w:val="21"/>
          <w:szCs w:val="21"/>
        </w:rPr>
      </w:pPr>
      <w:r w:rsidRPr="00B23933">
        <w:rPr>
          <w:rFonts w:asciiTheme="minorEastAsia" w:eastAsiaTheme="minorEastAsia" w:hAnsiTheme="minorEastAsia" w:hint="eastAsia"/>
          <w:sz w:val="21"/>
          <w:szCs w:val="21"/>
        </w:rPr>
        <w:t>关键词：多目标规划；电动汽车充电站；混合粒子群优化算法。</w:t>
      </w:r>
    </w:p>
    <w:p w:rsidR="00FF4139" w:rsidRDefault="00FF4139" w:rsidP="00FF4139"/>
    <w:p w:rsidR="00FF4139" w:rsidRPr="00B23933" w:rsidRDefault="00FF4139" w:rsidP="00FF4139">
      <w:pPr>
        <w:pStyle w:val="1"/>
        <w:numPr>
          <w:ilvl w:val="0"/>
          <w:numId w:val="3"/>
        </w:numPr>
        <w:rPr>
          <w:rFonts w:asciiTheme="minorEastAsia" w:eastAsiaTheme="minorEastAsia" w:hAnsiTheme="minorEastAsia"/>
          <w:sz w:val="21"/>
          <w:szCs w:val="21"/>
        </w:rPr>
      </w:pPr>
      <w:r w:rsidRPr="00B23933">
        <w:rPr>
          <w:rFonts w:asciiTheme="minorEastAsia" w:eastAsiaTheme="minorEastAsia" w:hAnsiTheme="minorEastAsia" w:hint="eastAsia"/>
          <w:sz w:val="21"/>
          <w:szCs w:val="21"/>
        </w:rPr>
        <w:t>简介</w:t>
      </w:r>
    </w:p>
    <w:p w:rsidR="00FF4139" w:rsidRPr="00B23933" w:rsidRDefault="00FF4139" w:rsidP="00FF4139">
      <w:pPr>
        <w:pStyle w:val="1"/>
        <w:ind w:left="945"/>
        <w:rPr>
          <w:rFonts w:asciiTheme="minorEastAsia" w:eastAsiaTheme="minorEastAsia" w:hAnsiTheme="minorEastAsia"/>
          <w:sz w:val="21"/>
          <w:szCs w:val="21"/>
        </w:rPr>
      </w:pPr>
      <w:r w:rsidRPr="00B23933">
        <w:rPr>
          <w:rFonts w:asciiTheme="minorEastAsia" w:eastAsiaTheme="minorEastAsia" w:hAnsiTheme="minorEastAsia" w:hint="eastAsia"/>
          <w:sz w:val="21"/>
          <w:szCs w:val="21"/>
        </w:rPr>
        <w:t>1.1背景</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环境和能源是全球性的问题。美国能源部预测，2020后全球石油需求与传统石油供应将出现净缺口。汽车能耗是全球石油压力的主要原因。节能环保的电动汽车正受到世界各国的广泛关注。电动汽车可以从根本上减少汽车对石油能源的依赖，减少二氧化碳排放。它将解决制约汽车工业发展的主要障碍，成为实现汽车工业可持续发展的最重要的技术途径。同时，电动汽车作为新一轮经济增长的突破口，已成为世界主要国家和汽车制造商共同的战略选择[ 1 ]。</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近年来，由于电动汽车产业在各国的重要性日益突出，电动汽车在许多国家得到了发展并处于一定的规模。许多国家出台了相关政策，鼓励和促进电动汽车的开发和销售。然而，电动汽车的高成本和高价格、人们对新产品的无知和不信任，使得大多数公众仍在关注电动汽车。电动汽车在市场上的推广不是很顺利。此外，电动汽车的里程约为100公里—200公里，而参考燃料车与加油站之间的关系表明，充电设施的不完善直接限制了电动汽车的发展。电动汽车产业的起步和发展需要合理地构建配套设施，规划电动汽车的发展过程[2 ]。</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可以说是谁抢了电动车，抢了车的未来。</w:t>
      </w:r>
    </w:p>
    <w:p w:rsidR="00FF4139" w:rsidRPr="00B23933" w:rsidRDefault="00FF4139" w:rsidP="00FF4139">
      <w:pPr>
        <w:pStyle w:val="1"/>
        <w:numPr>
          <w:ilvl w:val="0"/>
          <w:numId w:val="3"/>
        </w:numPr>
        <w:rPr>
          <w:rFonts w:asciiTheme="minorEastAsia" w:eastAsiaTheme="minorEastAsia" w:hAnsiTheme="minorEastAsia"/>
          <w:sz w:val="21"/>
          <w:szCs w:val="21"/>
        </w:rPr>
      </w:pPr>
      <w:r w:rsidRPr="00B23933">
        <w:rPr>
          <w:rFonts w:asciiTheme="minorEastAsia" w:eastAsiaTheme="minorEastAsia" w:hAnsiTheme="minorEastAsia" w:hint="eastAsia"/>
          <w:sz w:val="21"/>
          <w:szCs w:val="21"/>
        </w:rPr>
        <w:t>简介</w:t>
      </w:r>
    </w:p>
    <w:p w:rsidR="00FF4139" w:rsidRPr="00B23933" w:rsidRDefault="00FF4139" w:rsidP="00FF4139">
      <w:pPr>
        <w:pStyle w:val="1"/>
        <w:ind w:left="945"/>
        <w:rPr>
          <w:rFonts w:asciiTheme="minorEastAsia" w:eastAsiaTheme="minorEastAsia" w:hAnsiTheme="minorEastAsia"/>
          <w:sz w:val="21"/>
          <w:szCs w:val="21"/>
        </w:rPr>
      </w:pPr>
      <w:r w:rsidRPr="00B23933">
        <w:rPr>
          <w:rFonts w:asciiTheme="minorEastAsia" w:eastAsiaTheme="minorEastAsia" w:hAnsiTheme="minorEastAsia" w:hint="eastAsia"/>
          <w:sz w:val="21"/>
          <w:szCs w:val="21"/>
        </w:rPr>
        <w:t>1.1背景</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环境和能源是全球性的问题。美国能源部预测，2020后全球石油需求与传统石油供应将出现净缺口。汽车能耗是全球石油压力的主要原因。节能环保的电动汽车正受到世界各国的广泛关注。电动汽车可以从根本上减少汽车对石油能源的依赖，减少二氧化碳排放。它将解决</w:t>
      </w:r>
      <w:r w:rsidRPr="00B23933">
        <w:rPr>
          <w:rFonts w:asciiTheme="minorEastAsia" w:hAnsiTheme="minorEastAsia" w:hint="eastAsia"/>
          <w:szCs w:val="21"/>
        </w:rPr>
        <w:lastRenderedPageBreak/>
        <w:t>制约汽车工业发展的主要障碍，成为实现汽车工业可持续发展的最重要的技术途径。同时，电动汽车作为新一轮经济增长的突破口，已成为世界主要国家和汽车制造商共同的战略选择[ 1 ]。</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近年来，由于电动汽车产业在各国的重要性日益突出，电动汽车在许多国家得到了发展并处于一定的规模。许多国家出台了相关政策，鼓励和促进电动汽车的开发和销售。然而，电动汽车的高成本和高价格、人们对新产品的无知和不信任，使得大多数公众仍在关注电动汽车。电动汽车在市场上的推广不是很顺利。此外，电动汽车的里程约为100公里—200公里，而参考燃料车与加油站之间的关系表明，充电设施的不完善直接限制了电动汽车的发展。电动汽车产业的起步和发展需要合理地构建配套设施，规划电动汽车的发展过程[2 ]。</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可以说是谁抢了电动车，抢了车的未来。</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1.2重述问题</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随着新能源的发展，电动汽车的出现迎合了人们的愿望。在许多国家出现了大量的电动汽车。电动汽车的环保和节能优势，带动了电动汽车在世界范围内的蓬勃发展。特斯拉作为美国主要的电动汽车品牌，在美国建立了许多充电站。</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我们需要解决的问题有以下几点：</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特斯拉是否被允许完全将所有电力切换到美国。如果电动汽车被完全覆盖，需要在美国建立多少充电站，这些充电站应该如何分布在城市、郊区和农村地区。</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以给定的三个国家为例，讨论了在国家实现电动汽车全覆盖时如何分配充电站的数量和位置，并给出了关键影响因素。根据增长计划，获得了国家电动汽车的总体发展计划。</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提出了一个普遍适用于世界的充电站发展计划。</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本文讨论了评价技术创新和新兴的车辆和方法对电动汽车日益增长的使用的影响。</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为各国领导人为国际能源峰会准备援助，帮助其他国家发展电动汽车。</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1.3工作概述</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首先，我们需要提供一个模型来确定该地区电动汽车充电站的合理数量。这应该包括特斯拉提供的两种充电方式，以及对充电站数量的限制，包括该区域的功能组成、人口分布和经济状况。在这个模型中，我们使用集合覆盖（SCP）方法。</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之后，我们还应该优化模型。根据基本区建立的充电站数量，需要进一步探讨充电站的位置，从而确定规划区内充电站的最佳位置和分布。这就增加了充电站的成本和利润，方便了人们。</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使用充电站。借助多目标模型，我们发现影响人口指数的决定性因素是人口密度、经济发展水平、社会成本和道路分布。我们需要一个过程模拟，即在选定的国家（爱尔兰），电动汽车作为一种新的商品，开始从零开始建立充电站，讨论建立电动汽车的地址、顺序和充电站的数量和面积之间的关系。考虑使用环境，创造汽车销售的优先权。从零到百分之一百，作为一种电动交通工具，我们需要提供一个计划来安排这个增长的时间表。</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接下来，我们要讨论以上计划的可能性和劣势以及规划和推广。在这个过程中，我们应该得到这个模型应用于不同国家的不足和非理性，并找出影响这一趋势的关键因素。我们认为，考虑到人口增长与减少、时间差异和国家财政能力的差异，我们可以基本分类已知的国家，并为他们建立自己的电动汽车增长模型提供合理的参考计划。</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将上述结论与实际情况结合起来，探讨电动汽车中无止境的新技术对销售市场和销售量的影响。应制定一个讲义，其中包括建立国家电动汽车发展模式的关键因素，以便安排所有电动汽车的时间和过程计划，确定燃料车辆的禁令时间。</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2 假设和理由</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假设业主的收费行为合理合理，他们将选择最方便、最经济的充电站。</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假设充电站的损坏和消耗是可预测的，并且没有不可控因素导致充电站的停止。</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假设一个增压站足够大，可以满足所有增压需求。</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lastRenderedPageBreak/>
        <w:t>假设电动汽车的耐久性只反映在行驶中，而不考虑空调的使用。</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假设没有混合动力汽车。</w:t>
      </w:r>
    </w:p>
    <w:p w:rsidR="00FF4139" w:rsidRPr="00B23933" w:rsidRDefault="00FF4139" w:rsidP="00FF4139">
      <w:pPr>
        <w:rPr>
          <w:rFonts w:asciiTheme="minorEastAsia" w:hAnsiTheme="minorEastAsia"/>
          <w:szCs w:val="21"/>
        </w:rPr>
      </w:pPr>
    </w:p>
    <w:p w:rsidR="00FF4139" w:rsidRPr="00B23933" w:rsidRDefault="00FF4139" w:rsidP="00FF4139">
      <w:pPr>
        <w:rPr>
          <w:rFonts w:asciiTheme="minorEastAsia" w:hAnsiTheme="minorEastAsia"/>
          <w:szCs w:val="21"/>
        </w:rPr>
      </w:pPr>
    </w:p>
    <w:p w:rsidR="00FF4139" w:rsidRPr="00B23933" w:rsidRDefault="00FF4139" w:rsidP="00FF4139">
      <w:pPr>
        <w:pStyle w:val="1"/>
        <w:numPr>
          <w:ilvl w:val="0"/>
          <w:numId w:val="3"/>
        </w:numPr>
        <w:adjustRightInd w:val="0"/>
        <w:snapToGrid w:val="0"/>
        <w:spacing w:after="190" w:line="260" w:lineRule="auto"/>
        <w:jc w:val="both"/>
        <w:rPr>
          <w:rFonts w:asciiTheme="minorEastAsia" w:eastAsiaTheme="minorEastAsia" w:hAnsiTheme="minorEastAsia"/>
          <w:sz w:val="21"/>
          <w:szCs w:val="21"/>
        </w:rPr>
      </w:pPr>
      <w:r w:rsidRPr="00B23933">
        <w:rPr>
          <w:rFonts w:asciiTheme="minorEastAsia" w:eastAsiaTheme="minorEastAsia" w:hAnsiTheme="minorEastAsia" w:hint="eastAsia"/>
          <w:sz w:val="21"/>
          <w:szCs w:val="21"/>
        </w:rPr>
        <w:t>变量描述</w:t>
      </w:r>
    </w:p>
    <w:tbl>
      <w:tblPr>
        <w:tblW w:w="0" w:type="auto"/>
        <w:tblLayout w:type="fixed"/>
        <w:tblCellMar>
          <w:top w:w="15" w:type="dxa"/>
          <w:left w:w="15" w:type="dxa"/>
          <w:bottom w:w="15" w:type="dxa"/>
          <w:right w:w="15" w:type="dxa"/>
        </w:tblCellMar>
        <w:tblLook w:val="0000" w:firstRow="0" w:lastRow="0" w:firstColumn="0" w:lastColumn="0" w:noHBand="0" w:noVBand="0"/>
      </w:tblPr>
      <w:tblGrid>
        <w:gridCol w:w="1575"/>
        <w:gridCol w:w="6753"/>
      </w:tblGrid>
      <w:tr w:rsidR="00FF4139" w:rsidRPr="00B23933" w:rsidTr="004E6083">
        <w:trPr>
          <w:trHeight w:val="480"/>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a</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人口自然增长率</w:t>
            </w:r>
          </w:p>
        </w:tc>
      </w:tr>
      <w:tr w:rsidR="00FF4139" w:rsidRPr="00B23933" w:rsidTr="004E6083">
        <w:trPr>
          <w:trHeight w:val="465"/>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J</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机动车保有量</w:t>
            </w:r>
          </w:p>
        </w:tc>
      </w:tr>
      <w:tr w:rsidR="00FF4139" w:rsidRPr="00B23933" w:rsidTr="004E6083">
        <w:trPr>
          <w:trHeight w:val="465"/>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R</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电动汽车总量</w:t>
            </w:r>
          </w:p>
        </w:tc>
      </w:tr>
      <w:tr w:rsidR="00FF4139" w:rsidRPr="00B23933" w:rsidTr="004E6083">
        <w:trPr>
          <w:trHeight w:val="465"/>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S</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燃料汽车总量</w:t>
            </w:r>
          </w:p>
        </w:tc>
      </w:tr>
      <w:tr w:rsidR="00FF4139" w:rsidRPr="00B23933" w:rsidTr="004E6083">
        <w:trPr>
          <w:trHeight w:val="922"/>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n</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每年受周围人际关系选择电动汽车的总数</w:t>
            </w:r>
          </w:p>
        </w:tc>
      </w:tr>
      <w:tr w:rsidR="00FF4139" w:rsidRPr="00B23933" w:rsidTr="004E6083">
        <w:trPr>
          <w:trHeight w:val="923"/>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k</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每年因为广告或国家政策选择购买电动汽车的总人数</w:t>
            </w:r>
          </w:p>
        </w:tc>
      </w:tr>
      <w:tr w:rsidR="00FF4139" w:rsidRPr="00B23933" w:rsidTr="004E6083">
        <w:trPr>
          <w:trHeight w:val="465"/>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N</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在某地区的充电桩总数</w:t>
            </w:r>
          </w:p>
        </w:tc>
      </w:tr>
      <w:tr w:rsidR="00FF4139" w:rsidRPr="00B23933" w:rsidTr="004E6083">
        <w:trPr>
          <w:trHeight w:val="930"/>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N</w:t>
            </w:r>
            <w:r w:rsidRPr="00B23933">
              <w:rPr>
                <w:rFonts w:asciiTheme="minorEastAsia" w:hAnsiTheme="minorEastAsia"/>
                <w:szCs w:val="21"/>
                <w:vertAlign w:val="subscript"/>
              </w:rPr>
              <w:t>1</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满足需求的充电站的最小数量</w:t>
            </w:r>
          </w:p>
        </w:tc>
      </w:tr>
      <w:tr w:rsidR="00FF4139" w:rsidRPr="00B23933" w:rsidTr="004E6083">
        <w:trPr>
          <w:trHeight w:val="930"/>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T%</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地区当日需要充电的车辆总数</w:t>
            </w:r>
          </w:p>
        </w:tc>
      </w:tr>
      <w:tr w:rsidR="00FF4139" w:rsidRPr="00B23933" w:rsidTr="004E6083">
        <w:trPr>
          <w:trHeight w:val="465"/>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B</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在这个地区建造充电站的年费用</w:t>
            </w:r>
            <w:r w:rsidRPr="00B23933">
              <w:rPr>
                <w:rFonts w:asciiTheme="minorEastAsia" w:hAnsiTheme="minorEastAsia"/>
                <w:szCs w:val="21"/>
                <w:vertAlign w:val="superscript"/>
              </w:rPr>
              <w:t>[3]</w:t>
            </w:r>
          </w:p>
        </w:tc>
      </w:tr>
      <w:tr w:rsidR="00FF4139" w:rsidRPr="00B23933" w:rsidTr="004E6083">
        <w:trPr>
          <w:trHeight w:val="465"/>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B</w:t>
            </w:r>
            <w:r w:rsidRPr="00B23933">
              <w:rPr>
                <w:rFonts w:asciiTheme="minorEastAsia" w:hAnsiTheme="minorEastAsia"/>
                <w:szCs w:val="21"/>
                <w:vertAlign w:val="subscript"/>
              </w:rPr>
              <w:t>1</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天气对电池耐久性的影响系数</w:t>
            </w:r>
          </w:p>
        </w:tc>
      </w:tr>
      <w:tr w:rsidR="00FF4139" w:rsidRPr="00B23933" w:rsidTr="004E6083">
        <w:trPr>
          <w:trHeight w:val="465"/>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B</w:t>
            </w:r>
            <w:r w:rsidRPr="00B23933">
              <w:rPr>
                <w:rFonts w:asciiTheme="minorEastAsia" w:hAnsiTheme="minorEastAsia"/>
                <w:szCs w:val="21"/>
                <w:vertAlign w:val="subscript"/>
              </w:rPr>
              <w:t>2</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电池损耗老化对电池耐久的影响系数</w:t>
            </w:r>
          </w:p>
        </w:tc>
      </w:tr>
      <w:tr w:rsidR="00FF4139" w:rsidRPr="00B23933" w:rsidTr="004E6083">
        <w:trPr>
          <w:trHeight w:val="465"/>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B</w:t>
            </w:r>
            <w:r w:rsidRPr="00B23933">
              <w:rPr>
                <w:rFonts w:asciiTheme="minorEastAsia" w:hAnsiTheme="minorEastAsia"/>
                <w:szCs w:val="21"/>
                <w:vertAlign w:val="subscript"/>
              </w:rPr>
              <w:t>3</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不可控因素的影响</w:t>
            </w:r>
          </w:p>
        </w:tc>
      </w:tr>
      <w:tr w:rsidR="00FF4139" w:rsidRPr="00B23933" w:rsidTr="004E6083">
        <w:trPr>
          <w:trHeight w:val="930"/>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Φ</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本区充电站年度维护费用</w:t>
            </w:r>
            <w:r w:rsidRPr="00B23933">
              <w:rPr>
                <w:rFonts w:asciiTheme="minorEastAsia" w:hAnsiTheme="minorEastAsia"/>
                <w:szCs w:val="21"/>
                <w:vertAlign w:val="superscript"/>
              </w:rPr>
              <w:t>[3]</w:t>
            </w:r>
          </w:p>
        </w:tc>
      </w:tr>
      <w:tr w:rsidR="00FF4139" w:rsidRPr="00B23933" w:rsidTr="004E6083">
        <w:trPr>
          <w:trHeight w:val="465"/>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W</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地区充电站的成本</w:t>
            </w:r>
          </w:p>
        </w:tc>
      </w:tr>
      <w:tr w:rsidR="00FF4139" w:rsidRPr="00B23933" w:rsidTr="004E6083">
        <w:trPr>
          <w:trHeight w:val="465"/>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Ω</w:t>
            </w:r>
            <w:r w:rsidRPr="00B23933">
              <w:rPr>
                <w:rFonts w:asciiTheme="minorEastAsia" w:hAnsiTheme="minorEastAsia"/>
                <w:szCs w:val="21"/>
                <w:vertAlign w:val="subscript"/>
              </w:rPr>
              <w:t>i</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地区充电站的收入</w:t>
            </w:r>
          </w:p>
        </w:tc>
      </w:tr>
      <w:tr w:rsidR="00FF4139" w:rsidRPr="00B23933" w:rsidTr="004E6083">
        <w:trPr>
          <w:trHeight w:val="465"/>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d</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充电需求点</w:t>
            </w:r>
          </w:p>
        </w:tc>
      </w:tr>
      <w:tr w:rsidR="00FF4139" w:rsidRPr="00B23933" w:rsidTr="004E6083">
        <w:trPr>
          <w:trHeight w:val="465"/>
        </w:trPr>
        <w:tc>
          <w:tcPr>
            <w:tcW w:w="1575"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G</w:t>
            </w:r>
            <w:r w:rsidRPr="00B23933">
              <w:rPr>
                <w:rFonts w:asciiTheme="minorEastAsia" w:hAnsiTheme="minorEastAsia"/>
                <w:szCs w:val="21"/>
                <w:vertAlign w:val="subscript"/>
              </w:rPr>
              <w:t>ij</w:t>
            </w:r>
          </w:p>
        </w:tc>
        <w:tc>
          <w:tcPr>
            <w:tcW w:w="6753"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两个充电点之间的距离</w:t>
            </w:r>
          </w:p>
        </w:tc>
      </w:tr>
    </w:tbl>
    <w:p w:rsidR="00FF4139" w:rsidRPr="00B23933" w:rsidRDefault="00FF4139" w:rsidP="00FF4139">
      <w:pPr>
        <w:pStyle w:val="a7"/>
        <w:widowControl/>
        <w:numPr>
          <w:ilvl w:val="0"/>
          <w:numId w:val="3"/>
        </w:numPr>
        <w:adjustRightInd w:val="0"/>
        <w:snapToGrid w:val="0"/>
        <w:spacing w:after="190" w:line="260" w:lineRule="auto"/>
        <w:ind w:firstLineChars="0"/>
        <w:rPr>
          <w:rFonts w:asciiTheme="minorEastAsia" w:hAnsiTheme="minorEastAsia"/>
          <w:szCs w:val="21"/>
        </w:rPr>
        <w:sectPr w:rsidR="00FF4139" w:rsidRPr="00B23933">
          <w:headerReference w:type="default" r:id="rId7"/>
          <w:pgSz w:w="11906" w:h="16838"/>
          <w:pgMar w:top="1440" w:right="1800" w:bottom="1440" w:left="1800" w:header="851" w:footer="992" w:gutter="0"/>
          <w:cols w:space="720"/>
          <w:docGrid w:type="lines" w:linePitch="312"/>
        </w:sectPr>
      </w:pPr>
    </w:p>
    <w:tbl>
      <w:tblPr>
        <w:tblW w:w="0" w:type="auto"/>
        <w:tblLayout w:type="fixed"/>
        <w:tblCellMar>
          <w:top w:w="15" w:type="dxa"/>
          <w:left w:w="15" w:type="dxa"/>
          <w:bottom w:w="15" w:type="dxa"/>
          <w:right w:w="15" w:type="dxa"/>
        </w:tblCellMar>
        <w:tblLook w:val="0000" w:firstRow="0" w:lastRow="0" w:firstColumn="0" w:lastColumn="0" w:noHBand="0" w:noVBand="0"/>
      </w:tblPr>
      <w:tblGrid>
        <w:gridCol w:w="1716"/>
        <w:gridCol w:w="6612"/>
      </w:tblGrid>
      <w:tr w:rsidR="00FF4139" w:rsidRPr="00B23933" w:rsidTr="004E6083">
        <w:trPr>
          <w:trHeight w:val="465"/>
        </w:trPr>
        <w:tc>
          <w:tcPr>
            <w:tcW w:w="1716"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lastRenderedPageBreak/>
              <w:t>E</w:t>
            </w:r>
          </w:p>
        </w:tc>
        <w:tc>
          <w:tcPr>
            <w:tcW w:w="6612"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充电站规模</w:t>
            </w:r>
          </w:p>
        </w:tc>
      </w:tr>
      <w:tr w:rsidR="00FF4139" w:rsidRPr="00B23933" w:rsidTr="004E6083">
        <w:trPr>
          <w:trHeight w:val="465"/>
        </w:trPr>
        <w:tc>
          <w:tcPr>
            <w:tcW w:w="1716"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i/j</w:t>
            </w:r>
          </w:p>
        </w:tc>
        <w:tc>
          <w:tcPr>
            <w:tcW w:w="6612"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充电桩数量</w:t>
            </w:r>
          </w:p>
        </w:tc>
      </w:tr>
      <w:tr w:rsidR="00FF4139" w:rsidRPr="00B23933" w:rsidTr="004E6083">
        <w:trPr>
          <w:trHeight w:val="585"/>
        </w:trPr>
        <w:tc>
          <w:tcPr>
            <w:tcW w:w="1716"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C</w:t>
            </w:r>
            <w:r w:rsidRPr="00B23933">
              <w:rPr>
                <w:rFonts w:asciiTheme="minorEastAsia" w:hAnsiTheme="minorEastAsia"/>
                <w:szCs w:val="21"/>
                <w:vertAlign w:val="subscript"/>
              </w:rPr>
              <w:t>j</w:t>
            </w:r>
          </w:p>
        </w:tc>
        <w:tc>
          <w:tcPr>
            <w:tcW w:w="6612"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区域内充电站的净收入</w:t>
            </w:r>
          </w:p>
        </w:tc>
      </w:tr>
      <w:tr w:rsidR="00FF4139" w:rsidRPr="00B23933" w:rsidTr="004E6083">
        <w:trPr>
          <w:trHeight w:val="930"/>
        </w:trPr>
        <w:tc>
          <w:tcPr>
            <w:tcW w:w="1716"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L</w:t>
            </w:r>
          </w:p>
        </w:tc>
        <w:tc>
          <w:tcPr>
            <w:tcW w:w="6612"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气候影响系数及其他因素对充电功率的影响</w:t>
            </w:r>
          </w:p>
        </w:tc>
      </w:tr>
      <w:tr w:rsidR="00FF4139" w:rsidRPr="00B23933" w:rsidTr="004E6083">
        <w:trPr>
          <w:trHeight w:val="930"/>
        </w:trPr>
        <w:tc>
          <w:tcPr>
            <w:tcW w:w="1716"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X</w:t>
            </w:r>
            <w:r w:rsidRPr="00B23933">
              <w:rPr>
                <w:rFonts w:asciiTheme="minorEastAsia" w:hAnsiTheme="minorEastAsia"/>
                <w:szCs w:val="21"/>
                <w:vertAlign w:val="subscript"/>
              </w:rPr>
              <w:t>j</w:t>
            </w:r>
            <w:r w:rsidRPr="00B23933">
              <w:rPr>
                <w:rFonts w:asciiTheme="minorEastAsia" w:hAnsiTheme="minorEastAsia"/>
                <w:szCs w:val="21"/>
              </w:rPr>
              <w:t>=0,1</w:t>
            </w:r>
          </w:p>
        </w:tc>
        <w:tc>
          <w:tcPr>
            <w:tcW w:w="6612"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充电站的时间值在候选位置J上为1，否则为0。</w:t>
            </w:r>
          </w:p>
        </w:tc>
      </w:tr>
      <w:tr w:rsidR="00FF4139" w:rsidRPr="00B23933" w:rsidTr="004E6083">
        <w:trPr>
          <w:trHeight w:val="465"/>
        </w:trPr>
        <w:tc>
          <w:tcPr>
            <w:tcW w:w="1716"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V</w:t>
            </w:r>
          </w:p>
        </w:tc>
        <w:tc>
          <w:tcPr>
            <w:tcW w:w="6612"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电动汽车保有量增速</w:t>
            </w:r>
          </w:p>
        </w:tc>
      </w:tr>
      <w:tr w:rsidR="00FF4139" w:rsidRPr="00B23933" w:rsidTr="004E6083">
        <w:trPr>
          <w:trHeight w:val="930"/>
        </w:trPr>
        <w:tc>
          <w:tcPr>
            <w:tcW w:w="1716"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M</w:t>
            </w:r>
          </w:p>
        </w:tc>
        <w:tc>
          <w:tcPr>
            <w:tcW w:w="6612"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充电站服务范围内的需求点到充电点的距离</w:t>
            </w:r>
          </w:p>
        </w:tc>
      </w:tr>
      <w:tr w:rsidR="00FF4139" w:rsidRPr="00B23933" w:rsidTr="004E6083">
        <w:trPr>
          <w:trHeight w:val="930"/>
        </w:trPr>
        <w:tc>
          <w:tcPr>
            <w:tcW w:w="1716"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H</w:t>
            </w:r>
            <w:r w:rsidRPr="00B23933">
              <w:rPr>
                <w:rFonts w:asciiTheme="minorEastAsia" w:hAnsiTheme="minorEastAsia"/>
                <w:szCs w:val="21"/>
                <w:vertAlign w:val="subscript"/>
              </w:rPr>
              <w:t>ij</w:t>
            </w:r>
          </w:p>
        </w:tc>
        <w:tc>
          <w:tcPr>
            <w:tcW w:w="6612"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需求点需要充电的汽车数量</w:t>
            </w:r>
          </w:p>
        </w:tc>
      </w:tr>
      <w:tr w:rsidR="00FF4139" w:rsidRPr="00B23933" w:rsidTr="004E6083">
        <w:trPr>
          <w:trHeight w:val="465"/>
        </w:trPr>
        <w:tc>
          <w:tcPr>
            <w:tcW w:w="1716"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P</w:t>
            </w:r>
          </w:p>
        </w:tc>
        <w:tc>
          <w:tcPr>
            <w:tcW w:w="6612"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用户成本</w:t>
            </w:r>
          </w:p>
        </w:tc>
      </w:tr>
      <w:tr w:rsidR="00FF4139" w:rsidRPr="00B23933" w:rsidTr="004E6083">
        <w:trPr>
          <w:trHeight w:val="465"/>
        </w:trPr>
        <w:tc>
          <w:tcPr>
            <w:tcW w:w="1716"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β</w:t>
            </w:r>
          </w:p>
        </w:tc>
        <w:tc>
          <w:tcPr>
            <w:tcW w:w="6612"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单次充电电量</w:t>
            </w:r>
          </w:p>
        </w:tc>
      </w:tr>
      <w:tr w:rsidR="00FF4139" w:rsidRPr="00B23933" w:rsidTr="004E6083">
        <w:trPr>
          <w:trHeight w:val="465"/>
        </w:trPr>
        <w:tc>
          <w:tcPr>
            <w:tcW w:w="1716"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Q</w:t>
            </w:r>
          </w:p>
        </w:tc>
        <w:tc>
          <w:tcPr>
            <w:tcW w:w="6612" w:type="dxa"/>
            <w:tcBorders>
              <w:top w:val="nil"/>
              <w:left w:val="nil"/>
              <w:bottom w:val="nil"/>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电动汽车单次最大行驶里程</w:t>
            </w:r>
          </w:p>
        </w:tc>
      </w:tr>
      <w:tr w:rsidR="00FF4139" w:rsidRPr="00B23933" w:rsidTr="004E6083">
        <w:trPr>
          <w:trHeight w:val="480"/>
        </w:trPr>
        <w:tc>
          <w:tcPr>
            <w:tcW w:w="1716" w:type="dxa"/>
            <w:tcBorders>
              <w:top w:val="nil"/>
              <w:left w:val="nil"/>
              <w:bottom w:val="single" w:sz="18" w:space="0" w:color="000000"/>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szCs w:val="21"/>
              </w:rPr>
              <w:t>x</w:t>
            </w:r>
            <w:r w:rsidRPr="00B23933">
              <w:rPr>
                <w:rFonts w:asciiTheme="minorEastAsia" w:hAnsiTheme="minorEastAsia"/>
                <w:szCs w:val="21"/>
                <w:vertAlign w:val="subscript"/>
              </w:rPr>
              <w:t>i</w:t>
            </w:r>
            <w:r w:rsidRPr="00B23933">
              <w:rPr>
                <w:rFonts w:asciiTheme="minorEastAsia" w:hAnsiTheme="minorEastAsia"/>
                <w:szCs w:val="21"/>
              </w:rPr>
              <w:t>=0,1</w:t>
            </w:r>
          </w:p>
        </w:tc>
        <w:tc>
          <w:tcPr>
            <w:tcW w:w="6612" w:type="dxa"/>
            <w:tcBorders>
              <w:top w:val="nil"/>
              <w:left w:val="nil"/>
              <w:bottom w:val="single" w:sz="18" w:space="0" w:color="000000"/>
              <w:right w:val="nil"/>
              <w:tl2br w:val="nil"/>
              <w:tr2bl w:val="nil"/>
            </w:tcBorders>
            <w:vAlign w:val="center"/>
          </w:tcPr>
          <w:p w:rsidR="00FF4139" w:rsidRPr="00B23933" w:rsidRDefault="00FF4139" w:rsidP="004E6083">
            <w:pPr>
              <w:widowControl/>
              <w:adjustRightInd w:val="0"/>
              <w:snapToGrid w:val="0"/>
              <w:spacing w:after="190" w:line="260" w:lineRule="auto"/>
              <w:rPr>
                <w:rFonts w:asciiTheme="minorEastAsia" w:hAnsiTheme="minorEastAsia"/>
                <w:szCs w:val="21"/>
              </w:rPr>
            </w:pPr>
            <w:r w:rsidRPr="00B23933">
              <w:rPr>
                <w:rFonts w:asciiTheme="minorEastAsia" w:hAnsiTheme="minorEastAsia" w:hint="eastAsia"/>
                <w:szCs w:val="21"/>
              </w:rPr>
              <w:t>车主的收费为1，非车主收费为0。</w:t>
            </w:r>
          </w:p>
        </w:tc>
      </w:tr>
    </w:tbl>
    <w:p w:rsidR="00FF4139" w:rsidRPr="00B23933" w:rsidRDefault="00FF4139" w:rsidP="00FF4139">
      <w:pPr>
        <w:pStyle w:val="1"/>
        <w:numPr>
          <w:ilvl w:val="0"/>
          <w:numId w:val="4"/>
        </w:numPr>
        <w:adjustRightInd w:val="0"/>
        <w:snapToGrid w:val="0"/>
        <w:spacing w:after="190" w:line="260" w:lineRule="auto"/>
        <w:jc w:val="both"/>
        <w:rPr>
          <w:rFonts w:asciiTheme="minorEastAsia" w:eastAsiaTheme="minorEastAsia" w:hAnsiTheme="minorEastAsia"/>
          <w:sz w:val="21"/>
          <w:szCs w:val="21"/>
        </w:rPr>
      </w:pPr>
      <w:r w:rsidRPr="00B23933">
        <w:rPr>
          <w:rFonts w:asciiTheme="minorEastAsia" w:eastAsiaTheme="minorEastAsia" w:hAnsiTheme="minorEastAsia" w:hint="eastAsia"/>
          <w:sz w:val="21"/>
          <w:szCs w:val="21"/>
        </w:rPr>
        <w:t>模型与结论</w:t>
      </w:r>
    </w:p>
    <w:p w:rsidR="00FF4139" w:rsidRPr="00B23933" w:rsidRDefault="00FF4139" w:rsidP="00FF4139">
      <w:pPr>
        <w:pStyle w:val="1"/>
        <w:numPr>
          <w:ilvl w:val="1"/>
          <w:numId w:val="4"/>
        </w:numPr>
        <w:adjustRightInd w:val="0"/>
        <w:snapToGrid w:val="0"/>
        <w:spacing w:after="190" w:line="260" w:lineRule="auto"/>
        <w:jc w:val="both"/>
        <w:rPr>
          <w:rFonts w:asciiTheme="minorEastAsia" w:eastAsiaTheme="minorEastAsia" w:hAnsiTheme="minorEastAsia"/>
          <w:sz w:val="21"/>
          <w:szCs w:val="21"/>
        </w:rPr>
      </w:pPr>
      <w:r w:rsidRPr="00B23933">
        <w:rPr>
          <w:rFonts w:asciiTheme="minorEastAsia" w:eastAsiaTheme="minorEastAsia" w:hAnsiTheme="minorEastAsia" w:hint="eastAsia"/>
          <w:sz w:val="21"/>
          <w:szCs w:val="21"/>
        </w:rPr>
        <w:t>任务1</w:t>
      </w:r>
    </w:p>
    <w:p w:rsidR="00FF4139" w:rsidRPr="00B23933" w:rsidRDefault="00FF4139" w:rsidP="00FF4139">
      <w:pPr>
        <w:pStyle w:val="1"/>
        <w:numPr>
          <w:ilvl w:val="1"/>
          <w:numId w:val="5"/>
        </w:numPr>
        <w:adjustRightInd w:val="0"/>
        <w:snapToGrid w:val="0"/>
        <w:spacing w:after="190" w:line="260" w:lineRule="auto"/>
        <w:jc w:val="both"/>
        <w:rPr>
          <w:rFonts w:asciiTheme="minorEastAsia" w:eastAsiaTheme="minorEastAsia" w:hAnsiTheme="minorEastAsia"/>
          <w:sz w:val="21"/>
          <w:szCs w:val="21"/>
        </w:rPr>
      </w:pPr>
      <w:r w:rsidRPr="00B23933">
        <w:rPr>
          <w:rFonts w:asciiTheme="minorEastAsia" w:eastAsiaTheme="minorEastAsia" w:hAnsiTheme="minorEastAsia" w:hint="eastAsia"/>
          <w:sz w:val="21"/>
          <w:szCs w:val="21"/>
        </w:rPr>
        <w:t>模型</w:t>
      </w:r>
    </w:p>
    <w:p w:rsidR="00FF4139" w:rsidRPr="00B23933" w:rsidRDefault="00FF4139" w:rsidP="00FF4139">
      <w:pPr>
        <w:pStyle w:val="1"/>
        <w:numPr>
          <w:ilvl w:val="1"/>
          <w:numId w:val="5"/>
        </w:numPr>
        <w:adjustRightInd w:val="0"/>
        <w:snapToGrid w:val="0"/>
        <w:spacing w:after="190" w:line="260" w:lineRule="auto"/>
        <w:jc w:val="both"/>
        <w:rPr>
          <w:rFonts w:asciiTheme="minorEastAsia" w:eastAsiaTheme="minorEastAsia" w:hAnsiTheme="minorEastAsia"/>
          <w:sz w:val="21"/>
          <w:szCs w:val="21"/>
        </w:rPr>
      </w:pPr>
      <w:r w:rsidRPr="00B23933">
        <w:rPr>
          <w:rFonts w:asciiTheme="minorEastAsia" w:eastAsiaTheme="minorEastAsia" w:hAnsiTheme="minorEastAsia" w:hint="eastAsia"/>
          <w:sz w:val="21"/>
          <w:szCs w:val="21"/>
        </w:rPr>
        <w:t>从特斯拉提供的两种充电站，我们认为这两种服务组和服务地点是不同的：</w:t>
      </w:r>
      <w:r w:rsidRPr="00B23933">
        <w:rPr>
          <w:rFonts w:asciiTheme="minorEastAsia" w:eastAsiaTheme="minorEastAsia" w:hAnsiTheme="minorEastAsia" w:hint="eastAsia"/>
          <w:color w:val="666666"/>
          <w:sz w:val="21"/>
          <w:szCs w:val="21"/>
          <w:shd w:val="clear" w:color="auto" w:fill="FFFFFF"/>
        </w:rPr>
        <w:t>1.到达后</w:t>
      </w:r>
      <w:r w:rsidRPr="00B23933">
        <w:rPr>
          <w:rFonts w:asciiTheme="minorEastAsia" w:eastAsiaTheme="minorEastAsia" w:hAnsiTheme="minorEastAsia" w:hint="eastAsia"/>
          <w:sz w:val="21"/>
          <w:szCs w:val="21"/>
        </w:rPr>
        <w:t>目的地后充电是一种缓慢充电模式，主要用于住宅、购物中心、旅馆和一些人们将过夜的地方；而补充充电则是另一种类型。在充电过程中，由于充电时间较短，主要是为了帮助在运行过程中需要补充电源的人。两者之间的差异导致了其分布和数量的差异。因此，我们分别建立了基于优化模型和基于优化模型的点对增压站和目的地充电站的线路。</w:t>
      </w:r>
    </w:p>
    <w:p w:rsidR="00FF4139" w:rsidRPr="00B23933" w:rsidRDefault="00FF4139" w:rsidP="00FF4139">
      <w:pPr>
        <w:rPr>
          <w:rFonts w:asciiTheme="minorEastAsia" w:hAnsiTheme="minorEastAsia"/>
          <w:szCs w:val="21"/>
        </w:rPr>
      </w:pP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1)基于直线的多目标优化模型。</w:t>
      </w:r>
    </w:p>
    <w:p w:rsidR="00FF4139" w:rsidRPr="00B23933" w:rsidRDefault="00FF4139" w:rsidP="00FF4139">
      <w:pPr>
        <w:ind w:firstLineChars="200" w:firstLine="420"/>
        <w:rPr>
          <w:rFonts w:asciiTheme="minorEastAsia" w:hAnsiTheme="minorEastAsia"/>
          <w:szCs w:val="21"/>
        </w:rPr>
      </w:pPr>
      <w:r w:rsidRPr="00B23933">
        <w:rPr>
          <w:rFonts w:asciiTheme="minorEastAsia" w:hAnsiTheme="minorEastAsia" w:hint="eastAsia"/>
          <w:szCs w:val="21"/>
        </w:rPr>
        <w:t>由于电动汽车在道路上行驶的路线是确定的，我们将道路上的充电站简化为一条直线的充电站。考虑到电动汽车每充电后的一段时间都可以行驶很长的距离，我们可以使用该方法确定覆盖最小的充电站。</w:t>
      </w:r>
    </w:p>
    <w:p w:rsidR="00FF4139" w:rsidRPr="00B23933" w:rsidRDefault="00FF4139" w:rsidP="00FF4139">
      <w:pPr>
        <w:ind w:firstLineChars="200" w:firstLine="420"/>
        <w:rPr>
          <w:rFonts w:asciiTheme="minorEastAsia" w:hAnsiTheme="minorEastAsia"/>
          <w:szCs w:val="21"/>
        </w:rPr>
      </w:pPr>
      <w:r w:rsidRPr="00B23933">
        <w:rPr>
          <w:rFonts w:asciiTheme="minorEastAsia" w:hAnsiTheme="minorEastAsia" w:hint="eastAsia"/>
          <w:szCs w:val="21"/>
        </w:rPr>
        <w:lastRenderedPageBreak/>
        <w:t>在确定这个数量的过程中，我们考虑了不同因素对电池续航能力的影响:不同的天气和地形会影响行驶里程，电池寿命会影响电池容量。</w:t>
      </w:r>
    </w:p>
    <w:p w:rsidR="00FF4139" w:rsidRPr="00B23933" w:rsidRDefault="00FF4139" w:rsidP="00FF4139">
      <w:pPr>
        <w:ind w:firstLineChars="200" w:firstLine="420"/>
        <w:rPr>
          <w:rFonts w:asciiTheme="minorEastAsia" w:hAnsiTheme="minorEastAsia"/>
          <w:szCs w:val="21"/>
        </w:rPr>
      </w:pPr>
      <w:r w:rsidRPr="00B23933">
        <w:rPr>
          <w:rFonts w:asciiTheme="minorEastAsia" w:hAnsiTheme="minorEastAsia" w:hint="eastAsia"/>
          <w:szCs w:val="21"/>
        </w:rPr>
        <w:t>建立充电站时,我们也考虑充电站的建设成本和维护成本,所以我们的最终需求是在满足充电需求的前提下实现高盈利和低投资。</w:t>
      </w:r>
    </w:p>
    <w:p w:rsidR="00FF4139" w:rsidRPr="00B23933" w:rsidRDefault="00FF4139" w:rsidP="00FF4139">
      <w:pPr>
        <w:ind w:firstLineChars="200" w:firstLine="420"/>
        <w:rPr>
          <w:rFonts w:asciiTheme="minorEastAsia" w:hAnsiTheme="minorEastAsia"/>
          <w:szCs w:val="21"/>
        </w:rPr>
      </w:pPr>
      <w:r w:rsidRPr="00B23933">
        <w:rPr>
          <w:rFonts w:asciiTheme="minorEastAsia" w:hAnsiTheme="minorEastAsia" w:hint="eastAsia"/>
          <w:szCs w:val="21"/>
        </w:rPr>
        <w:t>考虑到人们在高速公路和其他道路上的驾驶习惯的不同，我们为两者设计了不同的模型。在高速公路上，车辆被要求以一种方式长距离行驶，而在其他高速公路上则没有这种情况。因此，我们考虑在非高速公路充电站建设中对充电站的需求变化。</w:t>
      </w:r>
    </w:p>
    <w:p w:rsidR="00FF4139" w:rsidRPr="00B23933" w:rsidRDefault="00FF4139" w:rsidP="00FF4139">
      <w:pPr>
        <w:pStyle w:val="a7"/>
        <w:widowControl/>
        <w:numPr>
          <w:ilvl w:val="0"/>
          <w:numId w:val="6"/>
        </w:numPr>
        <w:ind w:firstLineChars="0"/>
        <w:jc w:val="left"/>
        <w:rPr>
          <w:rFonts w:asciiTheme="minorEastAsia" w:hAnsiTheme="minorEastAsia"/>
          <w:szCs w:val="21"/>
        </w:rPr>
      </w:pPr>
      <w:r w:rsidRPr="00B23933">
        <w:rPr>
          <w:rFonts w:asciiTheme="minorEastAsia" w:hAnsiTheme="minorEastAsia" w:hint="eastAsia"/>
          <w:szCs w:val="21"/>
        </w:rPr>
        <w:t>高速公路。</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在高速公路充电站建设中，我们希望能满足高速公路上所有电动汽车的充电需求，同时使用最小费用，在未来的运行过程中达到最大的利益。</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所以我们得到了以下关系:</w:t>
      </w:r>
    </w:p>
    <w:p w:rsidR="00FF4139" w:rsidRPr="00B23933" w:rsidRDefault="00FF4139" w:rsidP="00FF4139">
      <w:pPr>
        <w:pStyle w:val="a7"/>
        <w:tabs>
          <w:tab w:val="center" w:pos="4333"/>
        </w:tabs>
        <w:adjustRightInd w:val="0"/>
        <w:snapToGrid w:val="0"/>
        <w:spacing w:after="190" w:line="260" w:lineRule="auto"/>
        <w:ind w:firstLineChars="0" w:firstLine="0"/>
        <w:jc w:val="center"/>
        <w:rPr>
          <w:rFonts w:asciiTheme="minorEastAsia" w:hAnsiTheme="minorEastAsia"/>
          <w:szCs w:val="21"/>
        </w:rPr>
      </w:pPr>
      <w:r w:rsidRPr="00B23933">
        <w:rPr>
          <w:rFonts w:asciiTheme="minorEastAsia" w:hAnsiTheme="minorEastAsia"/>
          <w:position w:val="-14"/>
          <w:szCs w:val="21"/>
        </w:rPr>
        <w:object w:dxaOrig="2339" w:dyaOrig="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i1025" type="#_x0000_t75" style="width:117pt;height:20.4pt;mso-wrap-style:square;mso-position-horizontal-relative:page;mso-position-vertical-relative:page" o:ole="">
            <v:imagedata r:id="rId8" o:title=""/>
          </v:shape>
          <o:OLEObject Type="Embed" ProgID="Equation.DSMT4" ShapeID="Picture 53" DrawAspect="Content" ObjectID="_1589611446" r:id="rId9">
            <o:FieldCodes>\* MERGEFORMAT</o:FieldCodes>
          </o:OLEObject>
        </w:object>
      </w:r>
    </w:p>
    <w:p w:rsidR="00FF4139" w:rsidRPr="00B23933" w:rsidRDefault="00FF4139" w:rsidP="00FF4139">
      <w:pPr>
        <w:pStyle w:val="a7"/>
        <w:tabs>
          <w:tab w:val="center" w:pos="4333"/>
        </w:tabs>
        <w:adjustRightInd w:val="0"/>
        <w:snapToGrid w:val="0"/>
        <w:spacing w:after="190" w:line="260" w:lineRule="auto"/>
        <w:ind w:firstLineChars="0" w:firstLine="0"/>
        <w:jc w:val="center"/>
        <w:rPr>
          <w:rFonts w:asciiTheme="minorEastAsia" w:hAnsiTheme="minorEastAsia"/>
          <w:szCs w:val="21"/>
        </w:rPr>
      </w:pPr>
      <w:r w:rsidRPr="00B23933">
        <w:rPr>
          <w:rFonts w:asciiTheme="minorEastAsia" w:hAnsiTheme="minorEastAsia"/>
          <w:position w:val="-14"/>
          <w:szCs w:val="21"/>
        </w:rPr>
        <w:object w:dxaOrig="3560" w:dyaOrig="399">
          <v:shape id="Picture 10" o:spid="_x0000_i1026" type="#_x0000_t75" style="width:178.2pt;height:20.4pt;mso-wrap-style:square;mso-position-horizontal-relative:page;mso-position-vertical-relative:page" o:ole="">
            <v:imagedata r:id="rId10" o:title=""/>
          </v:shape>
          <o:OLEObject Type="Embed" ProgID="Equation.DSMT4" ShapeID="Picture 10" DrawAspect="Content" ObjectID="_1589611447" r:id="rId11">
            <o:FieldCodes>\* MERGEFORMAT</o:FieldCodes>
          </o:OLEObject>
        </w:object>
      </w:r>
    </w:p>
    <w:p w:rsidR="00FF4139" w:rsidRPr="00B23933" w:rsidRDefault="00FF4139" w:rsidP="00FF4139">
      <w:pPr>
        <w:pStyle w:val="a7"/>
        <w:tabs>
          <w:tab w:val="center" w:pos="4333"/>
        </w:tabs>
        <w:adjustRightInd w:val="0"/>
        <w:snapToGrid w:val="0"/>
        <w:spacing w:after="190" w:line="260" w:lineRule="auto"/>
        <w:ind w:firstLineChars="0" w:firstLine="0"/>
        <w:jc w:val="center"/>
        <w:rPr>
          <w:rFonts w:asciiTheme="minorEastAsia" w:hAnsiTheme="minorEastAsia"/>
          <w:szCs w:val="21"/>
        </w:rPr>
      </w:pPr>
      <w:r w:rsidRPr="00B23933">
        <w:rPr>
          <w:rFonts w:asciiTheme="minorEastAsia" w:hAnsiTheme="minorEastAsia"/>
          <w:position w:val="-12"/>
          <w:szCs w:val="21"/>
        </w:rPr>
        <w:object w:dxaOrig="1359" w:dyaOrig="359">
          <v:shape id="对象 35" o:spid="_x0000_i1027" type="#_x0000_t75" style="width:67.2pt;height:18.6pt;mso-wrap-style:square;mso-position-horizontal-relative:page;mso-position-vertical-relative:page" o:ole="">
            <v:imagedata r:id="rId12" o:title=""/>
          </v:shape>
          <o:OLEObject Type="Embed" ProgID="Equation.DSMT4" ShapeID="对象 35" DrawAspect="Content" ObjectID="_1589611448" r:id="rId13">
            <o:FieldCodes>\* MERGEFORMAT</o:FieldCodes>
          </o:OLEObject>
        </w:object>
      </w:r>
    </w:p>
    <w:p w:rsidR="00FF4139" w:rsidRPr="00B23933" w:rsidRDefault="00FF4139" w:rsidP="00FF4139">
      <w:pPr>
        <w:pStyle w:val="a7"/>
        <w:tabs>
          <w:tab w:val="center" w:pos="4333"/>
        </w:tabs>
        <w:adjustRightInd w:val="0"/>
        <w:snapToGrid w:val="0"/>
        <w:spacing w:after="190" w:line="260" w:lineRule="auto"/>
        <w:ind w:firstLineChars="0" w:firstLine="0"/>
        <w:jc w:val="center"/>
        <w:rPr>
          <w:rFonts w:asciiTheme="minorEastAsia" w:hAnsiTheme="minorEastAsia"/>
          <w:szCs w:val="21"/>
        </w:rPr>
      </w:pPr>
      <w:r w:rsidRPr="00B23933">
        <w:rPr>
          <w:rFonts w:asciiTheme="minorEastAsia" w:hAnsiTheme="minorEastAsia"/>
          <w:position w:val="-30"/>
          <w:szCs w:val="21"/>
        </w:rPr>
        <w:object w:dxaOrig="1940" w:dyaOrig="680">
          <v:shape id="Picture 65" o:spid="_x0000_i1028" type="#_x0000_t75" style="width:97.2pt;height:34.2pt;mso-wrap-style:square;mso-position-horizontal-relative:page;mso-position-vertical-relative:page" o:ole="">
            <v:imagedata r:id="rId14" o:title=""/>
          </v:shape>
          <o:OLEObject Type="Embed" ProgID="Equation.DSMT4" ShapeID="Picture 65" DrawAspect="Content" ObjectID="_1589611449" r:id="rId15">
            <o:FieldCodes>\* MERGEFORMAT</o:FieldCodes>
          </o:OLEObject>
        </w:object>
      </w:r>
    </w:p>
    <w:p w:rsidR="00FF4139" w:rsidRPr="00B23933" w:rsidRDefault="00FF4139" w:rsidP="00FF4139">
      <w:pPr>
        <w:pStyle w:val="a7"/>
        <w:tabs>
          <w:tab w:val="center" w:pos="4333"/>
        </w:tabs>
        <w:adjustRightInd w:val="0"/>
        <w:snapToGrid w:val="0"/>
        <w:spacing w:after="190" w:line="260" w:lineRule="auto"/>
        <w:ind w:firstLineChars="0" w:firstLine="0"/>
        <w:jc w:val="center"/>
        <w:rPr>
          <w:rFonts w:asciiTheme="minorEastAsia" w:hAnsiTheme="minorEastAsia"/>
          <w:szCs w:val="21"/>
        </w:rPr>
      </w:pPr>
      <w:r w:rsidRPr="00B23933">
        <w:rPr>
          <w:rFonts w:asciiTheme="minorEastAsia" w:hAnsiTheme="minorEastAsia"/>
          <w:position w:val="-6"/>
          <w:szCs w:val="21"/>
        </w:rPr>
        <w:object w:dxaOrig="2204" w:dyaOrig="279">
          <v:shape id="Picture 63" o:spid="_x0000_i1029" type="#_x0000_t75" style="width:109.8pt;height:14.4pt;mso-wrap-style:square;mso-position-horizontal-relative:page;mso-position-vertical-relative:page" o:ole="">
            <v:imagedata r:id="rId16" o:title=""/>
          </v:shape>
          <o:OLEObject Type="Embed" ProgID="Equation.DSMT4" ShapeID="Picture 63" DrawAspect="Content" ObjectID="_1589611450" r:id="rId17">
            <o:FieldCodes>\* MERGEFORMAT</o:FieldCodes>
          </o:OLEObject>
        </w:object>
      </w:r>
    </w:p>
    <w:p w:rsidR="00FF4139" w:rsidRPr="00B23933" w:rsidRDefault="00FF4139" w:rsidP="00FF4139">
      <w:pPr>
        <w:rPr>
          <w:rFonts w:asciiTheme="minorEastAsia" w:hAnsiTheme="minorEastAsia"/>
          <w:szCs w:val="21"/>
        </w:rPr>
      </w:pP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由于城乡高速公路的差异不明显，我们可以忽略这里的影响。</w:t>
      </w:r>
    </w:p>
    <w:p w:rsidR="00FF4139" w:rsidRPr="00B23933" w:rsidRDefault="00FF4139" w:rsidP="00FF4139">
      <w:pPr>
        <w:pStyle w:val="a7"/>
        <w:widowControl/>
        <w:numPr>
          <w:ilvl w:val="0"/>
          <w:numId w:val="6"/>
        </w:numPr>
        <w:ind w:firstLineChars="0"/>
        <w:jc w:val="left"/>
        <w:rPr>
          <w:rFonts w:asciiTheme="minorEastAsia" w:hAnsiTheme="minorEastAsia"/>
          <w:szCs w:val="21"/>
        </w:rPr>
      </w:pPr>
      <w:r w:rsidRPr="00B23933">
        <w:rPr>
          <w:rFonts w:asciiTheme="minorEastAsia" w:hAnsiTheme="minorEastAsia" w:hint="eastAsia"/>
          <w:szCs w:val="21"/>
        </w:rPr>
        <w:t>小公路</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我们认为充电站的密度应该是高速公路的两倍，因为在这条小路上有一个很短的往返问题。</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我们得到以下关系:</w:t>
      </w:r>
    </w:p>
    <w:p w:rsidR="00FF4139" w:rsidRPr="00B23933" w:rsidRDefault="00FF4139" w:rsidP="00FF4139">
      <w:pPr>
        <w:rPr>
          <w:rFonts w:asciiTheme="minorEastAsia" w:hAnsiTheme="minorEastAsia"/>
          <w:szCs w:val="21"/>
        </w:rPr>
      </w:pPr>
      <w:r w:rsidRPr="00B23933">
        <w:rPr>
          <w:rFonts w:asciiTheme="minorEastAsia" w:hAnsiTheme="minorEastAsia"/>
          <w:position w:val="-30"/>
          <w:szCs w:val="21"/>
        </w:rPr>
        <w:object w:dxaOrig="2242" w:dyaOrig="680">
          <v:shape id="Picture 36" o:spid="_x0000_i1030" type="#_x0000_t75" style="width:111.6pt;height:34.2pt;mso-wrap-style:square;mso-position-horizontal-relative:page;mso-position-vertical-relative:page" o:ole="">
            <v:imagedata r:id="rId18" o:title=""/>
          </v:shape>
          <o:OLEObject Type="Embed" ProgID="Equation.DSMT4" ShapeID="Picture 36" DrawAspect="Content" ObjectID="_1589611451" r:id="rId19">
            <o:FieldCodes>\* MERGEFORMAT</o:FieldCodes>
          </o:OLEObject>
        </w:objec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同时，还需要满足高速公路充电站建设的要求。</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2)基于点的多目标优化模型</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在城市、农村和其他地区，由于复杂的规律性，为了简化模型，可以认为该区域的所有点都可能出现在车辆路径中，具有相同的概率，而驱动方向是任意的。我们首先使用集合覆盖模型，根据城市的经济水平和人口密度和旅游条件，该区域建立一系列的充电站，点主要分布在城市居住区、服务区域和功能区域。</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城市居住区、服务区、功能区的数量和位置与城市的经济发展程度和人口密度有关，</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在我们的模型中，我们假设充电站的大小是确定的，并且每个充电站都可以同时使用R辆电动汽车。</w:t>
      </w:r>
    </w:p>
    <w:p w:rsidR="00FF4139" w:rsidRPr="00B23933" w:rsidRDefault="00FF4139" w:rsidP="00FF4139">
      <w:pPr>
        <w:pStyle w:val="a7"/>
        <w:tabs>
          <w:tab w:val="center" w:pos="4333"/>
        </w:tabs>
        <w:adjustRightInd w:val="0"/>
        <w:snapToGrid w:val="0"/>
        <w:spacing w:after="190" w:line="260" w:lineRule="auto"/>
        <w:ind w:firstLineChars="0" w:firstLine="0"/>
        <w:jc w:val="center"/>
        <w:rPr>
          <w:rFonts w:asciiTheme="minorEastAsia" w:hAnsiTheme="minorEastAsia"/>
          <w:szCs w:val="21"/>
        </w:rPr>
      </w:pPr>
      <w:r w:rsidRPr="00B23933">
        <w:rPr>
          <w:rFonts w:asciiTheme="minorEastAsia" w:hAnsiTheme="minorEastAsia"/>
          <w:position w:val="-12"/>
          <w:szCs w:val="21"/>
        </w:rPr>
        <w:object w:dxaOrig="2220" w:dyaOrig="359">
          <v:shape id="对象 57" o:spid="_x0000_i1031" type="#_x0000_t75" style="width:150pt;height:18.6pt;mso-wrap-style:square;mso-position-horizontal-relative:page;mso-position-vertical-relative:page" o:ole="">
            <v:imagedata r:id="rId20" o:title=""/>
          </v:shape>
          <o:OLEObject Type="Embed" ProgID="Equation.DSMT4" ShapeID="对象 57" DrawAspect="Content" ObjectID="_1589611452" r:id="rId21">
            <o:FieldCodes>\* MERGEFORMAT</o:FieldCodes>
          </o:OLEObject>
        </w:object>
      </w:r>
      <w:r w:rsidRPr="00B23933">
        <w:rPr>
          <w:rFonts w:asciiTheme="minorEastAsia" w:hAnsiTheme="minorEastAsia" w:hint="eastAsia"/>
          <w:szCs w:val="21"/>
        </w:rPr>
        <w:t>(*)</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类型(*)模型优化:</w:t>
      </w:r>
    </w:p>
    <w:p w:rsidR="00FF4139" w:rsidRPr="00B23933" w:rsidRDefault="00FF4139" w:rsidP="00FF4139">
      <w:pPr>
        <w:ind w:firstLineChars="200" w:firstLine="420"/>
        <w:rPr>
          <w:rFonts w:asciiTheme="minorEastAsia" w:hAnsiTheme="minorEastAsia"/>
          <w:szCs w:val="21"/>
        </w:rPr>
      </w:pPr>
      <w:r w:rsidRPr="00B23933">
        <w:rPr>
          <w:rFonts w:asciiTheme="minorEastAsia" w:hAnsiTheme="minorEastAsia" w:hint="eastAsia"/>
          <w:szCs w:val="21"/>
        </w:rPr>
        <w:t>类型(*)仅满足电动汽车充电任务的理论要求。现在我们使用覆盖问题模型来优化充电站的布局，满足所有充电车辆需求，找到合理的充电站数量，有利于充电站的建设。</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我们得到以下关系</w:t>
      </w:r>
    </w:p>
    <w:p w:rsidR="00FF4139" w:rsidRPr="00B23933" w:rsidRDefault="00FF4139" w:rsidP="00FF4139">
      <w:pPr>
        <w:pStyle w:val="a7"/>
        <w:tabs>
          <w:tab w:val="center" w:pos="4333"/>
        </w:tabs>
        <w:adjustRightInd w:val="0"/>
        <w:snapToGrid w:val="0"/>
        <w:spacing w:after="190" w:line="260" w:lineRule="auto"/>
        <w:ind w:firstLineChars="0" w:firstLine="0"/>
        <w:jc w:val="center"/>
        <w:rPr>
          <w:rFonts w:asciiTheme="minorEastAsia" w:hAnsiTheme="minorEastAsia"/>
          <w:szCs w:val="21"/>
        </w:rPr>
      </w:pPr>
      <w:r w:rsidRPr="00B23933">
        <w:rPr>
          <w:rFonts w:asciiTheme="minorEastAsia" w:hAnsiTheme="minorEastAsia"/>
          <w:position w:val="-30"/>
          <w:szCs w:val="21"/>
        </w:rPr>
        <w:object w:dxaOrig="1320" w:dyaOrig="560">
          <v:shape id="对象 107" o:spid="_x0000_i1032" type="#_x0000_t75" style="width:63pt;height:27.6pt;mso-wrap-style:square;mso-position-horizontal-relative:page;mso-position-vertical-relative:page" o:ole="">
            <v:imagedata r:id="rId22" o:title=""/>
          </v:shape>
          <o:OLEObject Type="Embed" ProgID="Equation.DSMT4" ShapeID="对象 107" DrawAspect="Content" ObjectID="_1589611453" r:id="rId23">
            <o:FieldCodes>\* MERGEFORMAT</o:FieldCodes>
          </o:OLEObject>
        </w:object>
      </w:r>
    </w:p>
    <w:p w:rsidR="00FF4139" w:rsidRPr="00B23933" w:rsidRDefault="00FF4139" w:rsidP="00FF4139">
      <w:pPr>
        <w:pStyle w:val="a7"/>
        <w:tabs>
          <w:tab w:val="center" w:pos="4333"/>
        </w:tabs>
        <w:adjustRightInd w:val="0"/>
        <w:snapToGrid w:val="0"/>
        <w:spacing w:after="190" w:line="260" w:lineRule="auto"/>
        <w:ind w:firstLineChars="0" w:firstLine="0"/>
        <w:jc w:val="center"/>
        <w:rPr>
          <w:rFonts w:asciiTheme="minorEastAsia" w:hAnsiTheme="minorEastAsia"/>
          <w:szCs w:val="21"/>
          <w:vertAlign w:val="subscript"/>
        </w:rPr>
      </w:pPr>
      <w:r w:rsidRPr="00B23933">
        <w:rPr>
          <w:rFonts w:asciiTheme="minorEastAsia" w:hAnsiTheme="minorEastAsia"/>
          <w:position w:val="-30"/>
          <w:szCs w:val="21"/>
          <w:vertAlign w:val="subscript"/>
        </w:rPr>
        <w:object w:dxaOrig="1560" w:dyaOrig="560">
          <v:shape id="对象 108" o:spid="_x0000_i1033" type="#_x0000_t75" style="width:75.6pt;height:27.6pt;mso-wrap-style:square;mso-position-horizontal-relative:page;mso-position-vertical-relative:page" o:ole="">
            <v:imagedata r:id="rId24" o:title=""/>
          </v:shape>
          <o:OLEObject Type="Embed" ProgID="Equation.DSMT4" ShapeID="对象 108" DrawAspect="Content" ObjectID="_1589611454" r:id="rId25">
            <o:FieldCodes>\* MERGEFORMAT</o:FieldCodes>
          </o:OLEObject>
        </w:object>
      </w:r>
    </w:p>
    <w:p w:rsidR="00FF4139" w:rsidRPr="00B23933" w:rsidRDefault="00FF4139" w:rsidP="00FF4139">
      <w:pPr>
        <w:pStyle w:val="a7"/>
        <w:tabs>
          <w:tab w:val="center" w:pos="4333"/>
        </w:tabs>
        <w:adjustRightInd w:val="0"/>
        <w:snapToGrid w:val="0"/>
        <w:spacing w:after="190" w:line="260" w:lineRule="auto"/>
        <w:ind w:firstLineChars="0" w:firstLine="0"/>
        <w:jc w:val="center"/>
        <w:rPr>
          <w:rFonts w:asciiTheme="minorEastAsia" w:hAnsiTheme="minorEastAsia"/>
          <w:szCs w:val="21"/>
        </w:rPr>
      </w:pPr>
      <w:r w:rsidRPr="00B23933">
        <w:rPr>
          <w:rFonts w:asciiTheme="minorEastAsia" w:hAnsiTheme="minorEastAsia"/>
          <w:position w:val="-14"/>
          <w:szCs w:val="21"/>
          <w:vertAlign w:val="subscript"/>
        </w:rPr>
        <w:object w:dxaOrig="1039" w:dyaOrig="379">
          <v:shape id="对象 48" o:spid="_x0000_i1034" type="#_x0000_t75" style="width:63.6pt;height:19.2pt;mso-wrap-style:square;mso-position-horizontal-relative:page;mso-position-vertical-relative:page" o:ole="">
            <v:imagedata r:id="rId26" o:title=""/>
          </v:shape>
          <o:OLEObject Type="Embed" ProgID="Equation.DSMT4" ShapeID="对象 48" DrawAspect="Content" ObjectID="_1589611455" r:id="rId27">
            <o:FieldCodes>\* MERGEFORMAT</o:FieldCodes>
          </o:OLEObject>
        </w:object>
      </w:r>
    </w:p>
    <w:p w:rsidR="00FF4139" w:rsidRPr="00B23933" w:rsidRDefault="00FF4139" w:rsidP="00FF4139">
      <w:pPr>
        <w:pStyle w:val="a7"/>
        <w:tabs>
          <w:tab w:val="center" w:pos="4333"/>
        </w:tabs>
        <w:adjustRightInd w:val="0"/>
        <w:snapToGrid w:val="0"/>
        <w:spacing w:after="190" w:line="260" w:lineRule="auto"/>
        <w:ind w:firstLineChars="0" w:firstLine="0"/>
        <w:jc w:val="center"/>
        <w:rPr>
          <w:rFonts w:asciiTheme="minorEastAsia" w:hAnsiTheme="minorEastAsia"/>
          <w:szCs w:val="21"/>
        </w:rPr>
      </w:pPr>
      <w:r w:rsidRPr="00B23933">
        <w:rPr>
          <w:rFonts w:asciiTheme="minorEastAsia" w:hAnsiTheme="minorEastAsia"/>
          <w:position w:val="-14"/>
          <w:szCs w:val="21"/>
        </w:rPr>
        <w:object w:dxaOrig="2022" w:dyaOrig="380">
          <v:shape id="Picture 100" o:spid="_x0000_i1035" type="#_x0000_t75" style="width:101.4pt;height:19.2pt;mso-wrap-style:square;mso-position-horizontal-relative:page;mso-position-vertical-relative:page" o:ole="">
            <v:imagedata r:id="rId28" o:title=""/>
          </v:shape>
          <o:OLEObject Type="Embed" ProgID="Equation.DSMT4" ShapeID="Picture 100" DrawAspect="Content" ObjectID="_1589611456" r:id="rId29">
            <o:FieldCodes>\* MERGEFORMAT</o:FieldCodes>
          </o:OLEObject>
        </w:object>
      </w:r>
    </w:p>
    <w:p w:rsidR="00FF4139" w:rsidRPr="00B23933" w:rsidRDefault="00FF4139" w:rsidP="00FF4139">
      <w:pPr>
        <w:ind w:firstLineChars="200" w:firstLine="420"/>
        <w:rPr>
          <w:rFonts w:asciiTheme="minorEastAsia" w:hAnsiTheme="minorEastAsia"/>
          <w:szCs w:val="21"/>
        </w:rPr>
      </w:pPr>
      <w:r w:rsidRPr="00B23933">
        <w:rPr>
          <w:rFonts w:asciiTheme="minorEastAsia" w:hAnsiTheme="minorEastAsia" w:hint="eastAsia"/>
          <w:szCs w:val="21"/>
        </w:rPr>
        <w:t>在最后的计算中，我们选择了华盛顿州、密歇根州、犹他州、密苏里州、亚利桑那州和南卡罗来纳州，以代表美国不同的地形、天气、农村地区和城市人口分布和经济状况。</w:t>
      </w:r>
    </w:p>
    <w:p w:rsidR="00FF4139" w:rsidRPr="00B23933" w:rsidRDefault="00FF4139" w:rsidP="00FF4139">
      <w:pPr>
        <w:rPr>
          <w:rFonts w:asciiTheme="minorEastAsia" w:hAnsiTheme="minorEastAsia"/>
          <w:szCs w:val="21"/>
        </w:rPr>
      </w:pPr>
      <w:r w:rsidRPr="00B23933">
        <w:rPr>
          <w:rFonts w:asciiTheme="minorEastAsia" w:hAnsiTheme="minorEastAsia" w:hint="eastAsia"/>
          <w:szCs w:val="21"/>
        </w:rPr>
        <w:t>2结论</w:t>
      </w:r>
    </w:p>
    <w:p w:rsidR="00FF4139" w:rsidRPr="00B23933" w:rsidRDefault="00FF4139" w:rsidP="00FF4139">
      <w:pPr>
        <w:ind w:firstLineChars="200" w:firstLine="420"/>
        <w:rPr>
          <w:rFonts w:asciiTheme="minorEastAsia" w:hAnsiTheme="minorEastAsia"/>
          <w:szCs w:val="21"/>
        </w:rPr>
      </w:pPr>
      <w:r w:rsidRPr="00B23933">
        <w:rPr>
          <w:rFonts w:asciiTheme="minorEastAsia" w:hAnsiTheme="minorEastAsia" w:hint="eastAsia"/>
          <w:szCs w:val="21"/>
        </w:rPr>
        <w:t>在我们看来，特斯拉有望在美国实现完全电动化。</w:t>
      </w:r>
    </w:p>
    <w:p w:rsidR="00FF4139" w:rsidRPr="00B23933" w:rsidRDefault="00FF4139" w:rsidP="00FF4139">
      <w:pPr>
        <w:ind w:firstLineChars="200" w:firstLine="420"/>
        <w:rPr>
          <w:rFonts w:asciiTheme="minorEastAsia" w:hAnsiTheme="minorEastAsia"/>
          <w:szCs w:val="21"/>
        </w:rPr>
      </w:pPr>
      <w:r w:rsidRPr="00B23933">
        <w:rPr>
          <w:rFonts w:asciiTheme="minorEastAsia" w:hAnsiTheme="minorEastAsia" w:hint="eastAsia"/>
          <w:szCs w:val="21"/>
        </w:rPr>
        <w:t>首先，从特斯拉赛车的能力来看，特斯拉在许多电动汽车中占有突出的优势。第二，特斯拉在跑车领域也达到了新的高度。不仅如此，特斯拉发布的新车型3与大众的生活步调一致。正确的价格和卓越的性能也为特斯拉打开了一个市场。</w:t>
      </w:r>
    </w:p>
    <w:p w:rsidR="00FF4139" w:rsidRPr="00B23933" w:rsidRDefault="00FF4139" w:rsidP="00FF4139">
      <w:pPr>
        <w:ind w:firstLineChars="200" w:firstLine="420"/>
        <w:rPr>
          <w:rFonts w:asciiTheme="minorEastAsia" w:hAnsiTheme="minorEastAsia"/>
          <w:szCs w:val="21"/>
        </w:rPr>
      </w:pPr>
      <w:r w:rsidRPr="00B23933">
        <w:rPr>
          <w:rFonts w:asciiTheme="minorEastAsia" w:hAnsiTheme="minorEastAsia" w:hint="eastAsia"/>
          <w:szCs w:val="21"/>
        </w:rPr>
        <w:t>首先，从特斯拉的耐力来看，它能持续跑很长时间，并且可以到达美国的大部分地区。特斯拉在许多电动汽车上都有突出的优势，其次，特斯拉在跑车上也达到了新的高度。此外，特斯拉的新车型3与公众的生活融为一体。适当的价格和卓越的表现也为特斯拉开拓了市场，增大了消费量。</w:t>
      </w:r>
    </w:p>
    <w:p w:rsidR="00FF4139" w:rsidRPr="00B23933" w:rsidRDefault="00FF4139" w:rsidP="00FF4139">
      <w:pPr>
        <w:ind w:firstLineChars="200" w:firstLine="420"/>
        <w:rPr>
          <w:rFonts w:asciiTheme="minorEastAsia" w:hAnsiTheme="minorEastAsia"/>
          <w:szCs w:val="21"/>
        </w:rPr>
      </w:pPr>
      <w:r w:rsidRPr="00B23933">
        <w:rPr>
          <w:rFonts w:asciiTheme="minorEastAsia" w:hAnsiTheme="minorEastAsia" w:hint="eastAsia"/>
          <w:szCs w:val="21"/>
        </w:rPr>
        <w:t>我们通过计算得知，如果美国每个人都转向全电动汽车，那么将会有1080762个充电站，城市、郊区和农村地区的分布和比例如下[6]:</w:t>
      </w:r>
      <w:bookmarkStart w:id="0" w:name="_GoBack"/>
      <w:bookmarkEnd w:id="0"/>
    </w:p>
    <w:p w:rsidR="00FF4139" w:rsidRPr="00B23933" w:rsidRDefault="00FF4139" w:rsidP="00FF4139">
      <w:pPr>
        <w:adjustRightInd w:val="0"/>
        <w:snapToGrid w:val="0"/>
        <w:spacing w:after="190" w:line="260" w:lineRule="auto"/>
        <w:jc w:val="center"/>
        <w:rPr>
          <w:rFonts w:asciiTheme="minorEastAsia" w:hAnsiTheme="minorEastAsia"/>
          <w:szCs w:val="21"/>
        </w:rPr>
      </w:pPr>
      <w:r w:rsidRPr="00B23933">
        <w:rPr>
          <w:rFonts w:asciiTheme="minorEastAsia" w:hAnsiTheme="minorEastAsia" w:hint="eastAsia"/>
          <w:szCs w:val="21"/>
        </w:rPr>
        <w:t>表1美国充电站分布</w:t>
      </w:r>
    </w:p>
    <w:tbl>
      <w:tblPr>
        <w:tblW w:w="0" w:type="auto"/>
        <w:jc w:val="center"/>
        <w:tblLayout w:type="fixed"/>
        <w:tblLook w:val="0000" w:firstRow="0" w:lastRow="0" w:firstColumn="0" w:lastColumn="0" w:noHBand="0" w:noVBand="0"/>
      </w:tblPr>
      <w:tblGrid>
        <w:gridCol w:w="1171"/>
        <w:gridCol w:w="1097"/>
        <w:gridCol w:w="999"/>
        <w:gridCol w:w="1317"/>
        <w:gridCol w:w="999"/>
        <w:gridCol w:w="1080"/>
        <w:gridCol w:w="999"/>
      </w:tblGrid>
      <w:tr w:rsidR="00FF4139" w:rsidRPr="00B23933" w:rsidTr="004E6083">
        <w:trPr>
          <w:trHeight w:val="841"/>
          <w:jc w:val="center"/>
        </w:trPr>
        <w:tc>
          <w:tcPr>
            <w:tcW w:w="1171" w:type="dxa"/>
            <w:tcBorders>
              <w:top w:val="single" w:sz="4" w:space="0" w:color="auto"/>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 xml:space="preserve">　</w:t>
            </w:r>
          </w:p>
        </w:tc>
        <w:tc>
          <w:tcPr>
            <w:tcW w:w="1097" w:type="dxa"/>
            <w:tcBorders>
              <w:top w:val="single" w:sz="4" w:space="0" w:color="auto"/>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超级充电</w:t>
            </w:r>
          </w:p>
        </w:tc>
        <w:tc>
          <w:tcPr>
            <w:tcW w:w="999" w:type="dxa"/>
            <w:tcBorders>
              <w:top w:val="single" w:sz="4" w:space="0" w:color="auto"/>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百分比</w:t>
            </w:r>
          </w:p>
        </w:tc>
        <w:tc>
          <w:tcPr>
            <w:tcW w:w="1317" w:type="dxa"/>
            <w:tcBorders>
              <w:top w:val="single" w:sz="4" w:space="0" w:color="auto"/>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目的地充电</w:t>
            </w:r>
          </w:p>
        </w:tc>
        <w:tc>
          <w:tcPr>
            <w:tcW w:w="999" w:type="dxa"/>
            <w:tcBorders>
              <w:top w:val="single" w:sz="4" w:space="0" w:color="auto"/>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百分比</w:t>
            </w:r>
          </w:p>
        </w:tc>
        <w:tc>
          <w:tcPr>
            <w:tcW w:w="1080" w:type="dxa"/>
            <w:tcBorders>
              <w:top w:val="single" w:sz="4" w:space="0" w:color="auto"/>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总和</w:t>
            </w:r>
          </w:p>
        </w:tc>
        <w:tc>
          <w:tcPr>
            <w:tcW w:w="999" w:type="dxa"/>
            <w:tcBorders>
              <w:top w:val="single" w:sz="4" w:space="0" w:color="auto"/>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百分比</w:t>
            </w:r>
          </w:p>
        </w:tc>
      </w:tr>
      <w:tr w:rsidR="00FF4139" w:rsidRPr="00B23933" w:rsidTr="004E6083">
        <w:trPr>
          <w:trHeight w:val="624"/>
          <w:jc w:val="center"/>
        </w:trPr>
        <w:tc>
          <w:tcPr>
            <w:tcW w:w="1171"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城市</w:t>
            </w:r>
          </w:p>
        </w:tc>
        <w:tc>
          <w:tcPr>
            <w:tcW w:w="1097"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color w:val="000000"/>
                <w:szCs w:val="21"/>
              </w:rPr>
              <w:t>27407</w:t>
            </w:r>
          </w:p>
        </w:tc>
        <w:tc>
          <w:tcPr>
            <w:tcW w:w="999"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color w:val="000000"/>
                <w:szCs w:val="21"/>
              </w:rPr>
              <w:t>21%</w:t>
            </w:r>
          </w:p>
        </w:tc>
        <w:tc>
          <w:tcPr>
            <w:tcW w:w="1317"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color w:val="000000"/>
                <w:szCs w:val="21"/>
              </w:rPr>
              <w:t>665175</w:t>
            </w:r>
          </w:p>
        </w:tc>
        <w:tc>
          <w:tcPr>
            <w:tcW w:w="999"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color w:val="000000"/>
                <w:szCs w:val="21"/>
              </w:rPr>
              <w:t>70%</w:t>
            </w:r>
          </w:p>
        </w:tc>
        <w:tc>
          <w:tcPr>
            <w:tcW w:w="1080"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color w:val="000000"/>
                <w:szCs w:val="21"/>
              </w:rPr>
              <w:t>692582</w:t>
            </w:r>
          </w:p>
        </w:tc>
        <w:tc>
          <w:tcPr>
            <w:tcW w:w="999"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color w:val="000000"/>
                <w:szCs w:val="21"/>
              </w:rPr>
              <w:t>64%</w:t>
            </w:r>
          </w:p>
        </w:tc>
      </w:tr>
      <w:tr w:rsidR="00FF4139" w:rsidRPr="00B23933" w:rsidTr="004E6083">
        <w:trPr>
          <w:trHeight w:val="624"/>
          <w:jc w:val="center"/>
        </w:trPr>
        <w:tc>
          <w:tcPr>
            <w:tcW w:w="1171"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郊区</w:t>
            </w:r>
          </w:p>
        </w:tc>
        <w:tc>
          <w:tcPr>
            <w:tcW w:w="1097"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color w:val="000000"/>
                <w:szCs w:val="21"/>
              </w:rPr>
              <w:t>32628</w:t>
            </w:r>
          </w:p>
        </w:tc>
        <w:tc>
          <w:tcPr>
            <w:tcW w:w="999"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color w:val="000000"/>
                <w:szCs w:val="21"/>
              </w:rPr>
              <w:t>25%</w:t>
            </w:r>
          </w:p>
        </w:tc>
        <w:tc>
          <w:tcPr>
            <w:tcW w:w="1317"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color w:val="000000"/>
                <w:szCs w:val="21"/>
              </w:rPr>
              <w:t>180548</w:t>
            </w:r>
          </w:p>
        </w:tc>
        <w:tc>
          <w:tcPr>
            <w:tcW w:w="999"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color w:val="000000"/>
                <w:szCs w:val="21"/>
              </w:rPr>
              <w:t>19%</w:t>
            </w:r>
          </w:p>
        </w:tc>
        <w:tc>
          <w:tcPr>
            <w:tcW w:w="1080"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color w:val="000000"/>
                <w:szCs w:val="21"/>
              </w:rPr>
              <w:t>213176</w:t>
            </w:r>
          </w:p>
        </w:tc>
        <w:tc>
          <w:tcPr>
            <w:tcW w:w="999"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color w:val="000000"/>
                <w:szCs w:val="21"/>
              </w:rPr>
              <w:t>20%</w:t>
            </w:r>
          </w:p>
        </w:tc>
      </w:tr>
      <w:tr w:rsidR="00FF4139" w:rsidRPr="00B23933" w:rsidTr="004E6083">
        <w:trPr>
          <w:trHeight w:val="624"/>
          <w:jc w:val="center"/>
        </w:trPr>
        <w:tc>
          <w:tcPr>
            <w:tcW w:w="1171"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农村</w:t>
            </w:r>
          </w:p>
        </w:tc>
        <w:tc>
          <w:tcPr>
            <w:tcW w:w="1097"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7</w:t>
            </w:r>
            <w:r w:rsidRPr="00B23933">
              <w:rPr>
                <w:rFonts w:asciiTheme="minorEastAsia" w:hAnsiTheme="minorEastAsia"/>
                <w:color w:val="000000"/>
                <w:szCs w:val="21"/>
              </w:rPr>
              <w:t>0476</w:t>
            </w:r>
          </w:p>
        </w:tc>
        <w:tc>
          <w:tcPr>
            <w:tcW w:w="999"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5</w:t>
            </w:r>
            <w:r w:rsidRPr="00B23933">
              <w:rPr>
                <w:rFonts w:asciiTheme="minorEastAsia" w:hAnsiTheme="minorEastAsia"/>
                <w:color w:val="000000"/>
                <w:szCs w:val="21"/>
              </w:rPr>
              <w:t>4</w:t>
            </w:r>
            <w:r w:rsidRPr="00B23933">
              <w:rPr>
                <w:rFonts w:asciiTheme="minorEastAsia" w:hAnsiTheme="minorEastAsia" w:hint="eastAsia"/>
                <w:color w:val="000000"/>
                <w:szCs w:val="21"/>
              </w:rPr>
              <w:t>%</w:t>
            </w:r>
          </w:p>
        </w:tc>
        <w:tc>
          <w:tcPr>
            <w:tcW w:w="1317"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1</w:t>
            </w:r>
            <w:r w:rsidRPr="00B23933">
              <w:rPr>
                <w:rFonts w:asciiTheme="minorEastAsia" w:hAnsiTheme="minorEastAsia"/>
                <w:color w:val="000000"/>
                <w:szCs w:val="21"/>
              </w:rPr>
              <w:t>04528</w:t>
            </w:r>
          </w:p>
        </w:tc>
        <w:tc>
          <w:tcPr>
            <w:tcW w:w="999"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1</w:t>
            </w:r>
            <w:r w:rsidRPr="00B23933">
              <w:rPr>
                <w:rFonts w:asciiTheme="minorEastAsia" w:hAnsiTheme="minorEastAsia"/>
                <w:color w:val="000000"/>
                <w:szCs w:val="21"/>
              </w:rPr>
              <w:t>1</w:t>
            </w:r>
            <w:r w:rsidRPr="00B23933">
              <w:rPr>
                <w:rFonts w:asciiTheme="minorEastAsia" w:hAnsiTheme="minorEastAsia" w:hint="eastAsia"/>
                <w:color w:val="000000"/>
                <w:szCs w:val="21"/>
              </w:rPr>
              <w:t>%</w:t>
            </w:r>
          </w:p>
        </w:tc>
        <w:tc>
          <w:tcPr>
            <w:tcW w:w="1080"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1</w:t>
            </w:r>
            <w:r w:rsidRPr="00B23933">
              <w:rPr>
                <w:rFonts w:asciiTheme="minorEastAsia" w:hAnsiTheme="minorEastAsia"/>
                <w:color w:val="000000"/>
                <w:szCs w:val="21"/>
              </w:rPr>
              <w:t>75004</w:t>
            </w:r>
          </w:p>
        </w:tc>
        <w:tc>
          <w:tcPr>
            <w:tcW w:w="999"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1</w:t>
            </w:r>
            <w:r w:rsidRPr="00B23933">
              <w:rPr>
                <w:rFonts w:asciiTheme="minorEastAsia" w:hAnsiTheme="minorEastAsia"/>
                <w:color w:val="000000"/>
                <w:szCs w:val="21"/>
              </w:rPr>
              <w:t>6</w:t>
            </w:r>
            <w:r w:rsidRPr="00B23933">
              <w:rPr>
                <w:rFonts w:asciiTheme="minorEastAsia" w:hAnsiTheme="minorEastAsia" w:hint="eastAsia"/>
                <w:color w:val="000000"/>
                <w:szCs w:val="21"/>
              </w:rPr>
              <w:t>%</w:t>
            </w:r>
          </w:p>
        </w:tc>
      </w:tr>
      <w:tr w:rsidR="00FF4139" w:rsidRPr="00B23933" w:rsidTr="004E6083">
        <w:trPr>
          <w:trHeight w:val="624"/>
          <w:jc w:val="center"/>
        </w:trPr>
        <w:tc>
          <w:tcPr>
            <w:tcW w:w="1171"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总</w:t>
            </w:r>
          </w:p>
        </w:tc>
        <w:tc>
          <w:tcPr>
            <w:tcW w:w="1097"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1</w:t>
            </w:r>
            <w:r w:rsidRPr="00B23933">
              <w:rPr>
                <w:rFonts w:asciiTheme="minorEastAsia" w:hAnsiTheme="minorEastAsia"/>
                <w:color w:val="000000"/>
                <w:szCs w:val="21"/>
              </w:rPr>
              <w:t>30511</w:t>
            </w:r>
          </w:p>
        </w:tc>
        <w:tc>
          <w:tcPr>
            <w:tcW w:w="999"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p>
        </w:tc>
        <w:tc>
          <w:tcPr>
            <w:tcW w:w="1317"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9</w:t>
            </w:r>
            <w:r w:rsidRPr="00B23933">
              <w:rPr>
                <w:rFonts w:asciiTheme="minorEastAsia" w:hAnsiTheme="minorEastAsia"/>
                <w:color w:val="000000"/>
                <w:szCs w:val="21"/>
              </w:rPr>
              <w:t>50251</w:t>
            </w:r>
          </w:p>
        </w:tc>
        <w:tc>
          <w:tcPr>
            <w:tcW w:w="999"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p>
        </w:tc>
        <w:tc>
          <w:tcPr>
            <w:tcW w:w="1080"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r w:rsidRPr="00B23933">
              <w:rPr>
                <w:rFonts w:asciiTheme="minorEastAsia" w:hAnsiTheme="minorEastAsia" w:hint="eastAsia"/>
                <w:color w:val="000000"/>
                <w:szCs w:val="21"/>
              </w:rPr>
              <w:t>1</w:t>
            </w:r>
            <w:r w:rsidRPr="00B23933">
              <w:rPr>
                <w:rFonts w:asciiTheme="minorEastAsia" w:hAnsiTheme="minorEastAsia"/>
                <w:color w:val="000000"/>
                <w:szCs w:val="21"/>
              </w:rPr>
              <w:t>080762</w:t>
            </w:r>
          </w:p>
        </w:tc>
        <w:tc>
          <w:tcPr>
            <w:tcW w:w="999" w:type="dxa"/>
            <w:tcBorders>
              <w:top w:val="nil"/>
              <w:left w:val="nil"/>
              <w:bottom w:val="nil"/>
              <w:right w:val="nil"/>
              <w:tl2br w:val="nil"/>
              <w:tr2bl w:val="nil"/>
            </w:tcBorders>
          </w:tcPr>
          <w:p w:rsidR="00FF4139" w:rsidRPr="00B23933" w:rsidRDefault="00FF4139" w:rsidP="004E6083">
            <w:pPr>
              <w:adjustRightInd w:val="0"/>
              <w:snapToGrid w:val="0"/>
              <w:spacing w:after="190" w:line="260" w:lineRule="auto"/>
              <w:rPr>
                <w:rFonts w:asciiTheme="minorEastAsia" w:hAnsiTheme="minorEastAsia"/>
                <w:color w:val="000000"/>
                <w:szCs w:val="21"/>
              </w:rPr>
            </w:pPr>
          </w:p>
        </w:tc>
      </w:tr>
    </w:tbl>
    <w:p w:rsidR="00FF4139" w:rsidRPr="00FF4139" w:rsidRDefault="00FF4139" w:rsidP="00FF4139">
      <w:pPr>
        <w:rPr>
          <w:rFonts w:hint="eastAsia"/>
        </w:rPr>
      </w:pPr>
    </w:p>
    <w:sectPr w:rsidR="00FF4139" w:rsidRPr="00FF41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67A" w:rsidRDefault="001C667A" w:rsidP="00FF4139">
      <w:r>
        <w:separator/>
      </w:r>
    </w:p>
  </w:endnote>
  <w:endnote w:type="continuationSeparator" w:id="0">
    <w:p w:rsidR="001C667A" w:rsidRDefault="001C667A" w:rsidP="00FF4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67A" w:rsidRDefault="001C667A" w:rsidP="00FF4139">
      <w:r>
        <w:separator/>
      </w:r>
    </w:p>
  </w:footnote>
  <w:footnote w:type="continuationSeparator" w:id="0">
    <w:p w:rsidR="001C667A" w:rsidRDefault="001C667A" w:rsidP="00FF4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139" w:rsidRDefault="00FF4139">
    <w:pPr>
      <w:pStyle w:val="a3"/>
      <w:pBdr>
        <w:bottom w:val="single" w:sz="4" w:space="1" w:color="auto"/>
      </w:pBdr>
      <w:rPr>
        <w:rFonts w:eastAsia="宋体"/>
        <w:sz w:val="24"/>
        <w:szCs w:val="28"/>
      </w:rPr>
    </w:pPr>
    <w:r>
      <w:rPr>
        <w:rFonts w:eastAsia="宋体" w:hint="eastAsia"/>
        <w:sz w:val="24"/>
        <w:szCs w:val="28"/>
      </w:rPr>
      <w:t>Team#7976</w:t>
    </w:r>
    <w:r>
      <w:rPr>
        <w:sz w:val="24"/>
        <w:szCs w:val="28"/>
      </w:rPr>
      <w:pict>
        <v:shapetype id="_x0000_t202" coordsize="21600,21600" o:spt="202" path="m,l,21600r21600,l21600,xe">
          <v:stroke joinstyle="miter"/>
          <v:path gradientshapeok="t" o:connecttype="rect"/>
        </v:shapetype>
        <v:shape id="文本框 56" o:spid="_x0000_s2050" type="#_x0000_t202" style="position:absolute;left:0;text-align:left;margin-left:300.8pt;margin-top:0;width:2in;height:2in;z-index:251660288;mso-wrap-style:none;mso-position-horizontal:right;mso-position-horizontal-relative:margin;mso-position-vertical-relative:text" filled="f" stroked="f">
          <v:textbox style="mso-fit-shape-to-text:t" inset="0,0,0,0">
            <w:txbxContent>
              <w:p w:rsidR="00FF4139" w:rsidRDefault="00FF4139">
                <w:pPr>
                  <w:snapToGrid w:val="0"/>
                  <w:rPr>
                    <w:rFonts w:eastAsia="宋体"/>
                    <w:sz w:val="18"/>
                  </w:rPr>
                </w:pPr>
              </w:p>
            </w:txbxContent>
          </v:textbox>
          <w10:wrap anchorx="margin"/>
        </v:shape>
      </w:pict>
    </w:r>
    <w:r>
      <w:rPr>
        <w:sz w:val="24"/>
        <w:szCs w:val="28"/>
      </w:rPr>
      <w:pict>
        <v:shape id="文本框 39" o:spid="_x0000_s2049" type="#_x0000_t202" style="position:absolute;left:0;text-align:left;margin-left:300.8pt;margin-top:0;width:2in;height:2in;z-index:251659264;mso-wrap-style:none;mso-position-horizontal:right;mso-position-horizontal-relative:margin;mso-position-vertical-relative:text" filled="f" stroked="f">
          <v:textbox style="mso-fit-shape-to-text:t" inset="0,0,0,0">
            <w:txbxContent>
              <w:p w:rsidR="00FF4139" w:rsidRDefault="00FF4139">
                <w:pPr>
                  <w:pStyle w:val="a3"/>
                  <w:rPr>
                    <w:sz w:val="24"/>
                    <w:szCs w:val="28"/>
                  </w:rPr>
                </w:pPr>
                <w:r>
                  <w:rPr>
                    <w:rFonts w:hint="eastAsia"/>
                    <w:sz w:val="24"/>
                    <w:szCs w:val="28"/>
                  </w:rPr>
                  <w:t xml:space="preserve">Page 4 of 20 </w:t>
                </w:r>
              </w:p>
              <w:p w:rsidR="00FF4139" w:rsidRDefault="00FF4139">
                <w:pPr>
                  <w:snapToGrid w:val="0"/>
                  <w:rPr>
                    <w:rFonts w:eastAsia="宋体"/>
                    <w:sz w:val="18"/>
                  </w:rPr>
                </w:pPr>
              </w:p>
            </w:txbxContent>
          </v:textbox>
          <w10:wrap anchorx="margin"/>
        </v:shape>
      </w:pict>
    </w:r>
    <w:r>
      <w:rPr>
        <w:rFonts w:eastAsia="宋体" w:hint="eastAsia"/>
        <w:sz w:val="24"/>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1E2E"/>
    <w:multiLevelType w:val="multilevel"/>
    <w:tmpl w:val="F6B056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228A4"/>
    <w:multiLevelType w:val="hybridMultilevel"/>
    <w:tmpl w:val="92B6F64C"/>
    <w:lvl w:ilvl="0" w:tplc="24B0C052">
      <w:start w:val="1"/>
      <w:numFmt w:val="decimal"/>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E8725F"/>
    <w:multiLevelType w:val="multilevel"/>
    <w:tmpl w:val="FEF8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65247"/>
    <w:multiLevelType w:val="multilevel"/>
    <w:tmpl w:val="5C36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F184D"/>
    <w:multiLevelType w:val="hybridMultilevel"/>
    <w:tmpl w:val="505A24F6"/>
    <w:lvl w:ilvl="0" w:tplc="BC6603A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2D3EE2"/>
    <w:multiLevelType w:val="multilevel"/>
    <w:tmpl w:val="EF06687C"/>
    <w:lvl w:ilvl="0">
      <w:start w:val="1"/>
      <w:numFmt w:val="decimal"/>
      <w:lvlText w:val="%1."/>
      <w:lvlJc w:val="left"/>
      <w:pPr>
        <w:ind w:left="360" w:hanging="360"/>
      </w:pPr>
      <w:rPr>
        <w:rFonts w:hint="default"/>
      </w:rPr>
    </w:lvl>
    <w:lvl w:ilvl="1">
      <w:start w:val="1"/>
      <w:numFmt w:val="decimal"/>
      <w:isLgl/>
      <w:lvlText w:val="%1.%2"/>
      <w:lvlJc w:val="left"/>
      <w:pPr>
        <w:ind w:left="1230" w:hanging="870"/>
      </w:pPr>
      <w:rPr>
        <w:rFonts w:hint="default"/>
      </w:rPr>
    </w:lvl>
    <w:lvl w:ilvl="2">
      <w:start w:val="1"/>
      <w:numFmt w:val="decimal"/>
      <w:isLgl/>
      <w:lvlText w:val="%1.%2.%3"/>
      <w:lvlJc w:val="left"/>
      <w:pPr>
        <w:ind w:left="2160" w:hanging="1440"/>
      </w:pPr>
      <w:rPr>
        <w:rFonts w:hint="default"/>
      </w:rPr>
    </w:lvl>
    <w:lvl w:ilvl="3">
      <w:start w:val="1"/>
      <w:numFmt w:val="decimal"/>
      <w:isLgl/>
      <w:lvlText w:val="%1.%2.%3.%4"/>
      <w:lvlJc w:val="left"/>
      <w:pPr>
        <w:ind w:left="2880" w:hanging="1800"/>
      </w:pPr>
      <w:rPr>
        <w:rFonts w:hint="default"/>
      </w:rPr>
    </w:lvl>
    <w:lvl w:ilvl="4">
      <w:start w:val="1"/>
      <w:numFmt w:val="decimal"/>
      <w:isLgl/>
      <w:lvlText w:val="%1.%2.%3.%4.%5"/>
      <w:lvlJc w:val="left"/>
      <w:pPr>
        <w:ind w:left="3600" w:hanging="2160"/>
      </w:pPr>
      <w:rPr>
        <w:rFonts w:hint="default"/>
      </w:rPr>
    </w:lvl>
    <w:lvl w:ilvl="5">
      <w:start w:val="1"/>
      <w:numFmt w:val="decimal"/>
      <w:isLgl/>
      <w:lvlText w:val="%1.%2.%3.%4.%5.%6"/>
      <w:lvlJc w:val="left"/>
      <w:pPr>
        <w:ind w:left="4320" w:hanging="2520"/>
      </w:pPr>
      <w:rPr>
        <w:rFonts w:hint="default"/>
      </w:rPr>
    </w:lvl>
    <w:lvl w:ilvl="6">
      <w:start w:val="1"/>
      <w:numFmt w:val="decimal"/>
      <w:isLgl/>
      <w:lvlText w:val="%1.%2.%3.%4.%5.%6.%7"/>
      <w:lvlJc w:val="left"/>
      <w:pPr>
        <w:ind w:left="5400" w:hanging="3240"/>
      </w:pPr>
      <w:rPr>
        <w:rFonts w:hint="default"/>
      </w:rPr>
    </w:lvl>
    <w:lvl w:ilvl="7">
      <w:start w:val="1"/>
      <w:numFmt w:val="decimal"/>
      <w:isLgl/>
      <w:lvlText w:val="%1.%2.%3.%4.%5.%6.%7.%8"/>
      <w:lvlJc w:val="left"/>
      <w:pPr>
        <w:ind w:left="6120" w:hanging="3600"/>
      </w:pPr>
      <w:rPr>
        <w:rFonts w:hint="default"/>
      </w:rPr>
    </w:lvl>
    <w:lvl w:ilvl="8">
      <w:start w:val="1"/>
      <w:numFmt w:val="decimal"/>
      <w:isLgl/>
      <w:lvlText w:val="%1.%2.%3.%4.%5.%6.%7.%8.%9"/>
      <w:lvlJc w:val="left"/>
      <w:pPr>
        <w:ind w:left="6840" w:hanging="3960"/>
      </w:pPr>
      <w:rPr>
        <w:rFont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F9"/>
    <w:rsid w:val="001C667A"/>
    <w:rsid w:val="00693EF9"/>
    <w:rsid w:val="0076527A"/>
    <w:rsid w:val="00B336FF"/>
    <w:rsid w:val="00FF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E05D3D8"/>
  <w15:chartTrackingRefBased/>
  <w15:docId w15:val="{AFDA8508-3B08-4A55-9A81-03D51963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F413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F41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4139"/>
    <w:rPr>
      <w:sz w:val="18"/>
      <w:szCs w:val="18"/>
    </w:rPr>
  </w:style>
  <w:style w:type="paragraph" w:styleId="a5">
    <w:name w:val="footer"/>
    <w:basedOn w:val="a"/>
    <w:link w:val="a6"/>
    <w:uiPriority w:val="99"/>
    <w:unhideWhenUsed/>
    <w:rsid w:val="00FF4139"/>
    <w:pPr>
      <w:tabs>
        <w:tab w:val="center" w:pos="4153"/>
        <w:tab w:val="right" w:pos="8306"/>
      </w:tabs>
      <w:snapToGrid w:val="0"/>
      <w:jc w:val="left"/>
    </w:pPr>
    <w:rPr>
      <w:sz w:val="18"/>
      <w:szCs w:val="18"/>
    </w:rPr>
  </w:style>
  <w:style w:type="character" w:customStyle="1" w:styleId="a6">
    <w:name w:val="页脚 字符"/>
    <w:basedOn w:val="a0"/>
    <w:link w:val="a5"/>
    <w:uiPriority w:val="99"/>
    <w:rsid w:val="00FF4139"/>
    <w:rPr>
      <w:sz w:val="18"/>
      <w:szCs w:val="18"/>
    </w:rPr>
  </w:style>
  <w:style w:type="paragraph" w:customStyle="1" w:styleId="WPSOffice1">
    <w:name w:val="WPSOffice手动目录 1"/>
    <w:rsid w:val="00FF4139"/>
    <w:rPr>
      <w:rFonts w:ascii="Times New Roman" w:eastAsia="宋体" w:hAnsi="Times New Roman" w:cs="Times New Roman"/>
      <w:kern w:val="0"/>
      <w:sz w:val="20"/>
      <w:szCs w:val="20"/>
    </w:rPr>
  </w:style>
  <w:style w:type="character" w:customStyle="1" w:styleId="10">
    <w:name w:val="标题 1 字符"/>
    <w:basedOn w:val="a0"/>
    <w:link w:val="1"/>
    <w:uiPriority w:val="9"/>
    <w:rsid w:val="00FF4139"/>
    <w:rPr>
      <w:rFonts w:ascii="宋体" w:eastAsia="宋体" w:hAnsi="宋体" w:cs="宋体"/>
      <w:b/>
      <w:bCs/>
      <w:kern w:val="36"/>
      <w:sz w:val="48"/>
      <w:szCs w:val="48"/>
    </w:rPr>
  </w:style>
  <w:style w:type="paragraph" w:styleId="a7">
    <w:name w:val="List Paragraph"/>
    <w:basedOn w:val="a"/>
    <w:uiPriority w:val="34"/>
    <w:qFormat/>
    <w:rsid w:val="00FF41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悄</dc:creator>
  <cp:keywords/>
  <dc:description/>
  <cp:lastModifiedBy>张 悄</cp:lastModifiedBy>
  <cp:revision>2</cp:revision>
  <dcterms:created xsi:type="dcterms:W3CDTF">2018-06-04T01:44:00Z</dcterms:created>
  <dcterms:modified xsi:type="dcterms:W3CDTF">2018-06-04T01:57:00Z</dcterms:modified>
</cp:coreProperties>
</file>