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3A3F3" w14:textId="77777777" w:rsidR="006C281C" w:rsidRDefault="006C281C" w:rsidP="006C281C">
      <w:pPr>
        <w:spacing w:before="156" w:after="156"/>
        <w:ind w:firstLineChars="0" w:firstLine="0"/>
        <w:jc w:val="center"/>
        <w:rPr>
          <w:rFonts w:eastAsiaTheme="minorEastAsia"/>
        </w:rPr>
      </w:pPr>
      <w:r>
        <w:rPr>
          <w:rFonts w:eastAsiaTheme="minorEastAsia"/>
          <w:b/>
          <w:sz w:val="28"/>
        </w:rPr>
        <w:t xml:space="preserve">Dependent </w:t>
      </w:r>
      <w:r>
        <w:rPr>
          <w:rFonts w:eastAsia="等线" w:cs="Times New Roman"/>
          <w:b/>
          <w:sz w:val="28"/>
        </w:rPr>
        <w:t>task</w:t>
      </w:r>
      <w:r>
        <w:rPr>
          <w:rFonts w:eastAsiaTheme="minorEastAsia"/>
          <w:b/>
          <w:sz w:val="28"/>
        </w:rPr>
        <w:t xml:space="preserve"> scheduling using </w:t>
      </w:r>
      <w:r>
        <w:rPr>
          <w:rFonts w:eastAsia="等线" w:cs="Times New Roman"/>
          <w:b/>
          <w:sz w:val="28"/>
        </w:rPr>
        <w:t>a multi</w:t>
      </w:r>
      <w:r w:rsidRPr="00B9151B">
        <w:rPr>
          <w:rFonts w:eastAsiaTheme="minorEastAsia" w:cs="Times New Roman"/>
        </w:rPr>
        <w:t>-</w:t>
      </w:r>
      <w:r>
        <w:rPr>
          <w:rFonts w:eastAsia="等线" w:cs="Times New Roman"/>
          <w:b/>
          <w:sz w:val="28"/>
        </w:rPr>
        <w:t>objective</w:t>
      </w:r>
      <w:r>
        <w:rPr>
          <w:rFonts w:eastAsiaTheme="minorEastAsia"/>
          <w:b/>
          <w:sz w:val="28"/>
        </w:rPr>
        <w:t xml:space="preserve"> wolf pack search algorithm in </w:t>
      </w:r>
      <w:bookmarkStart w:id="0" w:name="_Hlk115969298"/>
      <w:r>
        <w:rPr>
          <w:rFonts w:eastAsiaTheme="minorEastAsia"/>
          <w:b/>
          <w:sz w:val="28"/>
        </w:rPr>
        <w:t xml:space="preserve">satellite </w:t>
      </w:r>
      <w:r>
        <w:rPr>
          <w:rFonts w:eastAsia="等线" w:cs="Times New Roman"/>
          <w:b/>
          <w:sz w:val="28"/>
        </w:rPr>
        <w:t>multiaccess</w:t>
      </w:r>
      <w:r>
        <w:rPr>
          <w:rFonts w:eastAsiaTheme="minorEastAsia"/>
          <w:b/>
          <w:sz w:val="28"/>
        </w:rPr>
        <w:t xml:space="preserve"> edge computing</w:t>
      </w:r>
      <w:bookmarkEnd w:id="0"/>
    </w:p>
    <w:p w14:paraId="0D2627C3" w14:textId="37D12B60" w:rsidR="00FE2873" w:rsidRPr="005C55A0" w:rsidRDefault="00FE2873" w:rsidP="006066CD">
      <w:pPr>
        <w:pStyle w:val="2"/>
        <w:numPr>
          <w:ilvl w:val="0"/>
          <w:numId w:val="2"/>
        </w:numPr>
        <w:spacing w:before="156" w:after="156"/>
      </w:pPr>
      <w:r w:rsidRPr="005C55A0">
        <w:t>I</w:t>
      </w:r>
      <w:bookmarkStart w:id="1" w:name="_Hlk118235989"/>
      <w:r w:rsidRPr="005C55A0">
        <w:t>SL distance model</w:t>
      </w:r>
      <w:bookmarkEnd w:id="1"/>
    </w:p>
    <w:p w14:paraId="0BD025DB" w14:textId="77777777" w:rsidR="00FE2873" w:rsidRPr="005C55A0" w:rsidRDefault="00FE2873" w:rsidP="00FE2873">
      <w:pPr>
        <w:spacing w:before="156" w:after="156"/>
        <w:ind w:firstLineChars="0" w:firstLine="360"/>
        <w:rPr>
          <w:rFonts w:cs="Times New Roman"/>
          <w:szCs w:val="24"/>
        </w:rPr>
      </w:pPr>
      <w:bookmarkStart w:id="2" w:name="_Hlk118236002"/>
      <w:r w:rsidRPr="005C55A0">
        <w:rPr>
          <w:rFonts w:eastAsiaTheme="minorEastAsia"/>
        </w:rPr>
        <w:t>The satellites in the LEO constellation are always moving at high speed. There is a significant difference in ISL distance variation between co-orbiting and hetero-orbiting s</w:t>
      </w:r>
      <w:r w:rsidRPr="005C55A0">
        <w:rPr>
          <w:rFonts w:eastAsiaTheme="minorEastAsia" w:hint="eastAsia"/>
        </w:rPr>
        <w:t>at</w:t>
      </w:r>
      <w:r w:rsidRPr="005C55A0">
        <w:rPr>
          <w:rFonts w:eastAsiaTheme="minorEastAsia"/>
        </w:rPr>
        <w:t xml:space="preserve">ellites. Therefore, we derived the equations for the ISL distance </w:t>
      </w:r>
      <w:proofErr w:type="spellStart"/>
      <w:proofErr w:type="gramStart"/>
      <w:r w:rsidRPr="005C55A0">
        <w:rPr>
          <w:rFonts w:cs="Times New Roman" w:hint="eastAsia"/>
          <w:i/>
          <w:szCs w:val="24"/>
        </w:rPr>
        <w:t>l</w:t>
      </w:r>
      <w:r w:rsidRPr="005C55A0">
        <w:rPr>
          <w:rFonts w:cs="Times New Roman"/>
          <w:i/>
          <w:szCs w:val="24"/>
          <w:vertAlign w:val="subscript"/>
        </w:rPr>
        <w:t>c</w:t>
      </w:r>
      <w:r w:rsidRPr="005C55A0">
        <w:rPr>
          <w:rFonts w:cs="Times New Roman"/>
          <w:szCs w:val="24"/>
          <w:vertAlign w:val="subscript"/>
        </w:rPr>
        <w:t>,</w:t>
      </w:r>
      <w:r w:rsidRPr="005C55A0">
        <w:rPr>
          <w:rFonts w:cs="Times New Roman"/>
          <w:i/>
          <w:szCs w:val="24"/>
          <w:vertAlign w:val="subscript"/>
        </w:rPr>
        <w:t>d</w:t>
      </w:r>
      <w:proofErr w:type="spellEnd"/>
      <w:proofErr w:type="gramEnd"/>
      <w:r w:rsidRPr="005C55A0">
        <w:rPr>
          <w:rFonts w:cs="Times New Roman"/>
          <w:szCs w:val="24"/>
        </w:rPr>
        <w:t>(</w:t>
      </w:r>
      <w:r w:rsidRPr="005C55A0">
        <w:rPr>
          <w:rFonts w:ascii="Symbol" w:hAnsi="Symbol" w:cs="Times New Roman"/>
          <w:szCs w:val="24"/>
        </w:rPr>
        <w:sym w:font="Symbol" w:char="F074"/>
      </w:r>
      <w:r w:rsidRPr="005C55A0">
        <w:rPr>
          <w:rFonts w:cs="Times New Roman"/>
          <w:szCs w:val="24"/>
        </w:rPr>
        <w:t>).</w:t>
      </w:r>
    </w:p>
    <w:p w14:paraId="4B48F702" w14:textId="19E163B7" w:rsidR="00FE2873" w:rsidRPr="00504AE2" w:rsidRDefault="00FE2873" w:rsidP="00FE2873">
      <w:pPr>
        <w:spacing w:before="156" w:after="156"/>
        <w:ind w:firstLineChars="0" w:firstLine="360"/>
        <w:rPr>
          <w:rFonts w:eastAsiaTheme="minorEastAsia"/>
        </w:rPr>
      </w:pPr>
      <w:r w:rsidRPr="005C55A0">
        <w:rPr>
          <w:rFonts w:eastAsiaTheme="minorEastAsia"/>
        </w:rPr>
        <w:t xml:space="preserve">We use the kinematic approach to describe the relative motion between two satellites. Table </w:t>
      </w:r>
      <w:r w:rsidR="00E33069">
        <w:rPr>
          <w:rFonts w:eastAsiaTheme="minorEastAsia"/>
        </w:rPr>
        <w:t>1</w:t>
      </w:r>
      <w:r w:rsidRPr="005C55A0">
        <w:rPr>
          <w:rFonts w:eastAsiaTheme="minorEastAsia"/>
        </w:rPr>
        <w:t xml:space="preserve"> shows some symbols used in this subsection. Some symbols are abused to harmonize with the orbital </w:t>
      </w:r>
      <w:proofErr w:type="gramStart"/>
      <w:r w:rsidRPr="005C55A0">
        <w:rPr>
          <w:rFonts w:eastAsiaTheme="minorEastAsia"/>
        </w:rPr>
        <w:t>dynamics</w:t>
      </w:r>
      <w:proofErr w:type="gramEnd"/>
      <w:r w:rsidRPr="005C55A0">
        <w:rPr>
          <w:rFonts w:eastAsiaTheme="minorEastAsia"/>
        </w:rPr>
        <w:t xml:space="preserve"> notation.</w:t>
      </w:r>
      <w:bookmarkEnd w:id="2"/>
    </w:p>
    <w:p w14:paraId="4938E743" w14:textId="5A98D471" w:rsidR="00FE2873" w:rsidRPr="005C55A0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TimesNewRomanPS-BoldMT" w:hAnsi="TimesNewRomanPS-BoldMT"/>
          <w:b/>
          <w:bCs/>
          <w:color w:val="000000"/>
          <w:szCs w:val="18"/>
        </w:rPr>
      </w:pPr>
      <w:r w:rsidRPr="005C55A0">
        <w:rPr>
          <w:rFonts w:ascii="TimesNewRomanPS-BoldMT" w:hAnsi="TimesNewRomanPS-BoldMT"/>
          <w:b/>
          <w:bCs/>
          <w:color w:val="000000"/>
          <w:szCs w:val="18"/>
        </w:rPr>
        <w:t xml:space="preserve">Table </w:t>
      </w:r>
      <w:r w:rsidR="006173E9">
        <w:rPr>
          <w:rFonts w:eastAsiaTheme="minorEastAsia" w:cs="Times New Roman"/>
          <w:b/>
          <w:bCs/>
          <w:color w:val="000000"/>
          <w:szCs w:val="18"/>
        </w:rPr>
        <w:t>1</w:t>
      </w:r>
    </w:p>
    <w:p w14:paraId="270CBF85" w14:textId="77777777" w:rsidR="00FE2873" w:rsidRPr="005C55A0" w:rsidRDefault="00FE2873" w:rsidP="00FE2873">
      <w:pPr>
        <w:snapToGrid w:val="0"/>
        <w:spacing w:beforeLines="0" w:before="0" w:afterLines="0" w:after="0"/>
        <w:ind w:firstLineChars="0" w:firstLine="0"/>
        <w:jc w:val="center"/>
        <w:rPr>
          <w:rFonts w:ascii="TimesNewRomanPS-BoldMT" w:hAnsi="TimesNewRomanPS-BoldMT"/>
          <w:b/>
          <w:bCs/>
          <w:color w:val="000000"/>
          <w:szCs w:val="18"/>
        </w:rPr>
      </w:pPr>
      <w:r w:rsidRPr="005C55A0">
        <w:rPr>
          <w:rFonts w:ascii="TimesNewRomanPS-BoldMT" w:hAnsi="TimesNewRomanPS-BoldMT"/>
          <w:bCs/>
          <w:color w:val="000000"/>
          <w:szCs w:val="18"/>
        </w:rPr>
        <w:t xml:space="preserve">Orbit elements and </w:t>
      </w:r>
      <w:r>
        <w:rPr>
          <w:rFonts w:ascii="TimesNewRomanPS-BoldMT" w:eastAsiaTheme="minorEastAsia" w:hAnsi="TimesNewRomanPS-BoldMT"/>
          <w:bCs/>
          <w:color w:val="000000"/>
          <w:szCs w:val="18"/>
        </w:rPr>
        <w:t>d</w:t>
      </w:r>
      <w:r w:rsidRPr="005C55A0">
        <w:rPr>
          <w:rFonts w:ascii="TimesNewRomanPS-BoldMT" w:eastAsiaTheme="minorEastAsia" w:hAnsi="TimesNewRomanPS-BoldMT"/>
          <w:bCs/>
          <w:color w:val="000000"/>
          <w:szCs w:val="18"/>
        </w:rPr>
        <w:t>efinitions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3646"/>
      </w:tblGrid>
      <w:tr w:rsidR="00FE2873" w:rsidRPr="005C55A0" w14:paraId="54E5BD1F" w14:textId="77777777" w:rsidTr="00406FC8">
        <w:trPr>
          <w:trHeight w:val="28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2F1C246A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bookmarkStart w:id="3" w:name="_Hlk118236215"/>
            <w:r w:rsidRPr="005C55A0"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  <w:t>O</w:t>
            </w: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rbit elements</w:t>
            </w:r>
          </w:p>
        </w:tc>
        <w:tc>
          <w:tcPr>
            <w:tcW w:w="3646" w:type="dxa"/>
            <w:tcBorders>
              <w:top w:val="single" w:sz="4" w:space="0" w:color="auto"/>
              <w:bottom w:val="single" w:sz="4" w:space="0" w:color="auto"/>
            </w:tcBorders>
          </w:tcPr>
          <w:p w14:paraId="65ADBAD7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  <w:t>D</w:t>
            </w: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efinition</w:t>
            </w:r>
          </w:p>
        </w:tc>
      </w:tr>
      <w:tr w:rsidR="00FE2873" w:rsidRPr="005C55A0" w14:paraId="335DC375" w14:textId="77777777" w:rsidTr="00406FC8">
        <w:trPr>
          <w:trHeight w:val="284"/>
          <w:jc w:val="center"/>
        </w:trPr>
        <w:tc>
          <w:tcPr>
            <w:tcW w:w="0" w:type="auto"/>
            <w:tcBorders>
              <w:top w:val="single" w:sz="4" w:space="0" w:color="auto"/>
            </w:tcBorders>
          </w:tcPr>
          <w:p w14:paraId="0C952123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24EB2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bookmarkStart w:id="4" w:name="_Hlk104407851"/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Semimajor axis</w:t>
            </w:r>
            <w:bookmarkEnd w:id="4"/>
          </w:p>
        </w:tc>
      </w:tr>
      <w:tr w:rsidR="00FE2873" w:rsidRPr="005C55A0" w14:paraId="1B6ADEC7" w14:textId="77777777" w:rsidTr="00406FC8">
        <w:trPr>
          <w:trHeight w:val="284"/>
          <w:jc w:val="center"/>
        </w:trPr>
        <w:tc>
          <w:tcPr>
            <w:tcW w:w="0" w:type="auto"/>
          </w:tcPr>
          <w:p w14:paraId="2F203141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e</w:t>
            </w:r>
          </w:p>
        </w:tc>
        <w:tc>
          <w:tcPr>
            <w:tcW w:w="0" w:type="auto"/>
          </w:tcPr>
          <w:p w14:paraId="010E449D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Eccentricity</w:t>
            </w:r>
          </w:p>
        </w:tc>
      </w:tr>
      <w:tr w:rsidR="00FE2873" w:rsidRPr="005C55A0" w14:paraId="70B2ADD6" w14:textId="77777777" w:rsidTr="00406FC8">
        <w:trPr>
          <w:trHeight w:val="284"/>
          <w:jc w:val="center"/>
        </w:trPr>
        <w:tc>
          <w:tcPr>
            <w:tcW w:w="0" w:type="auto"/>
          </w:tcPr>
          <w:p w14:paraId="6DF1446B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proofErr w:type="spellStart"/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i</w:t>
            </w:r>
            <w:proofErr w:type="spellEnd"/>
          </w:p>
        </w:tc>
        <w:tc>
          <w:tcPr>
            <w:tcW w:w="0" w:type="auto"/>
          </w:tcPr>
          <w:p w14:paraId="5BDAB731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Inclination</w:t>
            </w:r>
          </w:p>
        </w:tc>
      </w:tr>
      <w:tr w:rsidR="00FE2873" w:rsidRPr="005C55A0" w14:paraId="50817DCA" w14:textId="77777777" w:rsidTr="00406FC8">
        <w:trPr>
          <w:trHeight w:val="284"/>
          <w:jc w:val="center"/>
        </w:trPr>
        <w:tc>
          <w:tcPr>
            <w:tcW w:w="0" w:type="auto"/>
          </w:tcPr>
          <w:p w14:paraId="11C3DF2F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sym w:font="Symbol" w:char="F057"/>
            </w:r>
          </w:p>
        </w:tc>
        <w:tc>
          <w:tcPr>
            <w:tcW w:w="0" w:type="auto"/>
          </w:tcPr>
          <w:p w14:paraId="2255CC0B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Longitude of the ascending node</w:t>
            </w:r>
          </w:p>
        </w:tc>
      </w:tr>
      <w:tr w:rsidR="00FE2873" w:rsidRPr="005C55A0" w14:paraId="794CD578" w14:textId="77777777" w:rsidTr="00406FC8">
        <w:trPr>
          <w:trHeight w:val="284"/>
          <w:jc w:val="center"/>
        </w:trPr>
        <w:tc>
          <w:tcPr>
            <w:tcW w:w="0" w:type="auto"/>
          </w:tcPr>
          <w:p w14:paraId="12C38647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sym w:font="Symbol" w:char="F077"/>
            </w:r>
          </w:p>
        </w:tc>
        <w:tc>
          <w:tcPr>
            <w:tcW w:w="0" w:type="auto"/>
          </w:tcPr>
          <w:p w14:paraId="720307BD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Argument of periapsis</w:t>
            </w:r>
          </w:p>
        </w:tc>
      </w:tr>
      <w:tr w:rsidR="00FE2873" w:rsidRPr="005C55A0" w14:paraId="780F6BF7" w14:textId="77777777" w:rsidTr="00406FC8">
        <w:trPr>
          <w:trHeight w:val="284"/>
          <w:jc w:val="center"/>
        </w:trPr>
        <w:tc>
          <w:tcPr>
            <w:tcW w:w="0" w:type="auto"/>
          </w:tcPr>
          <w:p w14:paraId="13A6478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f</w:t>
            </w:r>
          </w:p>
        </w:tc>
        <w:tc>
          <w:tcPr>
            <w:tcW w:w="0" w:type="auto"/>
          </w:tcPr>
          <w:p w14:paraId="6D12749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True anomaly</w:t>
            </w:r>
          </w:p>
        </w:tc>
      </w:tr>
      <w:tr w:rsidR="00FE2873" w:rsidRPr="005C55A0" w14:paraId="2AEBFF76" w14:textId="77777777" w:rsidTr="00406FC8">
        <w:trPr>
          <w:trHeight w:val="284"/>
          <w:jc w:val="center"/>
        </w:trPr>
        <w:tc>
          <w:tcPr>
            <w:tcW w:w="0" w:type="auto"/>
          </w:tcPr>
          <w:p w14:paraId="02ADDC0B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E</w:t>
            </w:r>
          </w:p>
        </w:tc>
        <w:tc>
          <w:tcPr>
            <w:tcW w:w="0" w:type="auto"/>
          </w:tcPr>
          <w:p w14:paraId="62DF4878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Eccentric anomaly</w:t>
            </w:r>
          </w:p>
        </w:tc>
      </w:tr>
      <w:tr w:rsidR="00FE2873" w:rsidRPr="005C55A0" w14:paraId="38C258AD" w14:textId="77777777" w:rsidTr="00406FC8">
        <w:trPr>
          <w:trHeight w:val="284"/>
          <w:jc w:val="center"/>
        </w:trPr>
        <w:tc>
          <w:tcPr>
            <w:tcW w:w="0" w:type="auto"/>
          </w:tcPr>
          <w:p w14:paraId="3AB41082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M</w:t>
            </w:r>
          </w:p>
        </w:tc>
        <w:tc>
          <w:tcPr>
            <w:tcW w:w="0" w:type="auto"/>
          </w:tcPr>
          <w:p w14:paraId="28EA1F5F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Mean anomaly</w:t>
            </w:r>
          </w:p>
        </w:tc>
      </w:tr>
      <w:tr w:rsidR="00FE2873" w:rsidRPr="005C55A0" w14:paraId="07467889" w14:textId="77777777" w:rsidTr="00406FC8">
        <w:trPr>
          <w:trHeight w:val="284"/>
          <w:jc w:val="center"/>
        </w:trPr>
        <w:tc>
          <w:tcPr>
            <w:tcW w:w="0" w:type="auto"/>
          </w:tcPr>
          <w:p w14:paraId="12D0C489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n</w:t>
            </w:r>
          </w:p>
        </w:tc>
        <w:tc>
          <w:tcPr>
            <w:tcW w:w="0" w:type="auto"/>
          </w:tcPr>
          <w:p w14:paraId="6E106D85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Mean motion</w:t>
            </w:r>
          </w:p>
        </w:tc>
      </w:tr>
      <w:tr w:rsidR="00FE2873" w:rsidRPr="005C55A0" w14:paraId="5DB48A89" w14:textId="77777777" w:rsidTr="00406FC8">
        <w:trPr>
          <w:trHeight w:val="284"/>
          <w:jc w:val="center"/>
        </w:trPr>
        <w:tc>
          <w:tcPr>
            <w:tcW w:w="0" w:type="auto"/>
          </w:tcPr>
          <w:p w14:paraId="358AE4EE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i/>
                <w:color w:val="000000"/>
                <w:szCs w:val="18"/>
              </w:rPr>
              <w:t>u</w:t>
            </w:r>
          </w:p>
        </w:tc>
        <w:tc>
          <w:tcPr>
            <w:tcW w:w="0" w:type="auto"/>
          </w:tcPr>
          <w:p w14:paraId="2C7D4B0A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Ture longitude</w:t>
            </w:r>
          </w:p>
        </w:tc>
      </w:tr>
      <w:tr w:rsidR="00FE2873" w:rsidRPr="005C55A0" w14:paraId="341B7853" w14:textId="77777777" w:rsidTr="00406FC8">
        <w:trPr>
          <w:trHeight w:val="284"/>
          <w:jc w:val="center"/>
        </w:trPr>
        <w:tc>
          <w:tcPr>
            <w:tcW w:w="0" w:type="auto"/>
            <w:tcBorders>
              <w:bottom w:val="single" w:sz="4" w:space="0" w:color="auto"/>
            </w:tcBorders>
          </w:tcPr>
          <w:p w14:paraId="723383AE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i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sym w:font="Symbol" w:char="F06C"/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3D4FA937" w14:textId="77777777" w:rsidR="00FE2873" w:rsidRPr="005C55A0" w:rsidRDefault="00FE2873" w:rsidP="00406FC8">
            <w:pPr>
              <w:snapToGrid w:val="0"/>
              <w:spacing w:beforeLines="0" w:before="0" w:afterLines="0" w:after="0"/>
              <w:ind w:firstLineChars="0" w:firstLine="0"/>
              <w:jc w:val="center"/>
              <w:rPr>
                <w:rFonts w:ascii="TimesNewRomanPS-BoldMT" w:eastAsiaTheme="minorEastAsia" w:hAnsi="TimesNewRomanPS-BoldMT" w:hint="eastAsia"/>
                <w:bCs/>
                <w:color w:val="000000"/>
                <w:szCs w:val="18"/>
              </w:rPr>
            </w:pPr>
            <w:r w:rsidRPr="005C55A0">
              <w:rPr>
                <w:rFonts w:ascii="TimesNewRomanPS-BoldMT" w:eastAsiaTheme="minorEastAsia" w:hAnsi="TimesNewRomanPS-BoldMT"/>
                <w:bCs/>
                <w:color w:val="000000"/>
                <w:szCs w:val="18"/>
              </w:rPr>
              <w:t>Mean longitude</w:t>
            </w:r>
          </w:p>
        </w:tc>
      </w:tr>
    </w:tbl>
    <w:p w14:paraId="1CE3DDB9" w14:textId="77777777" w:rsidR="00FE2873" w:rsidRPr="005C55A0" w:rsidRDefault="00FE2873" w:rsidP="00FE2873">
      <w:pPr>
        <w:snapToGrid w:val="0"/>
        <w:spacing w:before="156" w:after="156"/>
        <w:ind w:firstLineChars="0" w:firstLine="0"/>
        <w:jc w:val="center"/>
        <w:rPr>
          <w:rFonts w:eastAsiaTheme="minorEastAsia"/>
        </w:rPr>
      </w:pPr>
      <w:bookmarkStart w:id="5" w:name="_Hlk118236255"/>
      <w:bookmarkEnd w:id="3"/>
      <w:r w:rsidRPr="005C55A0">
        <w:rPr>
          <w:rFonts w:eastAsiaTheme="minorEastAsia"/>
          <w:noProof/>
        </w:rPr>
        <w:drawing>
          <wp:inline distT="0" distB="0" distL="0" distR="0" wp14:anchorId="53AC8C98" wp14:editId="1D9A871A">
            <wp:extent cx="2376435" cy="2247971"/>
            <wp:effectExtent l="0" t="0" r="508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850" cy="22625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BDC650" w14:textId="04D9B0F5" w:rsidR="00FE2873" w:rsidRPr="005C55A0" w:rsidRDefault="00FE2873" w:rsidP="00FE2873">
      <w:pPr>
        <w:snapToGrid w:val="0"/>
        <w:spacing w:before="156" w:after="156"/>
        <w:ind w:firstLineChars="0" w:firstLine="0"/>
        <w:jc w:val="center"/>
        <w:rPr>
          <w:rFonts w:eastAsiaTheme="minorEastAsia"/>
        </w:rPr>
      </w:pPr>
      <w:r w:rsidRPr="005C55A0">
        <w:rPr>
          <w:rFonts w:eastAsiaTheme="minorEastAsia" w:hint="eastAsia"/>
        </w:rPr>
        <w:t>F</w:t>
      </w:r>
      <w:r w:rsidRPr="005C55A0">
        <w:rPr>
          <w:rFonts w:eastAsiaTheme="minorEastAsia"/>
        </w:rPr>
        <w:t xml:space="preserve">ig. </w:t>
      </w:r>
      <w:r w:rsidR="006173E9">
        <w:rPr>
          <w:rFonts w:eastAsiaTheme="minorEastAsia"/>
        </w:rPr>
        <w:t>1</w:t>
      </w:r>
      <w:r w:rsidRPr="005C55A0">
        <w:rPr>
          <w:rFonts w:eastAsiaTheme="minorEastAsia" w:hint="eastAsia"/>
        </w:rPr>
        <w:t>.</w:t>
      </w:r>
      <w:r w:rsidRPr="005C55A0">
        <w:rPr>
          <w:rFonts w:eastAsiaTheme="minorEastAsia"/>
        </w:rPr>
        <w:t xml:space="preserve"> </w:t>
      </w:r>
      <w:r>
        <w:rPr>
          <w:rFonts w:eastAsiaTheme="minorEastAsia"/>
        </w:rPr>
        <w:t>R</w:t>
      </w:r>
      <w:r w:rsidRPr="005C55A0">
        <w:rPr>
          <w:rFonts w:eastAsiaTheme="minorEastAsia"/>
        </w:rPr>
        <w:t>elative motion between two satellites</w:t>
      </w:r>
    </w:p>
    <w:p w14:paraId="476DEF89" w14:textId="59A661DB" w:rsidR="00FE2873" w:rsidRPr="005C55A0" w:rsidRDefault="00FE2873" w:rsidP="00FE2873">
      <w:pPr>
        <w:snapToGrid w:val="0"/>
        <w:spacing w:before="156" w:after="156"/>
        <w:ind w:firstLineChars="0" w:firstLine="420"/>
        <w:rPr>
          <w:rFonts w:eastAsiaTheme="minorEastAsia"/>
        </w:rPr>
      </w:pPr>
      <w:bookmarkStart w:id="6" w:name="_Hlk118236292"/>
      <w:bookmarkEnd w:id="5"/>
      <w:r w:rsidRPr="005C55A0">
        <w:rPr>
          <w:rFonts w:eastAsiaTheme="minorEastAsia"/>
        </w:rPr>
        <w:t xml:space="preserve">Fig. </w:t>
      </w:r>
      <w:r w:rsidR="006173E9">
        <w:rPr>
          <w:rFonts w:eastAsiaTheme="minorEastAsia"/>
        </w:rPr>
        <w:t>1</w:t>
      </w:r>
      <w:r>
        <w:rPr>
          <w:rFonts w:eastAsiaTheme="minorEastAsia"/>
        </w:rPr>
        <w:t xml:space="preserve"> shows the </w:t>
      </w:r>
      <w:r w:rsidRPr="005C55A0">
        <w:rPr>
          <w:rFonts w:eastAsiaTheme="minorEastAsia"/>
        </w:rPr>
        <w:t>coordinate system</w:t>
      </w:r>
      <w:r>
        <w:rPr>
          <w:rFonts w:eastAsiaTheme="minorEastAsia"/>
        </w:rPr>
        <w:t>.</w:t>
      </w:r>
      <w:r w:rsidRPr="005C55A0">
        <w:rPr>
          <w:rFonts w:eastAsiaTheme="minorEastAsia"/>
        </w:rPr>
        <w:t xml:space="preserve"> According to </w:t>
      </w:r>
      <w:r w:rsidRPr="00C80DC8">
        <w:rPr>
          <w:rFonts w:eastAsiaTheme="minorEastAsia"/>
        </w:rPr>
        <w:t>[</w:t>
      </w:r>
      <w:r w:rsidR="00DB1E48">
        <w:rPr>
          <w:rFonts w:eastAsiaTheme="minorEastAsia"/>
        </w:rPr>
        <w:t>1</w:t>
      </w:r>
      <w:r w:rsidRPr="00C80DC8">
        <w:rPr>
          <w:rFonts w:eastAsiaTheme="minorEastAsia"/>
        </w:rPr>
        <w:t>]</w:t>
      </w:r>
      <w:r w:rsidRPr="005C55A0">
        <w:rPr>
          <w:rFonts w:eastAsiaTheme="minorEastAsia"/>
        </w:rPr>
        <w:t>, the relative motion can be expressed in the local-vertical-local-horizontal (LVLH) frame of satellite C as follows:</w:t>
      </w:r>
    </w:p>
    <w:p w14:paraId="5F8B3A00" w14:textId="787436C8" w:rsidR="00FE2873" w:rsidRPr="005C55A0" w:rsidRDefault="00FE2873" w:rsidP="00FE2873">
      <w:pPr>
        <w:snapToGrid w:val="0"/>
        <w:spacing w:before="156" w:after="156"/>
        <w:ind w:firstLineChars="0"/>
        <w:jc w:val="right"/>
        <w:rPr>
          <w:kern w:val="0"/>
        </w:rPr>
      </w:pPr>
      <w:r w:rsidRPr="005C55A0">
        <w:rPr>
          <w:rFonts w:eastAsia="宋体"/>
          <w:kern w:val="0"/>
          <w:position w:val="-50"/>
        </w:rPr>
        <w:object w:dxaOrig="2745" w:dyaOrig="1110" w14:anchorId="5A18A0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65pt;height:57pt" o:ole="">
            <v:imagedata r:id="rId8" o:title=""/>
          </v:shape>
          <o:OLEObject Type="Embed" ProgID="Equation.DSMT4" ShapeID="_x0000_i1025" DrawAspect="Content" ObjectID="_1728853825" r:id="rId9"/>
        </w:object>
      </w:r>
      <w:r w:rsidRPr="005C55A0">
        <w:rPr>
          <w:kern w:val="0"/>
        </w:rPr>
        <w:t xml:space="preserve">                    (</w:t>
      </w:r>
      <w:r w:rsidR="006173E9">
        <w:rPr>
          <w:kern w:val="0"/>
        </w:rPr>
        <w:t>1</w:t>
      </w:r>
      <w:r w:rsidRPr="005C55A0">
        <w:rPr>
          <w:kern w:val="0"/>
        </w:rPr>
        <w:t>)</w:t>
      </w:r>
    </w:p>
    <w:p w14:paraId="7B3D0D07" w14:textId="77777777" w:rsidR="00FE2873" w:rsidRPr="00880130" w:rsidRDefault="00FE2873" w:rsidP="00FE2873">
      <w:pPr>
        <w:snapToGrid w:val="0"/>
        <w:spacing w:before="156" w:after="156"/>
        <w:ind w:firstLineChars="0" w:firstLine="0"/>
        <w:rPr>
          <w:rFonts w:eastAsiaTheme="minorEastAsia"/>
          <w:u w:val="single"/>
        </w:rPr>
      </w:pPr>
      <w:r w:rsidRPr="005C55A0">
        <w:rPr>
          <w:rFonts w:eastAsiaTheme="minorEastAsia"/>
        </w:rPr>
        <w:t>where R</w:t>
      </w:r>
      <w:r w:rsidRPr="005C55A0">
        <w:rPr>
          <w:rFonts w:eastAsiaTheme="minorEastAsia"/>
          <w:i/>
          <w:vertAlign w:val="subscript"/>
        </w:rPr>
        <w:t>d</w:t>
      </w:r>
      <w:r w:rsidRPr="005C55A0">
        <w:rPr>
          <w:rFonts w:eastAsiaTheme="minorEastAsia"/>
        </w:rPr>
        <w:t xml:space="preserve"> (resp. </w:t>
      </w:r>
      <w:proofErr w:type="spellStart"/>
      <w:r w:rsidRPr="005C55A0">
        <w:rPr>
          <w:rFonts w:eastAsiaTheme="minorEastAsia"/>
        </w:rPr>
        <w:t>R</w:t>
      </w:r>
      <w:r w:rsidRPr="005C55A0">
        <w:rPr>
          <w:rFonts w:eastAsiaTheme="minorEastAsia"/>
          <w:vertAlign w:val="subscript"/>
        </w:rPr>
        <w:t>c</w:t>
      </w:r>
      <w:proofErr w:type="spellEnd"/>
      <w:r w:rsidRPr="005C55A0">
        <w:rPr>
          <w:rFonts w:eastAsiaTheme="minorEastAsia"/>
        </w:rPr>
        <w:t xml:space="preserve">) are the distances from satellite D (resp. C) to the center of the Earth. </w:t>
      </w:r>
      <w:r w:rsidRPr="005C55A0">
        <w:rPr>
          <w:rFonts w:eastAsiaTheme="minorEastAsia"/>
          <w:b/>
          <w:i/>
        </w:rPr>
        <w:t>M</w:t>
      </w:r>
      <w:r w:rsidRPr="005C55A0">
        <w:rPr>
          <w:rFonts w:eastAsiaTheme="minorEastAsia"/>
          <w:i/>
          <w:vertAlign w:val="subscript"/>
        </w:rPr>
        <w:t>CO</w:t>
      </w:r>
      <w:r w:rsidRPr="005C55A0">
        <w:rPr>
          <w:rFonts w:eastAsiaTheme="minorEastAsia"/>
        </w:rPr>
        <w:t xml:space="preserve"> and </w:t>
      </w:r>
      <w:r w:rsidRPr="005C55A0">
        <w:rPr>
          <w:rFonts w:eastAsiaTheme="minorEastAsia"/>
          <w:b/>
          <w:i/>
        </w:rPr>
        <w:t>M</w:t>
      </w:r>
      <w:r w:rsidRPr="005C55A0">
        <w:rPr>
          <w:rFonts w:eastAsiaTheme="minorEastAsia"/>
          <w:i/>
          <w:vertAlign w:val="subscript"/>
        </w:rPr>
        <w:t>DO</w:t>
      </w:r>
      <w:r w:rsidRPr="00BA45B6">
        <w:rPr>
          <w:rFonts w:eastAsiaTheme="minorEastAsia"/>
          <w:i/>
        </w:rPr>
        <w:t xml:space="preserve"> </w:t>
      </w:r>
      <w:r>
        <w:rPr>
          <w:rFonts w:eastAsiaTheme="minorEastAsia"/>
        </w:rPr>
        <w:t>are</w:t>
      </w:r>
      <w:r w:rsidRPr="005C55A0">
        <w:rPr>
          <w:rFonts w:eastAsiaTheme="minorEastAsia"/>
        </w:rPr>
        <w:t xml:space="preserve"> the direction cosine matrices of the LVLH </w:t>
      </w:r>
      <w:r w:rsidRPr="005C55A0">
        <w:rPr>
          <w:rFonts w:eastAsiaTheme="minorEastAsia" w:hint="eastAsia"/>
        </w:rPr>
        <w:t>frames</w:t>
      </w:r>
      <w:r w:rsidRPr="005C55A0">
        <w:rPr>
          <w:rFonts w:eastAsiaTheme="minorEastAsia"/>
        </w:rPr>
        <w:t xml:space="preserve"> of the two satellites with respect to the inertial frame.</w:t>
      </w:r>
      <w:r>
        <w:rPr>
          <w:rFonts w:eastAsiaTheme="minorEastAsia"/>
          <w:u w:val="single"/>
        </w:rPr>
        <w:t xml:space="preserve"> </w:t>
      </w:r>
      <w:r w:rsidRPr="005C55A0">
        <w:rPr>
          <w:rFonts w:eastAsiaTheme="minorEastAsia"/>
        </w:rPr>
        <w:t>By importing satellite orbit elements, we have</w:t>
      </w:r>
    </w:p>
    <w:p w14:paraId="7029CF7C" w14:textId="04C47B84" w:rsidR="00FE2873" w:rsidRPr="005C55A0" w:rsidRDefault="00FE2873" w:rsidP="00FE2873">
      <w:pPr>
        <w:spacing w:before="156" w:after="156"/>
        <w:ind w:firstLine="480"/>
        <w:jc w:val="right"/>
      </w:pPr>
      <w:r w:rsidRPr="005C55A0">
        <w:rPr>
          <w:rFonts w:eastAsia="宋体"/>
          <w:position w:val="-50"/>
        </w:rPr>
        <w:object w:dxaOrig="3690" w:dyaOrig="1110" w14:anchorId="7DC86AA6">
          <v:shape id="_x0000_i1026" type="#_x0000_t75" style="width:184.3pt;height:57pt" o:ole="">
            <v:imagedata r:id="rId10" o:title=""/>
          </v:shape>
          <o:OLEObject Type="Embed" ProgID="Equation.DSMT4" ShapeID="_x0000_i1026" DrawAspect="Content" ObjectID="_1728853826" r:id="rId11"/>
        </w:object>
      </w:r>
      <w:r w:rsidRPr="005C55A0">
        <w:t xml:space="preserve">               (</w:t>
      </w:r>
      <w:r w:rsidR="006173E9">
        <w:t>2</w:t>
      </w:r>
      <w:r w:rsidRPr="005C55A0">
        <w:t>)</w:t>
      </w:r>
    </w:p>
    <w:p w14:paraId="0F09B153" w14:textId="77777777" w:rsidR="00FE2873" w:rsidRPr="005C55A0" w:rsidRDefault="00FE2873" w:rsidP="00FE2873">
      <w:pPr>
        <w:spacing w:before="156" w:after="156"/>
        <w:ind w:firstLine="480"/>
        <w:rPr>
          <w:rFonts w:cs="Times New Roman"/>
          <w:kern w:val="0"/>
          <w:szCs w:val="24"/>
        </w:rPr>
      </w:pPr>
      <w:r w:rsidRPr="00880130">
        <w:rPr>
          <w:rFonts w:eastAsiaTheme="minorEastAsia"/>
        </w:rPr>
        <w:t>According to</w:t>
      </w:r>
      <w:r w:rsidRPr="005C55A0">
        <w:rPr>
          <w:rFonts w:eastAsiaTheme="minorEastAsia"/>
        </w:rPr>
        <w:t xml:space="preserve"> the orbital geometry, the semimajor axis </w:t>
      </w:r>
      <w:r w:rsidRPr="005C55A0">
        <w:rPr>
          <w:rFonts w:eastAsiaTheme="minorEastAsia"/>
          <w:i/>
        </w:rPr>
        <w:t>a</w:t>
      </w:r>
      <w:r w:rsidRPr="005C55A0">
        <w:rPr>
          <w:rFonts w:eastAsiaTheme="minorEastAsia"/>
        </w:rPr>
        <w:t xml:space="preserve"> of each satellite is equal, and the eccentricity </w:t>
      </w:r>
      <w:r w:rsidRPr="005C55A0">
        <w:rPr>
          <w:rFonts w:eastAsiaTheme="minorEastAsia"/>
          <w:i/>
        </w:rPr>
        <w:t>e</w:t>
      </w:r>
      <w:r w:rsidRPr="005C55A0">
        <w:rPr>
          <w:rFonts w:eastAsiaTheme="minorEastAsia"/>
        </w:rPr>
        <w:t xml:space="preserve"> is close to zero. </w:t>
      </w:r>
      <w:r w:rsidRPr="005C55A0">
        <w:rPr>
          <w:rFonts w:cs="Times New Roman"/>
          <w:kern w:val="0"/>
        </w:rPr>
        <w:sym w:font="Symbol" w:char="F044"/>
      </w:r>
      <w:r w:rsidRPr="005C55A0">
        <w:rPr>
          <w:rFonts w:cs="Times New Roman"/>
          <w:i/>
          <w:kern w:val="0"/>
        </w:rPr>
        <w:t>u</w:t>
      </w:r>
      <w:r w:rsidRPr="005C55A0">
        <w:rPr>
          <w:rFonts w:eastAsiaTheme="minorEastAsia"/>
        </w:rPr>
        <w:t>,</w:t>
      </w:r>
      <w:r w:rsidRPr="005C55A0">
        <w:rPr>
          <w:rFonts w:cs="Times New Roman"/>
          <w:kern w:val="0"/>
        </w:rPr>
        <w:t xml:space="preserve"> </w:t>
      </w:r>
      <w:r w:rsidRPr="005C55A0">
        <w:rPr>
          <w:rFonts w:cs="Times New Roman"/>
          <w:kern w:val="0"/>
        </w:rPr>
        <w:sym w:font="Symbol" w:char="F044"/>
      </w:r>
      <w:proofErr w:type="spellStart"/>
      <w:r w:rsidRPr="005C55A0">
        <w:rPr>
          <w:rFonts w:cs="Times New Roman"/>
          <w:i/>
          <w:kern w:val="0"/>
        </w:rPr>
        <w:t>i</w:t>
      </w:r>
      <w:proofErr w:type="spellEnd"/>
      <w:r w:rsidRPr="005C55A0">
        <w:rPr>
          <w:rFonts w:eastAsiaTheme="minorEastAsia"/>
        </w:rPr>
        <w:t>,</w:t>
      </w:r>
      <w:r w:rsidRPr="005C55A0">
        <w:rPr>
          <w:rFonts w:cs="Times New Roman"/>
          <w:kern w:val="0"/>
        </w:rPr>
        <w:t xml:space="preserve"> and </w:t>
      </w:r>
      <w:r w:rsidRPr="005C55A0">
        <w:rPr>
          <w:rFonts w:cs="Times New Roman"/>
          <w:kern w:val="0"/>
        </w:rPr>
        <w:sym w:font="Symbol" w:char="F044"/>
      </w:r>
      <w:r w:rsidRPr="005C55A0">
        <w:rPr>
          <w:rFonts w:cs="Times New Roman"/>
          <w:i/>
          <w:kern w:val="0"/>
        </w:rPr>
        <w:sym w:font="Symbol" w:char="F057"/>
      </w:r>
      <w:r w:rsidRPr="005C55A0">
        <w:rPr>
          <w:rFonts w:eastAsiaTheme="minorEastAsia"/>
        </w:rPr>
        <w:t xml:space="preserve"> are small quantities among adjacent satellites, and the higher-order terms can be omitted. </w:t>
      </w:r>
      <w:r>
        <w:rPr>
          <w:rFonts w:eastAsiaTheme="minorEastAsia"/>
        </w:rPr>
        <w:t>Then w</w:t>
      </w:r>
      <w:r w:rsidRPr="005C55A0">
        <w:rPr>
          <w:rFonts w:eastAsiaTheme="minorEastAsia"/>
        </w:rPr>
        <w:t>e can</w:t>
      </w:r>
      <w:r>
        <w:rPr>
          <w:rFonts w:eastAsiaTheme="minorEastAsia"/>
        </w:rPr>
        <w:t xml:space="preserve"> </w:t>
      </w:r>
      <w:r w:rsidRPr="005C55A0">
        <w:rPr>
          <w:rFonts w:eastAsiaTheme="minorEastAsia"/>
        </w:rPr>
        <w:t xml:space="preserve">approximate </w:t>
      </w:r>
      <w:r w:rsidRPr="005C55A0">
        <w:rPr>
          <w:rFonts w:cs="Times New Roman"/>
          <w:i/>
          <w:kern w:val="0"/>
          <w:szCs w:val="24"/>
        </w:rPr>
        <w:t>R</w:t>
      </w:r>
      <w:r w:rsidRPr="005C55A0">
        <w:rPr>
          <w:rFonts w:eastAsia="宋体" w:cs="Times New Roman"/>
          <w:kern w:val="0"/>
          <w:szCs w:val="24"/>
        </w:rPr>
        <w:t>,</w:t>
      </w:r>
      <w:r w:rsidRPr="005C55A0">
        <w:rPr>
          <w:rFonts w:eastAsiaTheme="minorEastAsia" w:cs="Times New Roman"/>
          <w:szCs w:val="24"/>
        </w:rPr>
        <w:t xml:space="preserve"> </w:t>
      </w:r>
      <w:r w:rsidRPr="005C55A0">
        <w:rPr>
          <w:rFonts w:eastAsiaTheme="minorEastAsia" w:cs="Times New Roman"/>
          <w:i/>
          <w:szCs w:val="24"/>
        </w:rPr>
        <w:t>E</w:t>
      </w:r>
      <w:r w:rsidRPr="005C55A0">
        <w:rPr>
          <w:rFonts w:eastAsiaTheme="minorEastAsia" w:cs="Times New Roman"/>
          <w:szCs w:val="24"/>
        </w:rPr>
        <w:t xml:space="preserve">, </w:t>
      </w:r>
      <w:r w:rsidRPr="005C55A0">
        <w:rPr>
          <w:rFonts w:cs="Times New Roman"/>
          <w:i/>
          <w:kern w:val="0"/>
          <w:szCs w:val="24"/>
        </w:rPr>
        <w:t>f</w:t>
      </w:r>
      <w:r w:rsidRPr="005C55A0">
        <w:rPr>
          <w:rFonts w:cs="Times New Roman"/>
          <w:kern w:val="0"/>
          <w:szCs w:val="24"/>
        </w:rPr>
        <w:t xml:space="preserve">, </w:t>
      </w:r>
      <w:r w:rsidRPr="005C55A0">
        <w:rPr>
          <w:rFonts w:eastAsia="宋体" w:cs="Times New Roman"/>
          <w:kern w:val="0"/>
          <w:szCs w:val="24"/>
        </w:rPr>
        <w:t xml:space="preserve">and </w:t>
      </w:r>
      <w:r w:rsidRPr="005C55A0">
        <w:rPr>
          <w:rFonts w:cs="Times New Roman"/>
          <w:i/>
          <w:kern w:val="0"/>
          <w:szCs w:val="24"/>
        </w:rPr>
        <w:t>u</w:t>
      </w:r>
      <w:r w:rsidRPr="005C55A0">
        <w:rPr>
          <w:rFonts w:cs="Times New Roman"/>
          <w:kern w:val="0"/>
          <w:szCs w:val="24"/>
        </w:rPr>
        <w:t xml:space="preserve"> as follows:</w:t>
      </w:r>
    </w:p>
    <w:p w14:paraId="01E47893" w14:textId="6DD4A2B6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rPr>
          <w:position w:val="-10"/>
        </w:rPr>
        <w:object w:dxaOrig="3255" w:dyaOrig="330" w14:anchorId="0CB05360">
          <v:shape id="_x0000_i1027" type="#_x0000_t75" style="width:165.3pt;height:17.85pt" o:ole="">
            <v:imagedata r:id="rId12" o:title=""/>
          </v:shape>
          <o:OLEObject Type="Embed" ProgID="Equation.DSMT4" ShapeID="_x0000_i1027" DrawAspect="Content" ObjectID="_1728853827" r:id="rId13"/>
        </w:object>
      </w:r>
      <w:r w:rsidRPr="005C55A0">
        <w:t xml:space="preserve">                    (</w:t>
      </w:r>
      <w:r w:rsidR="006173E9">
        <w:t>3</w:t>
      </w:r>
      <w:r w:rsidRPr="005C55A0">
        <w:t>)</w:t>
      </w:r>
    </w:p>
    <w:p w14:paraId="34F25474" w14:textId="08D3F9BB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tab/>
      </w:r>
      <w:r w:rsidRPr="005C55A0">
        <w:rPr>
          <w:position w:val="-6"/>
        </w:rPr>
        <w:object w:dxaOrig="2955" w:dyaOrig="285" w14:anchorId="637B4118">
          <v:shape id="_x0000_i1028" type="#_x0000_t75" style="width:148.05pt;height:14.4pt" o:ole="">
            <v:imagedata r:id="rId14" o:title=""/>
          </v:shape>
          <o:OLEObject Type="Embed" ProgID="Equation.DSMT4" ShapeID="_x0000_i1028" DrawAspect="Content" ObjectID="_1728853828" r:id="rId15"/>
        </w:object>
      </w:r>
      <w:r w:rsidRPr="005C55A0">
        <w:t xml:space="preserve">                     (</w:t>
      </w:r>
      <w:r w:rsidR="006173E9">
        <w:t>4</w:t>
      </w:r>
      <w:r w:rsidRPr="005C55A0">
        <w:t>)</w:t>
      </w:r>
    </w:p>
    <w:p w14:paraId="4F9EB0B2" w14:textId="36B5B9EF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tab/>
      </w:r>
      <w:r w:rsidRPr="005C55A0">
        <w:rPr>
          <w:position w:val="-24"/>
        </w:rPr>
        <w:object w:dxaOrig="3855" w:dyaOrig="705" w14:anchorId="0A7D30E8">
          <v:shape id="_x0000_i1029" type="#_x0000_t75" style="width:193.55pt;height:35.15pt" o:ole="">
            <v:imagedata r:id="rId16" o:title=""/>
          </v:shape>
          <o:OLEObject Type="Embed" ProgID="Equation.DSMT4" ShapeID="_x0000_i1029" DrawAspect="Content" ObjectID="_1728853829" r:id="rId17"/>
        </w:object>
      </w:r>
      <w:r w:rsidRPr="005C55A0">
        <w:t xml:space="preserve">                  (</w:t>
      </w:r>
      <w:r w:rsidR="006173E9">
        <w:t>5</w:t>
      </w:r>
      <w:r w:rsidRPr="005C55A0">
        <w:t>)</w:t>
      </w:r>
    </w:p>
    <w:p w14:paraId="15ED833E" w14:textId="56A198FA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tab/>
      </w:r>
      <w:r w:rsidRPr="005C55A0">
        <w:rPr>
          <w:position w:val="-10"/>
        </w:rPr>
        <w:object w:dxaOrig="2880" w:dyaOrig="320" w14:anchorId="7FC9D911">
          <v:shape id="_x0000_i1030" type="#_x0000_t75" style="width:2in;height:15pt" o:ole="">
            <v:imagedata r:id="rId18" o:title=""/>
          </v:shape>
          <o:OLEObject Type="Embed" ProgID="Equation.DSMT4" ShapeID="_x0000_i1030" DrawAspect="Content" ObjectID="_1728853830" r:id="rId19"/>
        </w:object>
      </w:r>
      <w:r w:rsidRPr="005C55A0">
        <w:t xml:space="preserve">                     (</w:t>
      </w:r>
      <w:r w:rsidR="006173E9">
        <w:t>6</w:t>
      </w:r>
      <w:r w:rsidRPr="005C55A0">
        <w:t>)</w:t>
      </w:r>
    </w:p>
    <w:p w14:paraId="53D0AE8D" w14:textId="3C739A84" w:rsidR="00FE2873" w:rsidRPr="005C55A0" w:rsidRDefault="00FE2873" w:rsidP="00FE2873">
      <w:pPr>
        <w:spacing w:before="156" w:after="156"/>
        <w:ind w:firstLineChars="0" w:firstLine="420"/>
        <w:rPr>
          <w:rFonts w:ascii="TimesNewRomanPSMT" w:hAnsi="TimesNewRomanPSMT"/>
          <w:color w:val="000000"/>
          <w:szCs w:val="20"/>
        </w:rPr>
      </w:pPr>
      <w:r w:rsidRPr="005C55A0">
        <w:rPr>
          <w:rFonts w:ascii="TimesNewRomanPSMT" w:hAnsi="TimesNewRomanPSMT"/>
          <w:color w:val="000000"/>
          <w:szCs w:val="20"/>
        </w:rPr>
        <w:t>Based on Equations (</w:t>
      </w:r>
      <w:r w:rsidR="006173E9">
        <w:rPr>
          <w:rFonts w:ascii="TimesNewRomanPSMT" w:hAnsi="TimesNewRomanPSMT"/>
          <w:color w:val="000000"/>
          <w:szCs w:val="20"/>
        </w:rPr>
        <w:t>3</w:t>
      </w:r>
      <w:r w:rsidRPr="005C55A0">
        <w:rPr>
          <w:rFonts w:ascii="TimesNewRomanPSMT" w:hAnsi="TimesNewRomanPSMT"/>
          <w:color w:val="000000"/>
          <w:szCs w:val="20"/>
        </w:rPr>
        <w:t>)</w:t>
      </w:r>
      <w:r>
        <w:rPr>
          <w:rFonts w:ascii="TimesNewRomanPSMT" w:hAnsi="TimesNewRomanPSMT"/>
          <w:color w:val="000000"/>
          <w:szCs w:val="20"/>
        </w:rPr>
        <w:t xml:space="preserve"> </w:t>
      </w:r>
      <w:r w:rsidRPr="005C55A0">
        <w:rPr>
          <w:rFonts w:ascii="TimesNewRomanPSMT" w:hAnsi="TimesNewRomanPSMT"/>
          <w:color w:val="000000"/>
          <w:szCs w:val="20"/>
        </w:rPr>
        <w:t>-</w:t>
      </w:r>
      <w:r>
        <w:rPr>
          <w:rFonts w:ascii="TimesNewRomanPSMT" w:hAnsi="TimesNewRomanPSMT"/>
          <w:color w:val="000000"/>
          <w:szCs w:val="20"/>
        </w:rPr>
        <w:t xml:space="preserve"> </w:t>
      </w:r>
      <w:r w:rsidRPr="005C55A0">
        <w:rPr>
          <w:rFonts w:ascii="TimesNewRomanPSMT" w:hAnsi="TimesNewRomanPSMT"/>
          <w:color w:val="000000"/>
          <w:szCs w:val="20"/>
        </w:rPr>
        <w:t>(</w:t>
      </w:r>
      <w:r w:rsidR="006173E9">
        <w:rPr>
          <w:rFonts w:ascii="TimesNewRomanPSMT" w:hAnsi="TimesNewRomanPSMT"/>
          <w:color w:val="000000"/>
          <w:szCs w:val="20"/>
        </w:rPr>
        <w:t>6</w:t>
      </w:r>
      <w:r w:rsidRPr="005C55A0">
        <w:rPr>
          <w:rFonts w:ascii="TimesNewRomanPSMT" w:hAnsi="TimesNewRomanPSMT"/>
          <w:color w:val="000000"/>
          <w:szCs w:val="20"/>
        </w:rPr>
        <w:t>), Equation (</w:t>
      </w:r>
      <w:r w:rsidR="00106367">
        <w:rPr>
          <w:rFonts w:ascii="TimesNewRomanPSMT" w:hAnsi="TimesNewRomanPSMT"/>
          <w:color w:val="000000"/>
          <w:szCs w:val="20"/>
        </w:rPr>
        <w:t>2</w:t>
      </w:r>
      <w:r w:rsidRPr="005C55A0">
        <w:rPr>
          <w:rFonts w:ascii="TimesNewRomanPSMT" w:hAnsi="TimesNewRomanPSMT"/>
          <w:color w:val="000000"/>
          <w:szCs w:val="20"/>
        </w:rPr>
        <w:t>) can be reformulated as (</w:t>
      </w:r>
      <w:r w:rsidR="00106367">
        <w:rPr>
          <w:rFonts w:ascii="TimesNewRomanPSMT" w:hAnsi="TimesNewRomanPSMT"/>
          <w:color w:val="000000"/>
          <w:szCs w:val="20"/>
        </w:rPr>
        <w:t>7</w:t>
      </w:r>
      <w:r w:rsidRPr="005C55A0">
        <w:rPr>
          <w:rFonts w:ascii="TimesNewRomanPSMT" w:hAnsi="TimesNewRomanPSMT"/>
          <w:color w:val="000000"/>
          <w:szCs w:val="20"/>
        </w:rPr>
        <w:t>):</w:t>
      </w:r>
    </w:p>
    <w:bookmarkStart w:id="7" w:name="_Hlk118236518"/>
    <w:p w14:paraId="07C52693" w14:textId="0214336D" w:rsidR="00FE2873" w:rsidRPr="005C55A0" w:rsidRDefault="00FE2873" w:rsidP="00FE2873">
      <w:pPr>
        <w:snapToGrid w:val="0"/>
        <w:spacing w:before="156" w:after="156"/>
        <w:ind w:firstLine="480"/>
        <w:jc w:val="right"/>
      </w:pPr>
      <w:r w:rsidRPr="005C55A0">
        <w:rPr>
          <w:rFonts w:eastAsia="宋体"/>
          <w:position w:val="-50"/>
        </w:rPr>
        <w:object w:dxaOrig="7660" w:dyaOrig="1120" w14:anchorId="7D99687E">
          <v:shape id="_x0000_i1031" type="#_x0000_t75" style="width:382.45pt;height:54.15pt" o:ole="">
            <v:imagedata r:id="rId20" o:title=""/>
          </v:shape>
          <o:OLEObject Type="Embed" ProgID="Equation.DSMT4" ShapeID="_x0000_i1031" DrawAspect="Content" ObjectID="_1728853831" r:id="rId21"/>
        </w:object>
      </w:r>
      <w:bookmarkEnd w:id="7"/>
      <w:r w:rsidRPr="005C55A0">
        <w:t>(</w:t>
      </w:r>
      <w:r w:rsidR="00106367">
        <w:t>7</w:t>
      </w:r>
      <w:r w:rsidRPr="005C55A0">
        <w:t>)</w:t>
      </w:r>
    </w:p>
    <w:p w14:paraId="31659697" w14:textId="77777777" w:rsidR="00FE2873" w:rsidRPr="005C55A0" w:rsidRDefault="00FE2873" w:rsidP="00FE2873">
      <w:pPr>
        <w:snapToGrid w:val="0"/>
        <w:spacing w:before="156" w:after="156"/>
        <w:ind w:firstLineChars="0" w:firstLine="360"/>
        <w:rPr>
          <w:rFonts w:eastAsia="宋体"/>
          <w:kern w:val="0"/>
        </w:rPr>
      </w:pPr>
      <w:r w:rsidRPr="005C55A0">
        <w:rPr>
          <w:rFonts w:eastAsiaTheme="minorEastAsia" w:cs="Times New Roman"/>
          <w:szCs w:val="24"/>
        </w:rPr>
        <w:t xml:space="preserve">Given the </w:t>
      </w:r>
      <w:r w:rsidRPr="005C55A0">
        <w:rPr>
          <w:rFonts w:eastAsiaTheme="minorEastAsia"/>
        </w:rPr>
        <w:t>mean anomaly</w:t>
      </w:r>
      <w:r w:rsidRPr="005C55A0">
        <w:rPr>
          <w:rFonts w:eastAsia="宋体"/>
          <w:kern w:val="0"/>
          <w:position w:val="-12"/>
        </w:rPr>
        <w:object w:dxaOrig="1320" w:dyaOrig="360" w14:anchorId="014AABC7">
          <v:shape id="_x0000_i1032" type="#_x0000_t75" style="width:67.4pt;height:19pt" o:ole="">
            <v:imagedata r:id="rId22" o:title=""/>
          </v:shape>
          <o:OLEObject Type="Embed" ProgID="Equation.DSMT4" ShapeID="_x0000_i1032" DrawAspect="Content" ObjectID="_1728853832" r:id="rId23"/>
        </w:object>
      </w:r>
      <w:r w:rsidRPr="005C55A0">
        <w:rPr>
          <w:rFonts w:eastAsia="宋体"/>
          <w:kern w:val="0"/>
        </w:rPr>
        <w:t xml:space="preserve">, where </w:t>
      </w:r>
      <w:r w:rsidRPr="005C55A0">
        <w:rPr>
          <w:rFonts w:eastAsia="宋体"/>
          <w:i/>
          <w:kern w:val="0"/>
        </w:rPr>
        <w:t>M</w:t>
      </w:r>
      <w:r w:rsidRPr="005C55A0">
        <w:rPr>
          <w:rFonts w:eastAsia="宋体"/>
          <w:kern w:val="0"/>
          <w:vertAlign w:val="subscript"/>
        </w:rPr>
        <w:t>0</w:t>
      </w:r>
      <w:r w:rsidRPr="005C55A0">
        <w:rPr>
          <w:rFonts w:eastAsia="宋体"/>
          <w:kern w:val="0"/>
        </w:rPr>
        <w:t xml:space="preserve"> is the </w:t>
      </w:r>
      <w:r w:rsidRPr="005C55A0">
        <w:rPr>
          <w:rFonts w:eastAsiaTheme="minorEastAsia"/>
        </w:rPr>
        <w:t>mean anomaly</w:t>
      </w:r>
      <w:r w:rsidRPr="005C55A0">
        <w:rPr>
          <w:rFonts w:eastAsia="宋体"/>
          <w:kern w:val="0"/>
        </w:rPr>
        <w:t xml:space="preserve"> at the initial moment, and </w:t>
      </w:r>
      <w:r w:rsidRPr="005C55A0">
        <w:rPr>
          <w:rFonts w:eastAsia="宋体"/>
          <w:kern w:val="0"/>
        </w:rPr>
        <w:sym w:font="Symbol" w:char="F074"/>
      </w:r>
      <w:r w:rsidRPr="005C55A0">
        <w:rPr>
          <w:rFonts w:eastAsia="宋体"/>
          <w:kern w:val="0"/>
          <w:vertAlign w:val="subscript"/>
        </w:rPr>
        <w:t xml:space="preserve"> </w:t>
      </w:r>
      <w:r w:rsidRPr="005C55A0">
        <w:rPr>
          <w:rFonts w:eastAsia="宋体"/>
          <w:kern w:val="0"/>
        </w:rPr>
        <w:t>is the elapsed time. Thus, we have</w:t>
      </w:r>
    </w:p>
    <w:p w14:paraId="214EF9BF" w14:textId="594A5F0C" w:rsidR="00FE2873" w:rsidRPr="005C55A0" w:rsidRDefault="00FE2873" w:rsidP="00FE2873">
      <w:pPr>
        <w:snapToGrid w:val="0"/>
        <w:spacing w:before="156" w:after="156"/>
        <w:ind w:firstLineChars="0" w:firstLine="0"/>
        <w:jc w:val="right"/>
      </w:pPr>
      <w:r w:rsidRPr="005C55A0">
        <w:rPr>
          <w:rFonts w:eastAsia="宋体"/>
          <w:position w:val="-56"/>
        </w:rPr>
        <w:object w:dxaOrig="6840" w:dyaOrig="1240" w14:anchorId="28ACAA77">
          <v:shape id="_x0000_i1033" type="#_x0000_t75" style="width:342.15pt;height:61.65pt" o:ole="">
            <v:imagedata r:id="rId24" o:title=""/>
          </v:shape>
          <o:OLEObject Type="Embed" ProgID="Equation.DSMT4" ShapeID="_x0000_i1033" DrawAspect="Content" ObjectID="_1728853833" r:id="rId25"/>
        </w:object>
      </w:r>
      <w:r w:rsidRPr="005C55A0">
        <w:t xml:space="preserve">  (</w:t>
      </w:r>
      <w:r w:rsidR="00106367">
        <w:t>8</w:t>
      </w:r>
      <w:r w:rsidRPr="005C55A0">
        <w:t>)</w:t>
      </w:r>
    </w:p>
    <w:p w14:paraId="6DCFD486" w14:textId="2942A789" w:rsidR="00FE2873" w:rsidRPr="005C55A0" w:rsidRDefault="00FE2873" w:rsidP="00FE2873">
      <w:pPr>
        <w:snapToGrid w:val="0"/>
        <w:spacing w:before="156" w:after="156"/>
        <w:ind w:firstLineChars="0" w:firstLine="360"/>
        <w:rPr>
          <w:rFonts w:cs="Times New Roman"/>
          <w:szCs w:val="24"/>
        </w:rPr>
      </w:pPr>
      <w:r w:rsidRPr="005C55A0">
        <w:rPr>
          <w:rFonts w:eastAsiaTheme="minorEastAsia" w:cs="Times New Roman" w:hint="eastAsia"/>
          <w:szCs w:val="24"/>
        </w:rPr>
        <w:t>F</w:t>
      </w:r>
      <w:r w:rsidRPr="005C55A0">
        <w:rPr>
          <w:rFonts w:eastAsiaTheme="minorEastAsia" w:cs="Times New Roman"/>
          <w:szCs w:val="24"/>
        </w:rPr>
        <w:t xml:space="preserve">inally, we can calculate the ISL distance </w:t>
      </w:r>
      <w:proofErr w:type="spellStart"/>
      <w:r w:rsidRPr="005C55A0">
        <w:rPr>
          <w:rFonts w:cs="Times New Roman" w:hint="eastAsia"/>
          <w:i/>
          <w:szCs w:val="24"/>
        </w:rPr>
        <w:t>l</w:t>
      </w:r>
      <w:r w:rsidRPr="005C55A0">
        <w:rPr>
          <w:rFonts w:cs="Times New Roman"/>
          <w:i/>
          <w:szCs w:val="24"/>
          <w:vertAlign w:val="subscript"/>
        </w:rPr>
        <w:t>c</w:t>
      </w:r>
      <w:r w:rsidRPr="005C55A0">
        <w:rPr>
          <w:rFonts w:cs="Times New Roman"/>
          <w:szCs w:val="24"/>
          <w:vertAlign w:val="subscript"/>
        </w:rPr>
        <w:t>,</w:t>
      </w:r>
      <w:r w:rsidRPr="005C55A0">
        <w:rPr>
          <w:rFonts w:cs="Times New Roman"/>
          <w:i/>
          <w:szCs w:val="24"/>
          <w:vertAlign w:val="subscript"/>
        </w:rPr>
        <w:t>d</w:t>
      </w:r>
      <w:proofErr w:type="spellEnd"/>
      <w:r w:rsidRPr="005C55A0">
        <w:rPr>
          <w:rFonts w:cs="Times New Roman"/>
          <w:szCs w:val="24"/>
        </w:rPr>
        <w:t>(</w:t>
      </w:r>
      <w:r w:rsidRPr="005C55A0">
        <w:rPr>
          <w:rFonts w:cs="Times New Roman"/>
          <w:szCs w:val="24"/>
        </w:rPr>
        <w:sym w:font="Symbol" w:char="F074"/>
      </w:r>
      <w:r w:rsidRPr="005C55A0">
        <w:rPr>
          <w:rFonts w:cs="Times New Roman"/>
          <w:szCs w:val="24"/>
        </w:rPr>
        <w:t>) by Equation (</w:t>
      </w:r>
      <w:r w:rsidR="00820757">
        <w:rPr>
          <w:rFonts w:cs="Times New Roman"/>
          <w:szCs w:val="24"/>
        </w:rPr>
        <w:t>9</w:t>
      </w:r>
      <w:r w:rsidRPr="005C55A0">
        <w:rPr>
          <w:rFonts w:cs="Times New Roman"/>
          <w:szCs w:val="24"/>
        </w:rPr>
        <w:t>):</w:t>
      </w:r>
    </w:p>
    <w:p w14:paraId="5919051A" w14:textId="7FE30316" w:rsidR="00FE2873" w:rsidRPr="005C55A0" w:rsidRDefault="00FE2873" w:rsidP="00FE2873">
      <w:pPr>
        <w:wordWrap w:val="0"/>
        <w:spacing w:before="156" w:after="156"/>
        <w:ind w:firstLineChars="0" w:firstLine="0"/>
        <w:jc w:val="right"/>
        <w:rPr>
          <w:rFonts w:eastAsiaTheme="minorEastAsia"/>
        </w:rPr>
      </w:pPr>
      <w:r w:rsidRPr="00FE24C9">
        <w:rPr>
          <w:rFonts w:eastAsia="宋体" w:cs="Times New Roman"/>
          <w:i/>
          <w:position w:val="-72"/>
          <w:szCs w:val="24"/>
        </w:rPr>
        <w:object w:dxaOrig="6060" w:dyaOrig="1540" w14:anchorId="0314616A">
          <v:shape id="_x0000_i1034" type="#_x0000_t75" style="width:303pt;height:77.75pt" o:ole="">
            <v:imagedata r:id="rId26" o:title=""/>
          </v:shape>
          <o:OLEObject Type="Embed" ProgID="Equation.DSMT4" ShapeID="_x0000_i1034" DrawAspect="Content" ObjectID="_1728853834" r:id="rId27"/>
        </w:object>
      </w:r>
      <w:r w:rsidRPr="005C55A0">
        <w:rPr>
          <w:rFonts w:cs="Times New Roman"/>
          <w:szCs w:val="24"/>
        </w:rPr>
        <w:t xml:space="preserve">   (</w:t>
      </w:r>
      <w:r w:rsidR="00106367">
        <w:rPr>
          <w:rFonts w:eastAsia="宋体" w:cs="Times New Roman"/>
          <w:szCs w:val="24"/>
        </w:rPr>
        <w:t>9</w:t>
      </w:r>
      <w:r w:rsidRPr="005C55A0">
        <w:rPr>
          <w:rFonts w:eastAsia="宋体" w:cs="Times New Roman"/>
          <w:szCs w:val="24"/>
        </w:rPr>
        <w:t>)</w:t>
      </w:r>
    </w:p>
    <w:bookmarkEnd w:id="6"/>
    <w:p w14:paraId="2FE589FE" w14:textId="7F3AFAA2" w:rsidR="00FE2873" w:rsidRPr="005C55A0" w:rsidRDefault="00FE2873" w:rsidP="006066CD">
      <w:pPr>
        <w:pStyle w:val="2"/>
        <w:numPr>
          <w:ilvl w:val="0"/>
          <w:numId w:val="2"/>
        </w:numPr>
        <w:spacing w:before="156" w:after="156"/>
      </w:pPr>
      <w:r w:rsidRPr="005C55A0">
        <w:rPr>
          <w:rFonts w:eastAsiaTheme="minorEastAsia"/>
        </w:rPr>
        <w:lastRenderedPageBreak/>
        <w:t xml:space="preserve">ISL </w:t>
      </w:r>
      <w:r w:rsidRPr="005C55A0">
        <w:rPr>
          <w:rFonts w:eastAsiaTheme="minorEastAsia" w:hint="eastAsia"/>
        </w:rPr>
        <w:t>tran</w:t>
      </w:r>
      <w:r w:rsidRPr="005C55A0">
        <w:rPr>
          <w:rFonts w:eastAsiaTheme="minorEastAsia"/>
        </w:rPr>
        <w:t>smission model</w:t>
      </w:r>
    </w:p>
    <w:p w14:paraId="13EB9D0F" w14:textId="349D6A41" w:rsidR="00FE2873" w:rsidRPr="005C55A0" w:rsidRDefault="00FE2873" w:rsidP="00FE2873">
      <w:pPr>
        <w:spacing w:before="156" w:after="156"/>
        <w:ind w:firstLineChars="0" w:firstLine="360"/>
        <w:rPr>
          <w:rFonts w:eastAsiaTheme="minorEastAsia"/>
        </w:rPr>
      </w:pPr>
      <w:bookmarkStart w:id="8" w:name="_Hlk118237054"/>
      <w:r w:rsidRPr="005C55A0">
        <w:rPr>
          <w:rFonts w:eastAsiaTheme="minorEastAsia"/>
        </w:rPr>
        <w:t>The main source of transmission loss for ISLs is free-space transmission, which</w:t>
      </w:r>
      <w:r w:rsidRPr="005C55A0">
        <w:t xml:space="preserve"> is mainly determined by the distance between the ISLs. According to Shannon formula and </w:t>
      </w:r>
      <w:r w:rsidRPr="00C80DC8">
        <w:t>[</w:t>
      </w:r>
      <w:r w:rsidR="00E33069">
        <w:t>2</w:t>
      </w:r>
      <w:r w:rsidRPr="00C80DC8">
        <w:t>]</w:t>
      </w:r>
      <w:r w:rsidRPr="005C55A0">
        <w:t xml:space="preserve">, </w:t>
      </w:r>
      <w:r w:rsidRPr="005C55A0">
        <w:rPr>
          <w:rFonts w:eastAsiaTheme="minorEastAsia"/>
        </w:rPr>
        <w:t xml:space="preserve">we can obtain the relationship between channel capacity </w:t>
      </w:r>
      <w:r w:rsidRPr="005C55A0">
        <w:rPr>
          <w:rFonts w:eastAsiaTheme="minorEastAsia"/>
          <w:i/>
        </w:rPr>
        <w:t>C</w:t>
      </w:r>
      <w:r w:rsidRPr="005C55A0">
        <w:rPr>
          <w:rFonts w:eastAsiaTheme="minorEastAsia"/>
        </w:rPr>
        <w:t xml:space="preserve"> and ISL distance </w:t>
      </w:r>
      <w:r w:rsidRPr="005C55A0">
        <w:rPr>
          <w:rFonts w:eastAsiaTheme="minorEastAsia"/>
          <w:i/>
        </w:rPr>
        <w:t>d</w:t>
      </w:r>
      <w:r w:rsidRPr="005C55A0">
        <w:rPr>
          <w:rFonts w:eastAsiaTheme="minorEastAsia"/>
        </w:rPr>
        <w:t>:</w:t>
      </w:r>
    </w:p>
    <w:p w14:paraId="50F4FC60" w14:textId="095324D4" w:rsidR="00FE2873" w:rsidRPr="005C55A0" w:rsidRDefault="00FE2873" w:rsidP="00FE2873">
      <w:pPr>
        <w:snapToGrid w:val="0"/>
        <w:spacing w:before="156" w:after="156"/>
        <w:ind w:firstLineChars="0" w:firstLine="0"/>
        <w:jc w:val="right"/>
        <w:rPr>
          <w:kern w:val="0"/>
          <w:shd w:val="clear" w:color="auto" w:fill="FFFFFF"/>
        </w:rPr>
      </w:pPr>
      <w:r w:rsidRPr="005C55A0">
        <w:rPr>
          <w:rFonts w:eastAsiaTheme="minorEastAsia"/>
        </w:rPr>
        <w:tab/>
      </w:r>
      <w:r w:rsidRPr="00FE24C9">
        <w:rPr>
          <w:rFonts w:eastAsia="宋体"/>
          <w:kern w:val="0"/>
          <w:position w:val="-32"/>
          <w:shd w:val="clear" w:color="auto" w:fill="FFFFFF"/>
        </w:rPr>
        <w:object w:dxaOrig="3879" w:dyaOrig="740" w14:anchorId="3FE9D7BE">
          <v:shape id="_x0000_i1035" type="#_x0000_t75" style="width:194.1pt;height:36.85pt" o:ole="">
            <v:imagedata r:id="rId28" o:title=""/>
          </v:shape>
          <o:OLEObject Type="Embed" ProgID="Equation.DSMT4" ShapeID="_x0000_i1035" DrawAspect="Content" ObjectID="_1728853835" r:id="rId29"/>
        </w:object>
      </w:r>
      <w:r w:rsidRPr="005C55A0">
        <w:rPr>
          <w:kern w:val="0"/>
          <w:shd w:val="clear" w:color="auto" w:fill="FFFFFF"/>
        </w:rPr>
        <w:t xml:space="preserve">              (</w:t>
      </w:r>
      <w:r w:rsidR="00106367">
        <w:rPr>
          <w:kern w:val="0"/>
          <w:shd w:val="clear" w:color="auto" w:fill="FFFFFF"/>
        </w:rPr>
        <w:t>10</w:t>
      </w:r>
      <w:r w:rsidRPr="005C55A0">
        <w:rPr>
          <w:kern w:val="0"/>
          <w:shd w:val="clear" w:color="auto" w:fill="FFFFFF"/>
        </w:rPr>
        <w:t>)</w:t>
      </w:r>
    </w:p>
    <w:p w14:paraId="6182C3FE" w14:textId="77777777" w:rsidR="00FE2873" w:rsidRPr="005C55A0" w:rsidRDefault="00FE2873" w:rsidP="00FE2873">
      <w:pPr>
        <w:spacing w:before="156" w:after="156"/>
        <w:ind w:right="120" w:firstLineChars="0" w:firstLine="0"/>
        <w:rPr>
          <w:rFonts w:eastAsiaTheme="minorEastAsia"/>
          <w:kern w:val="0"/>
          <w:shd w:val="clear" w:color="auto" w:fill="FFFFFF"/>
        </w:rPr>
      </w:pPr>
      <w:r w:rsidRPr="005C55A0">
        <w:rPr>
          <w:rFonts w:eastAsiaTheme="minorEastAsia"/>
          <w:kern w:val="0"/>
          <w:shd w:val="clear" w:color="auto" w:fill="FFFFFF"/>
        </w:rPr>
        <w:t xml:space="preserve">where </w:t>
      </w:r>
      <w:r w:rsidRPr="005C55A0">
        <w:rPr>
          <w:rFonts w:eastAsiaTheme="minorEastAsia"/>
          <w:i/>
          <w:kern w:val="0"/>
          <w:shd w:val="clear" w:color="auto" w:fill="FFFFFF"/>
        </w:rPr>
        <w:t>B</w:t>
      </w:r>
      <w:r w:rsidRPr="005C55A0">
        <w:rPr>
          <w:rFonts w:eastAsiaTheme="minorEastAsia"/>
          <w:kern w:val="0"/>
          <w:shd w:val="clear" w:color="auto" w:fill="FFFFFF"/>
          <w:vertAlign w:val="subscript"/>
        </w:rPr>
        <w:t xml:space="preserve"> </w:t>
      </w:r>
      <w:r w:rsidRPr="005C55A0">
        <w:rPr>
          <w:rFonts w:eastAsiaTheme="minorEastAsia"/>
          <w:kern w:val="0"/>
          <w:shd w:val="clear" w:color="auto" w:fill="FFFFFF"/>
        </w:rPr>
        <w:t xml:space="preserve">is the channel width, </w:t>
      </w:r>
      <w:proofErr w:type="spellStart"/>
      <w:r w:rsidRPr="005C55A0">
        <w:rPr>
          <w:rFonts w:eastAsiaTheme="minorEastAsia"/>
          <w:i/>
        </w:rPr>
        <w:t>p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is the transmitting power of the transmitter, </w:t>
      </w:r>
      <w:proofErr w:type="spellStart"/>
      <w:r w:rsidRPr="005C55A0">
        <w:rPr>
          <w:rFonts w:eastAsiaTheme="minorEastAsia"/>
          <w:i/>
        </w:rPr>
        <w:t>g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(resp. </w:t>
      </w:r>
      <w:r w:rsidRPr="005C55A0">
        <w:rPr>
          <w:rFonts w:eastAsiaTheme="minorEastAsia"/>
          <w:i/>
        </w:rPr>
        <w:t>g</w:t>
      </w:r>
      <w:r w:rsidRPr="005C55A0">
        <w:rPr>
          <w:rFonts w:eastAsiaTheme="minorEastAsia"/>
          <w:i/>
          <w:vertAlign w:val="subscript"/>
        </w:rPr>
        <w:t>r</w:t>
      </w:r>
      <w:r w:rsidRPr="005C55A0">
        <w:rPr>
          <w:rFonts w:eastAsiaTheme="minorEastAsia"/>
        </w:rPr>
        <w:t xml:space="preserve">) is the antenna gain of the transmitter (resp. </w:t>
      </w:r>
      <w:r w:rsidRPr="005C55A0">
        <w:rPr>
          <w:rFonts w:cs="Times New Roman"/>
        </w:rPr>
        <w:t>receiver</w:t>
      </w:r>
      <w:r w:rsidRPr="005C55A0">
        <w:rPr>
          <w:rFonts w:eastAsiaTheme="minorEastAsia"/>
        </w:rPr>
        <w:t xml:space="preserve">), </w:t>
      </w:r>
      <w:r w:rsidRPr="005C55A0">
        <w:rPr>
          <w:rFonts w:eastAsiaTheme="minorEastAsia"/>
          <w:i/>
        </w:rPr>
        <w:sym w:font="Symbol" w:char="F06C"/>
      </w:r>
      <w:r w:rsidRPr="005C55A0">
        <w:rPr>
          <w:rFonts w:eastAsiaTheme="minorEastAsia"/>
        </w:rPr>
        <w:t xml:space="preserve"> is the signal wavelength, and </w:t>
      </w:r>
      <w:r w:rsidRPr="005C55A0">
        <w:rPr>
          <w:rFonts w:eastAsiaTheme="minorEastAsia"/>
          <w:i/>
          <w:kern w:val="0"/>
          <w:shd w:val="clear" w:color="auto" w:fill="FFFFFF"/>
        </w:rPr>
        <w:t>N</w:t>
      </w:r>
      <w:r w:rsidRPr="005C55A0">
        <w:rPr>
          <w:rFonts w:eastAsiaTheme="minorEastAsia"/>
          <w:kern w:val="0"/>
          <w:shd w:val="clear" w:color="auto" w:fill="FFFFFF"/>
          <w:vertAlign w:val="subscript"/>
        </w:rPr>
        <w:t>0</w:t>
      </w:r>
      <w:r w:rsidRPr="005C55A0">
        <w:rPr>
          <w:rFonts w:eastAsiaTheme="minorEastAsia"/>
          <w:kern w:val="0"/>
          <w:shd w:val="clear" w:color="auto" w:fill="FFFFFF"/>
        </w:rPr>
        <w:t xml:space="preserve"> is the noise power spectral density of </w:t>
      </w:r>
      <w:r>
        <w:rPr>
          <w:rFonts w:eastAsiaTheme="minorEastAsia"/>
          <w:kern w:val="0"/>
          <w:shd w:val="clear" w:color="auto" w:fill="FFFFFF"/>
        </w:rPr>
        <w:t xml:space="preserve">the </w:t>
      </w:r>
      <w:r w:rsidRPr="005C55A0">
        <w:rPr>
          <w:rFonts w:eastAsiaTheme="minorEastAsia"/>
          <w:kern w:val="0"/>
          <w:shd w:val="clear" w:color="auto" w:fill="FFFFFF"/>
        </w:rPr>
        <w:t xml:space="preserve">ISL in </w:t>
      </w:r>
      <w:r>
        <w:rPr>
          <w:rFonts w:eastAsiaTheme="minorEastAsia"/>
          <w:kern w:val="0"/>
          <w:shd w:val="clear" w:color="auto" w:fill="FFFFFF"/>
        </w:rPr>
        <w:t xml:space="preserve">the </w:t>
      </w:r>
      <w:r w:rsidRPr="005C55A0">
        <w:rPr>
          <w:rFonts w:eastAsiaTheme="minorEastAsia"/>
          <w:kern w:val="0"/>
          <w:shd w:val="clear" w:color="auto" w:fill="FFFFFF"/>
        </w:rPr>
        <w:t>Gaussian channel.</w:t>
      </w:r>
    </w:p>
    <w:p w14:paraId="70A5CE4C" w14:textId="77777777" w:rsidR="00FE2873" w:rsidRPr="005C55A0" w:rsidRDefault="00FE2873" w:rsidP="00FE2873">
      <w:pPr>
        <w:spacing w:before="156" w:after="156"/>
        <w:ind w:firstLineChars="0" w:firstLine="420"/>
        <w:rPr>
          <w:rFonts w:eastAsiaTheme="minorEastAsia"/>
        </w:rPr>
      </w:pPr>
      <w:r w:rsidRPr="005C55A0">
        <w:rPr>
          <w:rFonts w:eastAsiaTheme="minorEastAsia"/>
        </w:rPr>
        <w:t>For simplicity, we assume that the channel capacity is proportional to the bandwidth. Thus, we have</w:t>
      </w:r>
    </w:p>
    <w:p w14:paraId="23E83073" w14:textId="681F1747" w:rsidR="00FE2873" w:rsidRPr="005C55A0" w:rsidRDefault="00FE2873" w:rsidP="00FE2873">
      <w:pPr>
        <w:pStyle w:val="MTDisplayEquation"/>
        <w:snapToGrid w:val="0"/>
        <w:spacing w:before="156" w:after="156"/>
        <w:ind w:firstLine="480"/>
        <w:jc w:val="right"/>
      </w:pPr>
      <w:r w:rsidRPr="005C55A0">
        <w:rPr>
          <w:position w:val="-28"/>
        </w:rPr>
        <w:object w:dxaOrig="3640" w:dyaOrig="680" w14:anchorId="09066703">
          <v:shape id="_x0000_i1036" type="#_x0000_t75" style="width:181.45pt;height:34.55pt" o:ole="">
            <v:imagedata r:id="rId30" o:title=""/>
          </v:shape>
          <o:OLEObject Type="Embed" ProgID="Equation.DSMT4" ShapeID="_x0000_i1036" DrawAspect="Content" ObjectID="_1728853836" r:id="rId31"/>
        </w:object>
      </w:r>
      <w:r w:rsidRPr="005C55A0">
        <w:t xml:space="preserve">                  (</w:t>
      </w:r>
      <w:r w:rsidR="00106367">
        <w:t>11</w:t>
      </w:r>
      <w:r w:rsidRPr="005C55A0">
        <w:t>)</w:t>
      </w:r>
    </w:p>
    <w:p w14:paraId="1D97628D" w14:textId="77777777" w:rsidR="00FE2873" w:rsidRPr="005C55A0" w:rsidRDefault="00FE2873" w:rsidP="00FE2873">
      <w:pPr>
        <w:snapToGrid w:val="0"/>
        <w:spacing w:before="156" w:after="156"/>
        <w:ind w:firstLineChars="0" w:firstLine="0"/>
        <w:rPr>
          <w:kern w:val="0"/>
        </w:rPr>
      </w:pPr>
      <w:r w:rsidRPr="005C55A0">
        <w:rPr>
          <w:rFonts w:eastAsiaTheme="minorEastAsia"/>
        </w:rPr>
        <w:t xml:space="preserve">where </w:t>
      </w:r>
      <w:r w:rsidRPr="005C55A0">
        <w:rPr>
          <w:rFonts w:eastAsiaTheme="minorEastAsia"/>
          <w:i/>
        </w:rPr>
        <w:sym w:font="Symbol" w:char="F064"/>
      </w:r>
      <w:r w:rsidRPr="005C55A0">
        <w:rPr>
          <w:rFonts w:eastAsiaTheme="minorEastAsia"/>
        </w:rPr>
        <w:t xml:space="preserve"> is the attenuation coefficient, </w:t>
      </w:r>
      <w:r w:rsidRPr="005C55A0">
        <w:rPr>
          <w:rFonts w:eastAsiaTheme="minorEastAsia"/>
          <w:i/>
        </w:rPr>
        <w:t>Q</w:t>
      </w:r>
      <w:r w:rsidRPr="005C55A0">
        <w:rPr>
          <w:rFonts w:eastAsiaTheme="minorEastAsia"/>
        </w:rPr>
        <w:t xml:space="preserve"> = </w:t>
      </w:r>
      <w:r w:rsidRPr="005C55A0">
        <w:rPr>
          <w:rFonts w:eastAsiaTheme="minorEastAsia"/>
          <w:i/>
        </w:rPr>
        <w:sym w:font="Symbol" w:char="F064"/>
      </w:r>
      <w:r w:rsidRPr="005C55A0">
        <w:rPr>
          <w:rFonts w:eastAsiaTheme="minorEastAsia"/>
          <w:i/>
        </w:rPr>
        <w:t>B</w:t>
      </w:r>
      <w:r w:rsidRPr="005C55A0">
        <w:rPr>
          <w:rFonts w:eastAsiaTheme="minorEastAsia"/>
        </w:rPr>
        <w:t xml:space="preserve">, and </w:t>
      </w:r>
      <w:r w:rsidRPr="005C55A0">
        <w:rPr>
          <w:rFonts w:eastAsiaTheme="minorEastAsia"/>
          <w:position w:val="-30"/>
        </w:rPr>
        <w:object w:dxaOrig="1420" w:dyaOrig="720" w14:anchorId="55AA9BC1">
          <v:shape id="_x0000_i1037" type="#_x0000_t75" style="width:69.7pt;height:36.3pt" o:ole="">
            <v:imagedata r:id="rId32" o:title=""/>
          </v:shape>
          <o:OLEObject Type="Embed" ProgID="Equation.DSMT4" ShapeID="_x0000_i1037" DrawAspect="Content" ObjectID="_1728853837" r:id="rId33"/>
        </w:object>
      </w:r>
      <w:r w:rsidRPr="005C55A0">
        <w:rPr>
          <w:rFonts w:eastAsiaTheme="minorEastAsia"/>
        </w:rPr>
        <w:t xml:space="preserve">. Since the LEO satellites are connected to each other using laser ISLs, the equivalent </w:t>
      </w:r>
      <w:proofErr w:type="spellStart"/>
      <w:r w:rsidRPr="005C55A0">
        <w:rPr>
          <w:rFonts w:eastAsiaTheme="minorEastAsia"/>
        </w:rPr>
        <w:t>isotropically</w:t>
      </w:r>
      <w:proofErr w:type="spellEnd"/>
      <w:r w:rsidRPr="005C55A0">
        <w:rPr>
          <w:rFonts w:eastAsiaTheme="minorEastAsia"/>
        </w:rPr>
        <w:t xml:space="preserve"> radiated power (EIRP) </w:t>
      </w:r>
      <w:proofErr w:type="spellStart"/>
      <w:r w:rsidRPr="005C55A0">
        <w:rPr>
          <w:rFonts w:eastAsiaTheme="minorEastAsia"/>
          <w:i/>
        </w:rPr>
        <w:t>eirp</w:t>
      </w:r>
      <w:proofErr w:type="spellEnd"/>
      <w:r w:rsidRPr="005C55A0">
        <w:rPr>
          <w:rFonts w:eastAsiaTheme="minorEastAsia"/>
        </w:rPr>
        <w:t xml:space="preserve"> = </w:t>
      </w:r>
      <w:proofErr w:type="spellStart"/>
      <w:r w:rsidRPr="005C55A0">
        <w:rPr>
          <w:rFonts w:eastAsiaTheme="minorEastAsia"/>
          <w:i/>
        </w:rPr>
        <w:t>p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</w:t>
      </w:r>
      <w:r w:rsidRPr="005C55A0">
        <w:rPr>
          <w:rFonts w:eastAsiaTheme="minorEastAsia"/>
        </w:rPr>
        <w:sym w:font="Symbol" w:char="F0B4"/>
      </w:r>
      <w:r w:rsidRPr="005C55A0">
        <w:rPr>
          <w:rFonts w:eastAsiaTheme="minorEastAsia"/>
        </w:rPr>
        <w:t xml:space="preserve"> </w:t>
      </w:r>
      <w:proofErr w:type="spellStart"/>
      <w:r w:rsidRPr="005C55A0">
        <w:rPr>
          <w:rFonts w:eastAsiaTheme="minorEastAsia"/>
          <w:i/>
        </w:rPr>
        <w:t>g</w:t>
      </w:r>
      <w:r w:rsidRPr="005C55A0">
        <w:rPr>
          <w:rFonts w:eastAsiaTheme="minorEastAsia"/>
          <w:i/>
          <w:vertAlign w:val="subscript"/>
        </w:rPr>
        <w:t>t</w:t>
      </w:r>
      <w:proofErr w:type="spellEnd"/>
      <w:r w:rsidRPr="005C55A0">
        <w:rPr>
          <w:rFonts w:eastAsiaTheme="minorEastAsia"/>
        </w:rPr>
        <w:t xml:space="preserve"> is significantly greater than other parameters. </w:t>
      </w:r>
      <w:r w:rsidRPr="00FE24C9">
        <w:rPr>
          <w:rFonts w:eastAsiaTheme="minorEastAsia"/>
        </w:rPr>
        <w:t xml:space="preserve">Considering </w:t>
      </w:r>
      <w:r w:rsidRPr="005C55A0">
        <w:rPr>
          <w:rFonts w:eastAsiaTheme="minorEastAsia"/>
        </w:rPr>
        <w:t>the actual bandwidth of the laser ISL</w:t>
      </w:r>
      <w:r>
        <w:rPr>
          <w:rFonts w:eastAsiaTheme="minorEastAsia"/>
        </w:rPr>
        <w:t xml:space="preserve">, </w:t>
      </w:r>
      <w:r w:rsidRPr="005C55A0">
        <w:rPr>
          <w:rFonts w:eastAsiaTheme="minorEastAsia"/>
        </w:rPr>
        <w:t xml:space="preserve">we set </w:t>
      </w:r>
      <w:r w:rsidRPr="005C55A0">
        <w:rPr>
          <w:rFonts w:eastAsiaTheme="minorEastAsia"/>
          <w:i/>
        </w:rPr>
        <w:t>Q</w:t>
      </w:r>
      <w:r w:rsidRPr="005C55A0">
        <w:rPr>
          <w:rFonts w:eastAsiaTheme="minorEastAsia"/>
        </w:rPr>
        <w:t xml:space="preserve"> = 0.289 and </w:t>
      </w:r>
      <w:r w:rsidRPr="005C55A0">
        <w:rPr>
          <w:rFonts w:eastAsiaTheme="minorEastAsia"/>
          <w:i/>
        </w:rPr>
        <w:t>K</w:t>
      </w:r>
      <w:r w:rsidRPr="005C55A0">
        <w:rPr>
          <w:rFonts w:eastAsiaTheme="minorEastAsia"/>
        </w:rPr>
        <w:t xml:space="preserve"> = 1</w:t>
      </w:r>
      <w:r w:rsidRPr="005C55A0">
        <w:rPr>
          <w:kern w:val="0"/>
        </w:rPr>
        <w:t xml:space="preserve"> </w:t>
      </w:r>
      <w:r w:rsidRPr="005C55A0">
        <w:rPr>
          <w:kern w:val="0"/>
        </w:rPr>
        <w:sym w:font="Symbol" w:char="F0B4"/>
      </w:r>
      <w:r w:rsidRPr="005C55A0">
        <w:rPr>
          <w:kern w:val="0"/>
        </w:rPr>
        <w:t xml:space="preserve"> e</w:t>
      </w:r>
      <w:r w:rsidRPr="005C55A0">
        <w:rPr>
          <w:kern w:val="0"/>
          <w:vertAlign w:val="superscript"/>
        </w:rPr>
        <w:t>7</w:t>
      </w:r>
      <w:r w:rsidRPr="005C55A0">
        <w:rPr>
          <w:kern w:val="0"/>
        </w:rPr>
        <w:t>.</w:t>
      </w:r>
    </w:p>
    <w:p w14:paraId="7DBDF8EE" w14:textId="77777777" w:rsidR="00FE2873" w:rsidRPr="005C55A0" w:rsidRDefault="00FE2873" w:rsidP="006066CD">
      <w:pPr>
        <w:pStyle w:val="2"/>
        <w:numPr>
          <w:ilvl w:val="0"/>
          <w:numId w:val="2"/>
        </w:numPr>
        <w:spacing w:before="156" w:after="156"/>
      </w:pPr>
      <w:bookmarkStart w:id="9" w:name="_Hlk118237337"/>
      <w:bookmarkEnd w:id="8"/>
      <w:r w:rsidRPr="005C55A0">
        <w:t>Basic of Petri Nets</w:t>
      </w:r>
    </w:p>
    <w:p w14:paraId="7C03C1B0" w14:textId="77777777" w:rsidR="00FE2873" w:rsidRPr="005C55A0" w:rsidRDefault="00FE2873" w:rsidP="00FE2873">
      <w:pPr>
        <w:pStyle w:val="Para"/>
        <w:spacing w:before="156" w:after="156"/>
        <w:ind w:firstLine="480"/>
        <w:rPr>
          <w:sz w:val="24"/>
        </w:rPr>
      </w:pPr>
      <w:bookmarkStart w:id="10" w:name="_Hlk118237378"/>
      <w:bookmarkEnd w:id="9"/>
      <w:r w:rsidRPr="005C55A0">
        <w:rPr>
          <w:sz w:val="24"/>
        </w:rPr>
        <w:t xml:space="preserve">A PN is a four-tuple </w:t>
      </w:r>
      <w:r w:rsidRPr="005C55A0">
        <w:rPr>
          <w:i/>
          <w:sz w:val="24"/>
        </w:rPr>
        <w:t xml:space="preserve">N </w:t>
      </w:r>
      <w:r w:rsidRPr="005C55A0">
        <w:rPr>
          <w:sz w:val="24"/>
        </w:rPr>
        <w:t>= (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F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), where 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 is the set of places,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 is the set of transitions, and 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 and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 are finite and disjoint sets. </w:t>
      </w:r>
      <w:r w:rsidRPr="005C55A0">
        <w:rPr>
          <w:i/>
          <w:sz w:val="24"/>
        </w:rPr>
        <w:t xml:space="preserve">F </w:t>
      </w:r>
      <w:r w:rsidRPr="005C55A0">
        <w:rPr>
          <w:sz w:val="24"/>
        </w:rPr>
        <w:sym w:font="Symbol" w:char="F0CD"/>
      </w:r>
      <w:r w:rsidRPr="005C55A0">
        <w:rPr>
          <w:sz w:val="24"/>
        </w:rPr>
        <w:t xml:space="preserve"> (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sym w:font="Symbol" w:char="F0B4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) </w:t>
      </w:r>
      <w:r w:rsidRPr="005C55A0">
        <w:rPr>
          <w:sz w:val="24"/>
        </w:rPr>
        <w:sym w:font="Symbol" w:char="F0C8"/>
      </w:r>
      <w:r w:rsidRPr="005C55A0">
        <w:rPr>
          <w:sz w:val="24"/>
        </w:rPr>
        <w:t xml:space="preserve"> (</w:t>
      </w:r>
      <w:r w:rsidRPr="005C55A0">
        <w:rPr>
          <w:i/>
          <w:sz w:val="24"/>
        </w:rPr>
        <w:t xml:space="preserve">T </w:t>
      </w:r>
      <w:r w:rsidRPr="005C55A0">
        <w:rPr>
          <w:sz w:val="24"/>
        </w:rPr>
        <w:sym w:font="Symbol" w:char="F0B4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P</w:t>
      </w:r>
      <w:r w:rsidRPr="005C55A0">
        <w:rPr>
          <w:sz w:val="24"/>
        </w:rPr>
        <w:t>) is the set of directed arcs.</w:t>
      </w:r>
    </w:p>
    <w:p w14:paraId="372A6743" w14:textId="77777777" w:rsidR="00FE2873" w:rsidRPr="005C55A0" w:rsidRDefault="00FE2873" w:rsidP="00FE2873">
      <w:pPr>
        <w:pStyle w:val="Para"/>
        <w:spacing w:before="156" w:after="156"/>
        <w:ind w:firstLine="480"/>
        <w:rPr>
          <w:sz w:val="24"/>
        </w:rPr>
      </w:pPr>
      <w:r w:rsidRPr="005C55A0">
        <w:rPr>
          <w:sz w:val="24"/>
        </w:rPr>
        <w:t xml:space="preserve">For any node </w:t>
      </w:r>
      <w:r w:rsidRPr="005C55A0">
        <w:rPr>
          <w:i/>
          <w:sz w:val="24"/>
        </w:rPr>
        <w:t>x</w:t>
      </w:r>
      <w:r w:rsidRPr="005C55A0">
        <w:rPr>
          <w:sz w:val="24"/>
        </w:rPr>
        <w:sym w:font="Symbol" w:char="F0CE"/>
      </w:r>
      <w:r w:rsidRPr="005C55A0">
        <w:rPr>
          <w:i/>
          <w:sz w:val="24"/>
        </w:rPr>
        <w:t xml:space="preserve"> P</w:t>
      </w:r>
      <w:r w:rsidRPr="005C55A0">
        <w:rPr>
          <w:sz w:val="24"/>
        </w:rPr>
        <w:sym w:font="Symbol" w:char="F0C8"/>
      </w:r>
      <w:r w:rsidRPr="005C55A0">
        <w:rPr>
          <w:i/>
          <w:sz w:val="24"/>
        </w:rPr>
        <w:t>T</w:t>
      </w:r>
      <w:r w:rsidRPr="005C55A0">
        <w:rPr>
          <w:sz w:val="24"/>
        </w:rPr>
        <w:t xml:space="preserve">, </w:t>
      </w:r>
      <w:r w:rsidRPr="005C55A0">
        <w:rPr>
          <w:sz w:val="24"/>
          <w:vertAlign w:val="superscript"/>
        </w:rPr>
        <w:sym w:font="Symbol" w:char="F0B7"/>
      </w:r>
      <w:r w:rsidRPr="005C55A0">
        <w:rPr>
          <w:i/>
          <w:sz w:val="24"/>
        </w:rPr>
        <w:t>x</w:t>
      </w:r>
      <w:proofErr w:type="gramStart"/>
      <w:r w:rsidRPr="005C55A0">
        <w:rPr>
          <w:sz w:val="24"/>
        </w:rPr>
        <w:t>={</w:t>
      </w:r>
      <w:proofErr w:type="gramEnd"/>
      <w:r w:rsidRPr="005C55A0">
        <w:rPr>
          <w:i/>
          <w:sz w:val="24"/>
        </w:rPr>
        <w:t xml:space="preserve">y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sym w:font="Symbol" w:char="F0C8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T </w:t>
      </w:r>
      <w:r w:rsidRPr="005C55A0">
        <w:rPr>
          <w:sz w:val="24"/>
        </w:rPr>
        <w:t>| (</w:t>
      </w:r>
      <w:r w:rsidRPr="005C55A0">
        <w:rPr>
          <w:i/>
          <w:sz w:val="24"/>
        </w:rPr>
        <w:t>y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)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F</w:t>
      </w:r>
      <w:r w:rsidRPr="005C55A0">
        <w:rPr>
          <w:sz w:val="24"/>
        </w:rPr>
        <w:t xml:space="preserve">} represents the preset of 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, and </w:t>
      </w:r>
      <w:r w:rsidRPr="005C55A0">
        <w:rPr>
          <w:i/>
          <w:sz w:val="24"/>
        </w:rPr>
        <w:t>x</w:t>
      </w:r>
      <w:r w:rsidRPr="005C55A0">
        <w:rPr>
          <w:sz w:val="24"/>
          <w:vertAlign w:val="superscript"/>
        </w:rPr>
        <w:sym w:font="Symbol" w:char="F0B7"/>
      </w:r>
      <w:r w:rsidRPr="005C55A0">
        <w:rPr>
          <w:sz w:val="24"/>
        </w:rPr>
        <w:t xml:space="preserve"> = {</w:t>
      </w:r>
      <w:r w:rsidRPr="005C55A0">
        <w:rPr>
          <w:i/>
          <w:sz w:val="24"/>
        </w:rPr>
        <w:t xml:space="preserve">y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sym w:font="Symbol" w:char="F0C8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 xml:space="preserve">T </w:t>
      </w:r>
      <w:r w:rsidRPr="005C55A0">
        <w:rPr>
          <w:sz w:val="24"/>
        </w:rPr>
        <w:t>| (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y</w:t>
      </w:r>
      <w:r w:rsidRPr="005C55A0">
        <w:rPr>
          <w:sz w:val="24"/>
        </w:rPr>
        <w:t xml:space="preserve">) </w:t>
      </w:r>
      <w:r w:rsidRPr="005C55A0">
        <w:rPr>
          <w:sz w:val="24"/>
        </w:rPr>
        <w:sym w:font="Symbol" w:char="F0CE"/>
      </w:r>
      <w:r w:rsidRPr="005C55A0">
        <w:rPr>
          <w:sz w:val="24"/>
        </w:rPr>
        <w:t xml:space="preserve"> </w:t>
      </w:r>
      <w:r w:rsidRPr="005C55A0">
        <w:rPr>
          <w:i/>
          <w:sz w:val="24"/>
        </w:rPr>
        <w:t>F</w:t>
      </w:r>
      <w:r w:rsidRPr="005C55A0">
        <w:rPr>
          <w:sz w:val="24"/>
        </w:rPr>
        <w:t xml:space="preserve">} means the post-set of </w:t>
      </w:r>
      <w:r w:rsidRPr="005C55A0">
        <w:rPr>
          <w:i/>
          <w:sz w:val="24"/>
        </w:rPr>
        <w:t>x</w:t>
      </w:r>
      <w:r w:rsidRPr="005C55A0">
        <w:rPr>
          <w:sz w:val="24"/>
        </w:rPr>
        <w:t xml:space="preserve">. A marking or state of </w:t>
      </w:r>
      <w:r w:rsidRPr="005C55A0">
        <w:rPr>
          <w:i/>
          <w:sz w:val="24"/>
        </w:rPr>
        <w:t>N</w:t>
      </w:r>
      <w:r w:rsidRPr="005C55A0">
        <w:rPr>
          <w:sz w:val="24"/>
        </w:rPr>
        <w:t xml:space="preserve"> is a mapping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: </w:t>
      </w:r>
      <w:r w:rsidRPr="005C55A0">
        <w:rPr>
          <w:i/>
          <w:sz w:val="24"/>
        </w:rPr>
        <w:t xml:space="preserve">P </w:t>
      </w:r>
      <w:r w:rsidRPr="005C55A0">
        <w:rPr>
          <w:sz w:val="24"/>
        </w:rPr>
        <w:t>→ ℤ</w:t>
      </w:r>
      <w:r w:rsidRPr="005C55A0">
        <w:rPr>
          <w:sz w:val="24"/>
          <w:vertAlign w:val="superscript"/>
        </w:rPr>
        <w:t>+</w:t>
      </w:r>
      <w:r w:rsidRPr="005C55A0">
        <w:rPr>
          <w:sz w:val="24"/>
        </w:rPr>
        <w:t>, where ℤ</w:t>
      </w:r>
      <w:r w:rsidRPr="005C55A0">
        <w:rPr>
          <w:sz w:val="24"/>
          <w:vertAlign w:val="superscript"/>
        </w:rPr>
        <w:t xml:space="preserve">+ </w:t>
      </w:r>
      <w:r w:rsidRPr="005C55A0">
        <w:rPr>
          <w:sz w:val="24"/>
        </w:rPr>
        <w:t>= {0,</w:t>
      </w:r>
      <w:proofErr w:type="gramStart"/>
      <w:r w:rsidRPr="005C55A0">
        <w:rPr>
          <w:sz w:val="24"/>
        </w:rPr>
        <w:t>1,2,…</w:t>
      </w:r>
      <w:proofErr w:type="gramEnd"/>
      <w:r w:rsidRPr="005C55A0">
        <w:rPr>
          <w:sz w:val="24"/>
        </w:rPr>
        <w:t xml:space="preserve">}. Given a place </w:t>
      </w:r>
      <w:r w:rsidRPr="005C55A0">
        <w:rPr>
          <w:i/>
          <w:sz w:val="24"/>
        </w:rPr>
        <w:t>p</w:t>
      </w:r>
      <w:r w:rsidRPr="005C55A0">
        <w:rPr>
          <w:sz w:val="24"/>
        </w:rPr>
        <w:sym w:font="Symbol" w:char="F0CE"/>
      </w:r>
      <w:proofErr w:type="spellStart"/>
      <w:r w:rsidRPr="005C55A0">
        <w:rPr>
          <w:i/>
          <w:sz w:val="24"/>
        </w:rPr>
        <w:t>P</w:t>
      </w:r>
      <w:proofErr w:type="spellEnd"/>
      <w:r w:rsidRPr="005C55A0">
        <w:rPr>
          <w:sz w:val="24"/>
        </w:rPr>
        <w:t xml:space="preserve"> and a marking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M</w:t>
      </w:r>
      <w:r w:rsidRPr="005C55A0">
        <w:rPr>
          <w:sz w:val="24"/>
        </w:rPr>
        <w:t>(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) denotes the number of tokens in </w:t>
      </w:r>
      <w:r w:rsidRPr="005C55A0">
        <w:rPr>
          <w:i/>
          <w:sz w:val="24"/>
        </w:rPr>
        <w:t>p</w:t>
      </w:r>
      <w:r w:rsidRPr="005C55A0">
        <w:rPr>
          <w:sz w:val="24"/>
        </w:rPr>
        <w:t xml:space="preserve"> at </w:t>
      </w:r>
      <w:r w:rsidRPr="005C55A0">
        <w:rPr>
          <w:i/>
          <w:sz w:val="24"/>
        </w:rPr>
        <w:t>M</w:t>
      </w:r>
      <w:r w:rsidRPr="005C55A0">
        <w:rPr>
          <w:sz w:val="24"/>
        </w:rPr>
        <w:t xml:space="preserve">. A Petri net </w:t>
      </w:r>
      <w:r w:rsidRPr="005C55A0">
        <w:rPr>
          <w:i/>
          <w:sz w:val="24"/>
        </w:rPr>
        <w:t>N</w:t>
      </w:r>
      <w:r w:rsidRPr="005C55A0">
        <w:rPr>
          <w:sz w:val="24"/>
        </w:rPr>
        <w:t xml:space="preserve"> with an initial marking </w:t>
      </w:r>
      <w:r w:rsidRPr="005C55A0">
        <w:rPr>
          <w:i/>
          <w:sz w:val="24"/>
        </w:rPr>
        <w:t>M</w:t>
      </w:r>
      <w:r w:rsidRPr="005C55A0">
        <w:rPr>
          <w:sz w:val="24"/>
          <w:vertAlign w:val="subscript"/>
        </w:rPr>
        <w:t>0</w:t>
      </w:r>
      <w:r w:rsidRPr="005C55A0">
        <w:rPr>
          <w:sz w:val="24"/>
        </w:rPr>
        <w:t xml:space="preserve"> is denoted by (</w:t>
      </w:r>
      <w:r w:rsidRPr="005C55A0">
        <w:rPr>
          <w:i/>
          <w:sz w:val="24"/>
        </w:rPr>
        <w:t>N</w:t>
      </w:r>
      <w:r w:rsidRPr="005C55A0">
        <w:rPr>
          <w:sz w:val="24"/>
        </w:rPr>
        <w:t xml:space="preserve">, </w:t>
      </w:r>
      <w:r w:rsidRPr="005C55A0">
        <w:rPr>
          <w:i/>
          <w:sz w:val="24"/>
        </w:rPr>
        <w:t>M</w:t>
      </w:r>
      <w:r w:rsidRPr="005C55A0">
        <w:rPr>
          <w:sz w:val="24"/>
          <w:vertAlign w:val="subscript"/>
        </w:rPr>
        <w:t>0</w:t>
      </w:r>
      <w:r w:rsidRPr="005C55A0">
        <w:rPr>
          <w:sz w:val="24"/>
        </w:rPr>
        <w:t>).</w:t>
      </w:r>
    </w:p>
    <w:p w14:paraId="70C84596" w14:textId="42445F66" w:rsidR="00FE2873" w:rsidRDefault="00FE2873" w:rsidP="00FE2873">
      <w:pPr>
        <w:spacing w:before="156" w:after="156"/>
        <w:ind w:firstLineChars="0" w:firstLine="360"/>
        <w:rPr>
          <w:i/>
        </w:rPr>
      </w:pPr>
      <w:r w:rsidRPr="005C55A0">
        <w:t xml:space="preserve">For a given transition </w:t>
      </w:r>
      <w:r w:rsidRPr="005C55A0">
        <w:rPr>
          <w:i/>
        </w:rPr>
        <w:t>t</w:t>
      </w:r>
      <w:r w:rsidRPr="005C55A0">
        <w:sym w:font="Symbol" w:char="F0CE"/>
      </w:r>
      <w:proofErr w:type="spellStart"/>
      <w:r w:rsidRPr="005C55A0">
        <w:rPr>
          <w:i/>
        </w:rPr>
        <w:t>T</w:t>
      </w:r>
      <w:proofErr w:type="spellEnd"/>
      <w:r w:rsidRPr="005C55A0">
        <w:t xml:space="preserve">, if </w:t>
      </w:r>
      <w:r w:rsidRPr="005C55A0">
        <w:sym w:font="Symbol" w:char="F022"/>
      </w:r>
      <w:r w:rsidRPr="005C55A0">
        <w:rPr>
          <w:i/>
        </w:rPr>
        <w:t>p</w:t>
      </w:r>
      <w:r w:rsidRPr="005C55A0">
        <w:sym w:font="Symbol" w:char="F0CE"/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>t</w:t>
      </w:r>
      <w:r w:rsidRPr="005C55A0">
        <w:t xml:space="preserve">, </w:t>
      </w:r>
      <w:r w:rsidRPr="005C55A0">
        <w:rPr>
          <w:i/>
        </w:rPr>
        <w:t>M</w:t>
      </w:r>
      <w:r w:rsidRPr="005C55A0">
        <w:t>(</w:t>
      </w:r>
      <w:r w:rsidRPr="005C55A0">
        <w:rPr>
          <w:i/>
        </w:rPr>
        <w:t>p</w:t>
      </w:r>
      <w:r w:rsidRPr="005C55A0">
        <w:t xml:space="preserve">)&gt;0, we say that </w:t>
      </w:r>
      <w:r w:rsidRPr="005C55A0">
        <w:rPr>
          <w:i/>
        </w:rPr>
        <w:t>t</w:t>
      </w:r>
      <w:r w:rsidRPr="005C55A0">
        <w:t xml:space="preserve"> is </w:t>
      </w:r>
      <w:r w:rsidRPr="005C55A0">
        <w:rPr>
          <w:i/>
        </w:rPr>
        <w:t>enabled</w:t>
      </w:r>
      <w:r w:rsidRPr="005C55A0">
        <w:t xml:space="preserve"> at marking </w:t>
      </w:r>
      <w:r w:rsidRPr="005C55A0">
        <w:rPr>
          <w:i/>
        </w:rPr>
        <w:t>M</w:t>
      </w:r>
      <w:r w:rsidRPr="005C55A0">
        <w:t xml:space="preserve"> and is denoted by </w:t>
      </w:r>
      <w:proofErr w:type="gramStart"/>
      <w:r w:rsidRPr="005C55A0">
        <w:rPr>
          <w:i/>
        </w:rPr>
        <w:t>M</w:t>
      </w:r>
      <w:r w:rsidRPr="005C55A0">
        <w:t>[</w:t>
      </w:r>
      <w:proofErr w:type="gramEnd"/>
      <w:r w:rsidRPr="005C55A0">
        <w:rPr>
          <w:i/>
        </w:rPr>
        <w:t xml:space="preserve">t </w:t>
      </w:r>
      <w:r w:rsidRPr="005C55A0">
        <w:sym w:font="Symbol" w:char="F03E"/>
      </w:r>
      <w:r w:rsidRPr="005C55A0">
        <w:t xml:space="preserve">. An enabled transition </w:t>
      </w:r>
      <w:r w:rsidRPr="005C55A0">
        <w:rPr>
          <w:i/>
        </w:rPr>
        <w:t>t</w:t>
      </w:r>
      <w:r w:rsidRPr="005C55A0">
        <w:t xml:space="preserve"> can be </w:t>
      </w:r>
      <w:r w:rsidRPr="005C55A0">
        <w:rPr>
          <w:i/>
        </w:rPr>
        <w:t>fired</w:t>
      </w:r>
      <w:r w:rsidRPr="005C55A0">
        <w:t xml:space="preserve"> at </w:t>
      </w:r>
      <w:r w:rsidRPr="005C55A0">
        <w:rPr>
          <w:i/>
        </w:rPr>
        <w:t>M</w:t>
      </w:r>
      <w:r w:rsidRPr="005C55A0">
        <w:t xml:space="preserve">. We let the marking </w:t>
      </w:r>
      <w:r w:rsidRPr="005C55A0">
        <w:rPr>
          <w:i/>
        </w:rPr>
        <w:t>M</w:t>
      </w:r>
      <w:r w:rsidRPr="005C55A0">
        <w:sym w:font="Symbol" w:char="F0A2"/>
      </w:r>
      <w:r w:rsidRPr="005C55A0">
        <w:rPr>
          <w:i/>
        </w:rPr>
        <w:t xml:space="preserve"> </w:t>
      </w:r>
      <w:r w:rsidRPr="005C55A0">
        <w:t>be the new state of Petri net</w:t>
      </w:r>
      <w:r w:rsidRPr="005C55A0">
        <w:rPr>
          <w:b/>
          <w:i/>
        </w:rPr>
        <w:t xml:space="preserve"> </w:t>
      </w:r>
      <w:r w:rsidRPr="005C55A0">
        <w:rPr>
          <w:i/>
        </w:rPr>
        <w:t>N</w:t>
      </w:r>
      <w:r w:rsidRPr="005C55A0">
        <w:t xml:space="preserve"> after</w:t>
      </w:r>
      <w:r w:rsidRPr="005C55A0">
        <w:rPr>
          <w:i/>
        </w:rPr>
        <w:t xml:space="preserve"> t </w:t>
      </w:r>
      <w:r w:rsidRPr="005C55A0">
        <w:t xml:space="preserve">fired and is denoted by </w:t>
      </w:r>
      <w:proofErr w:type="gramStart"/>
      <w:r w:rsidRPr="005C55A0">
        <w:rPr>
          <w:i/>
        </w:rPr>
        <w:t>M</w:t>
      </w:r>
      <w:r w:rsidRPr="005C55A0">
        <w:t>[</w:t>
      </w:r>
      <w:proofErr w:type="gramEnd"/>
      <w:r w:rsidRPr="005C55A0">
        <w:rPr>
          <w:i/>
        </w:rPr>
        <w:t xml:space="preserve">t </w:t>
      </w:r>
      <w:r w:rsidRPr="005C55A0">
        <w:sym w:font="Symbol" w:char="F03E"/>
      </w:r>
      <w:r w:rsidRPr="005C55A0">
        <w:rPr>
          <w:i/>
        </w:rPr>
        <w:t>M</w:t>
      </w:r>
      <w:r w:rsidRPr="005C55A0">
        <w:sym w:font="Symbol" w:char="F0A2"/>
      </w:r>
      <w:r w:rsidRPr="005C55A0">
        <w:t xml:space="preserve">. The change in tokens in place </w:t>
      </w:r>
      <w:r w:rsidRPr="005C55A0">
        <w:rPr>
          <w:i/>
        </w:rPr>
        <w:t>p</w:t>
      </w:r>
      <w:r w:rsidRPr="005C55A0">
        <w:t xml:space="preserve"> can be divided into three cases: for </w:t>
      </w:r>
      <w:r w:rsidRPr="005C55A0">
        <w:sym w:font="Symbol" w:char="F022"/>
      </w:r>
      <w:r w:rsidRPr="005C55A0">
        <w:rPr>
          <w:i/>
        </w:rPr>
        <w:t>p</w:t>
      </w:r>
      <w:r w:rsidRPr="005C55A0">
        <w:sym w:font="Symbol" w:char="F0CE"/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>t\ t</w:t>
      </w:r>
      <w:r w:rsidRPr="005C55A0">
        <w:rPr>
          <w:vertAlign w:val="superscript"/>
        </w:rPr>
        <w:sym w:font="Symbol" w:char="F0B7"/>
      </w:r>
      <w:r w:rsidRPr="005C55A0">
        <w:t xml:space="preserve">, </w:t>
      </w:r>
      <w:r w:rsidRPr="005C55A0">
        <w:rPr>
          <w:i/>
        </w:rPr>
        <w:t>M</w:t>
      </w:r>
      <w:r w:rsidRPr="005C55A0">
        <w:sym w:font="Symbol" w:char="F0A2"/>
      </w:r>
      <w:r w:rsidRPr="005C55A0">
        <w:t>(</w:t>
      </w:r>
      <w:r w:rsidRPr="005C55A0">
        <w:rPr>
          <w:i/>
        </w:rPr>
        <w:t>p</w:t>
      </w:r>
      <w:r w:rsidRPr="005C55A0">
        <w:t>) =</w:t>
      </w:r>
      <w:r w:rsidRPr="005C55A0">
        <w:rPr>
          <w:i/>
        </w:rPr>
        <w:t xml:space="preserve"> M</w:t>
      </w:r>
      <w:r w:rsidRPr="005C55A0">
        <w:t>(</w:t>
      </w:r>
      <w:r w:rsidRPr="005C55A0">
        <w:rPr>
          <w:i/>
        </w:rPr>
        <w:t>p</w:t>
      </w:r>
      <w:r w:rsidRPr="005C55A0">
        <w:t>)</w:t>
      </w:r>
      <w:r w:rsidRPr="005C55A0">
        <w:sym w:font="Symbol" w:char="F020"/>
      </w:r>
      <w:r w:rsidRPr="005C55A0">
        <w:sym w:font="Symbol" w:char="F02D"/>
      </w:r>
      <w:r w:rsidRPr="005C55A0">
        <w:t xml:space="preserve">1; for </w:t>
      </w:r>
      <w:r w:rsidRPr="005C55A0">
        <w:sym w:font="Symbol" w:char="F022"/>
      </w:r>
      <w:r w:rsidRPr="005C55A0">
        <w:rPr>
          <w:i/>
        </w:rPr>
        <w:t>p</w:t>
      </w:r>
      <w:r w:rsidRPr="005C55A0">
        <w:sym w:font="Symbol" w:char="F0CE"/>
      </w:r>
      <w:r w:rsidRPr="005C55A0">
        <w:rPr>
          <w:i/>
        </w:rPr>
        <w:t>t</w:t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 xml:space="preserve">\ </w:t>
      </w:r>
      <w:r w:rsidRPr="005C55A0">
        <w:rPr>
          <w:vertAlign w:val="superscript"/>
        </w:rPr>
        <w:sym w:font="Symbol" w:char="F0B7"/>
      </w:r>
      <w:r w:rsidRPr="005C55A0">
        <w:rPr>
          <w:i/>
        </w:rPr>
        <w:t>t</w:t>
      </w:r>
      <w:r w:rsidRPr="005C55A0">
        <w:t xml:space="preserve">, </w:t>
      </w:r>
      <w:r w:rsidRPr="005C55A0">
        <w:rPr>
          <w:i/>
        </w:rPr>
        <w:t>M</w:t>
      </w:r>
      <w:r w:rsidRPr="005C55A0">
        <w:sym w:font="Symbol" w:char="F0A2"/>
      </w:r>
      <w:r w:rsidRPr="005C55A0">
        <w:t>(</w:t>
      </w:r>
      <w:r w:rsidRPr="005C55A0">
        <w:rPr>
          <w:i/>
        </w:rPr>
        <w:t>p</w:t>
      </w:r>
      <w:r w:rsidRPr="005C55A0">
        <w:t>) =</w:t>
      </w:r>
      <w:r w:rsidRPr="005C55A0">
        <w:rPr>
          <w:i/>
        </w:rPr>
        <w:t xml:space="preserve"> M</w:t>
      </w:r>
      <w:r w:rsidRPr="005C55A0">
        <w:t>(</w:t>
      </w:r>
      <w:r w:rsidRPr="005C55A0">
        <w:rPr>
          <w:i/>
        </w:rPr>
        <w:t>p</w:t>
      </w:r>
      <w:r w:rsidRPr="005C55A0">
        <w:t xml:space="preserve">) + 1; otherwise, </w:t>
      </w:r>
      <w:r w:rsidRPr="005C55A0">
        <w:rPr>
          <w:i/>
        </w:rPr>
        <w:t>M</w:t>
      </w:r>
      <w:r w:rsidRPr="005C55A0">
        <w:sym w:font="Symbol" w:char="F0A2"/>
      </w:r>
      <w:r w:rsidRPr="005C55A0">
        <w:t>(</w:t>
      </w:r>
      <w:r w:rsidRPr="005C55A0">
        <w:rPr>
          <w:i/>
        </w:rPr>
        <w:t>p</w:t>
      </w:r>
      <w:r w:rsidRPr="005C55A0">
        <w:t xml:space="preserve">) = </w:t>
      </w:r>
      <w:r w:rsidRPr="005C55A0">
        <w:rPr>
          <w:i/>
        </w:rPr>
        <w:t>M</w:t>
      </w:r>
      <w:r w:rsidRPr="005C55A0">
        <w:t>(</w:t>
      </w:r>
      <w:r w:rsidRPr="005C55A0">
        <w:rPr>
          <w:i/>
        </w:rPr>
        <w:t>p</w:t>
      </w:r>
      <w:r w:rsidRPr="005C55A0">
        <w:t xml:space="preserve">). A sequence of transitions α = </w:t>
      </w:r>
      <w:r w:rsidRPr="005C55A0">
        <w:rPr>
          <w:i/>
        </w:rPr>
        <w:t>t</w:t>
      </w:r>
      <w:r w:rsidRPr="005C55A0">
        <w:rPr>
          <w:vertAlign w:val="subscript"/>
        </w:rPr>
        <w:t>1</w:t>
      </w:r>
      <w:r w:rsidRPr="005C55A0">
        <w:rPr>
          <w:i/>
        </w:rPr>
        <w:t>t</w:t>
      </w:r>
      <w:r w:rsidRPr="005C55A0">
        <w:rPr>
          <w:vertAlign w:val="subscript"/>
        </w:rPr>
        <w:t>2…</w:t>
      </w:r>
      <w:proofErr w:type="spellStart"/>
      <w:r w:rsidRPr="005C55A0">
        <w:rPr>
          <w:i/>
        </w:rPr>
        <w:t>t</w:t>
      </w:r>
      <w:r w:rsidRPr="005C55A0">
        <w:rPr>
          <w:i/>
          <w:vertAlign w:val="subscript"/>
        </w:rPr>
        <w:t>k</w:t>
      </w:r>
      <w:proofErr w:type="spellEnd"/>
      <w:r w:rsidRPr="005C55A0">
        <w:t xml:space="preserve"> is </w:t>
      </w:r>
      <w:r w:rsidRPr="005C55A0">
        <w:rPr>
          <w:i/>
        </w:rPr>
        <w:t>feasible</w:t>
      </w:r>
      <w:r w:rsidRPr="005C55A0">
        <w:t xml:space="preserve"> at marking </w:t>
      </w:r>
      <w:r w:rsidRPr="005C55A0">
        <w:rPr>
          <w:i/>
        </w:rPr>
        <w:t>M</w:t>
      </w:r>
      <w:r w:rsidRPr="005C55A0">
        <w:t xml:space="preserve"> if there exists </w:t>
      </w:r>
      <w:r w:rsidRPr="005C55A0">
        <w:rPr>
          <w:i/>
        </w:rPr>
        <w:t>M</w:t>
      </w:r>
      <w:r w:rsidRPr="005C55A0">
        <w:rPr>
          <w:i/>
          <w:vertAlign w:val="subscript"/>
        </w:rPr>
        <w:t>i</w:t>
      </w:r>
      <w:r w:rsidRPr="005C55A0">
        <w:t xml:space="preserve"> [</w:t>
      </w:r>
      <w:proofErr w:type="spellStart"/>
      <w:r w:rsidRPr="005C55A0">
        <w:rPr>
          <w:i/>
        </w:rPr>
        <w:t>t</w:t>
      </w:r>
      <w:r w:rsidRPr="005C55A0">
        <w:rPr>
          <w:i/>
          <w:vertAlign w:val="subscript"/>
        </w:rPr>
        <w:t>i</w:t>
      </w:r>
      <w:proofErr w:type="spellEnd"/>
      <w:r w:rsidRPr="005C55A0">
        <w:t>&gt;</w:t>
      </w:r>
      <w:r w:rsidRPr="005C55A0">
        <w:rPr>
          <w:i/>
        </w:rPr>
        <w:t>M</w:t>
      </w:r>
      <w:r w:rsidRPr="005C55A0">
        <w:rPr>
          <w:i/>
          <w:vertAlign w:val="subscript"/>
        </w:rPr>
        <w:t>i+1</w:t>
      </w:r>
      <w:r w:rsidRPr="005C55A0">
        <w:t xml:space="preserve">, </w:t>
      </w:r>
      <w:proofErr w:type="spellStart"/>
      <w:r w:rsidRPr="005C55A0">
        <w:rPr>
          <w:i/>
        </w:rPr>
        <w:t>i</w:t>
      </w:r>
      <w:proofErr w:type="spellEnd"/>
      <w:r w:rsidRPr="005C55A0">
        <w:rPr>
          <w:i/>
        </w:rPr>
        <w:t xml:space="preserve"> </w:t>
      </w:r>
      <w:r w:rsidRPr="005C55A0">
        <w:t xml:space="preserve">= 1, 2, …, </w:t>
      </w:r>
      <w:r w:rsidRPr="005C55A0">
        <w:rPr>
          <w:i/>
        </w:rPr>
        <w:t>k</w:t>
      </w:r>
      <w:r w:rsidRPr="005C55A0">
        <w:t xml:space="preserve">, where </w:t>
      </w:r>
      <w:r w:rsidRPr="005C55A0">
        <w:rPr>
          <w:i/>
        </w:rPr>
        <w:t>M</w:t>
      </w:r>
      <w:r w:rsidRPr="005C55A0">
        <w:rPr>
          <w:vertAlign w:val="subscript"/>
        </w:rPr>
        <w:t xml:space="preserve">1 </w:t>
      </w:r>
      <w:r w:rsidRPr="005C55A0">
        <w:t>=</w:t>
      </w:r>
      <w:r w:rsidRPr="005C55A0">
        <w:rPr>
          <w:i/>
        </w:rPr>
        <w:t xml:space="preserve"> M.</w:t>
      </w:r>
    </w:p>
    <w:p w14:paraId="540CA72B" w14:textId="00330E50" w:rsidR="00E33069" w:rsidRPr="006003BE" w:rsidRDefault="00E33069" w:rsidP="00E33069">
      <w:pPr>
        <w:pStyle w:val="1"/>
        <w:spacing w:before="156" w:after="156"/>
        <w:ind w:firstLineChars="0" w:firstLine="0"/>
        <w:rPr>
          <w:rFonts w:hint="eastAsia"/>
          <w:sz w:val="28"/>
        </w:rPr>
      </w:pPr>
      <w:bookmarkStart w:id="11" w:name="_Hlk115963460"/>
      <w:bookmarkStart w:id="12" w:name="_GoBack"/>
      <w:r w:rsidRPr="006003BE">
        <w:rPr>
          <w:sz w:val="28"/>
        </w:rPr>
        <w:t>REFERENCES</w:t>
      </w:r>
      <w:bookmarkEnd w:id="11"/>
    </w:p>
    <w:bookmarkEnd w:id="10"/>
    <w:bookmarkEnd w:id="12"/>
    <w:p w14:paraId="456D14C6" w14:textId="77777777" w:rsidR="00E33069" w:rsidRPr="005C55A0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cs="Times New Roman"/>
          <w:sz w:val="20"/>
          <w:szCs w:val="20"/>
        </w:rPr>
      </w:pPr>
      <w:r w:rsidRPr="005C55A0">
        <w:rPr>
          <w:rFonts w:cs="Times New Roman"/>
          <w:sz w:val="20"/>
          <w:szCs w:val="20"/>
        </w:rPr>
        <w:t xml:space="preserve">S. </w:t>
      </w:r>
      <w:proofErr w:type="spellStart"/>
      <w:proofErr w:type="gramStart"/>
      <w:r w:rsidRPr="005C55A0">
        <w:rPr>
          <w:rFonts w:cs="Times New Roman"/>
          <w:sz w:val="20"/>
          <w:szCs w:val="20"/>
        </w:rPr>
        <w:t>R.Vadali</w:t>
      </w:r>
      <w:proofErr w:type="spellEnd"/>
      <w:proofErr w:type="gramEnd"/>
      <w:r w:rsidRPr="005C55A0">
        <w:rPr>
          <w:rFonts w:cs="Times New Roman"/>
          <w:sz w:val="20"/>
          <w:szCs w:val="20"/>
        </w:rPr>
        <w:t xml:space="preserve">, “An analytical solution for relative motion of satellites,” in </w:t>
      </w:r>
      <w:r w:rsidRPr="005C55A0">
        <w:rPr>
          <w:rFonts w:cs="Times New Roman"/>
          <w:i/>
          <w:iCs/>
          <w:sz w:val="20"/>
          <w:szCs w:val="20"/>
        </w:rPr>
        <w:t xml:space="preserve">Proceedings of the Fifth </w:t>
      </w:r>
      <w:r w:rsidRPr="005C55A0">
        <w:rPr>
          <w:rFonts w:cs="Times New Roman"/>
          <w:i/>
          <w:iCs/>
          <w:sz w:val="20"/>
          <w:szCs w:val="20"/>
        </w:rPr>
        <w:lastRenderedPageBreak/>
        <w:t>International Conference on Dynamics and Control of Structures and Systems in Space</w:t>
      </w:r>
      <w:r w:rsidRPr="005C55A0">
        <w:rPr>
          <w:rFonts w:cs="Times New Roman"/>
          <w:sz w:val="20"/>
          <w:szCs w:val="20"/>
        </w:rPr>
        <w:t>, pp. 1-8, July 2002.</w:t>
      </w:r>
    </w:p>
    <w:p w14:paraId="04C2DA7B" w14:textId="77777777" w:rsidR="00E33069" w:rsidRPr="005C55A0" w:rsidRDefault="00E33069" w:rsidP="00E33069">
      <w:pPr>
        <w:pStyle w:val="a8"/>
        <w:numPr>
          <w:ilvl w:val="0"/>
          <w:numId w:val="3"/>
        </w:numPr>
        <w:snapToGrid w:val="0"/>
        <w:spacing w:before="156" w:after="156" w:line="240" w:lineRule="auto"/>
        <w:ind w:firstLineChars="0"/>
        <w:rPr>
          <w:rFonts w:cs="Times New Roman"/>
          <w:sz w:val="20"/>
          <w:szCs w:val="20"/>
        </w:rPr>
      </w:pPr>
      <w:r w:rsidRPr="005C55A0">
        <w:rPr>
          <w:rFonts w:cs="Times New Roman"/>
          <w:sz w:val="20"/>
          <w:szCs w:val="20"/>
        </w:rPr>
        <w:t xml:space="preserve">B. </w:t>
      </w:r>
      <w:proofErr w:type="spellStart"/>
      <w:r w:rsidRPr="005C55A0">
        <w:rPr>
          <w:rFonts w:cs="Times New Roman"/>
          <w:sz w:val="20"/>
          <w:szCs w:val="20"/>
        </w:rPr>
        <w:t>Maruddani</w:t>
      </w:r>
      <w:proofErr w:type="spellEnd"/>
      <w:r w:rsidRPr="005C55A0">
        <w:rPr>
          <w:rFonts w:cs="Times New Roman"/>
          <w:sz w:val="20"/>
          <w:szCs w:val="20"/>
        </w:rPr>
        <w:t xml:space="preserve">, and W. Dara, “Ka-Band Satellite Link Budget for Broadband Application in Tropical Area,” </w:t>
      </w:r>
      <w:r w:rsidRPr="005C55A0">
        <w:rPr>
          <w:rFonts w:cs="Times New Roman"/>
          <w:i/>
          <w:iCs/>
          <w:sz w:val="20"/>
          <w:szCs w:val="20"/>
        </w:rPr>
        <w:t xml:space="preserve">J. </w:t>
      </w:r>
      <w:proofErr w:type="spellStart"/>
      <w:r w:rsidRPr="005C55A0">
        <w:rPr>
          <w:rFonts w:cs="Times New Roman"/>
          <w:i/>
          <w:iCs/>
          <w:sz w:val="20"/>
          <w:szCs w:val="20"/>
        </w:rPr>
        <w:t>Commun</w:t>
      </w:r>
      <w:proofErr w:type="spellEnd"/>
      <w:r w:rsidRPr="005C55A0">
        <w:rPr>
          <w:rFonts w:cs="Times New Roman"/>
          <w:i/>
          <w:iCs/>
          <w:sz w:val="20"/>
          <w:szCs w:val="20"/>
        </w:rPr>
        <w:t>.</w:t>
      </w:r>
      <w:r w:rsidRPr="005C55A0">
        <w:rPr>
          <w:rFonts w:cs="Times New Roman"/>
          <w:sz w:val="20"/>
          <w:szCs w:val="20"/>
        </w:rPr>
        <w:t xml:space="preserve">, vol. </w:t>
      </w:r>
      <w:r w:rsidRPr="005C55A0">
        <w:rPr>
          <w:rFonts w:cs="Times New Roman"/>
          <w:iCs/>
          <w:sz w:val="20"/>
          <w:szCs w:val="20"/>
        </w:rPr>
        <w:t>14</w:t>
      </w:r>
      <w:r w:rsidRPr="005C55A0">
        <w:rPr>
          <w:rFonts w:cs="Times New Roman"/>
          <w:sz w:val="20"/>
          <w:szCs w:val="20"/>
        </w:rPr>
        <w:t>, no. 7, pp. 622-628, 2019.</w:t>
      </w:r>
    </w:p>
    <w:p w14:paraId="7B8AE3E2" w14:textId="77777777" w:rsidR="0055555F" w:rsidRPr="00E33069" w:rsidRDefault="0055555F" w:rsidP="00E33069">
      <w:pPr>
        <w:spacing w:before="156" w:after="156"/>
        <w:ind w:firstLineChars="0" w:firstLine="0"/>
        <w:rPr>
          <w:rFonts w:eastAsiaTheme="minorEastAsia" w:hint="eastAsia"/>
        </w:rPr>
      </w:pPr>
    </w:p>
    <w:sectPr w:rsidR="0055555F" w:rsidRPr="00E3306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5FCC67" w14:textId="77777777" w:rsidR="006048E8" w:rsidRDefault="006048E8" w:rsidP="006C281C">
      <w:pPr>
        <w:spacing w:before="120" w:after="120" w:line="240" w:lineRule="auto"/>
        <w:ind w:firstLine="480"/>
      </w:pPr>
      <w:r>
        <w:separator/>
      </w:r>
    </w:p>
  </w:endnote>
  <w:endnote w:type="continuationSeparator" w:id="0">
    <w:p w14:paraId="7D626282" w14:textId="77777777" w:rsidR="006048E8" w:rsidRDefault="006048E8" w:rsidP="006C281C">
      <w:pPr>
        <w:spacing w:before="120" w:after="12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nux Libertine">
    <w:altName w:val="Times New Roman"/>
    <w:charset w:val="00"/>
    <w:family w:val="auto"/>
    <w:pitch w:val="variable"/>
    <w:sig w:usb0="E0000AFF" w:usb1="5200E5FB" w:usb2="0200002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CFAF" w14:textId="77777777" w:rsidR="00E33069" w:rsidRDefault="00E33069">
    <w:pPr>
      <w:pStyle w:val="a5"/>
      <w:spacing w:before="120" w:after="12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9F9C7" w14:textId="77777777" w:rsidR="00E33069" w:rsidRDefault="00E33069">
    <w:pPr>
      <w:pStyle w:val="a5"/>
      <w:spacing w:before="120" w:after="12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CAFA0F" w14:textId="77777777" w:rsidR="00E33069" w:rsidRDefault="00E33069">
    <w:pPr>
      <w:pStyle w:val="a5"/>
      <w:spacing w:before="120" w:after="12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9F5DE7" w14:textId="77777777" w:rsidR="006048E8" w:rsidRDefault="006048E8" w:rsidP="006C281C">
      <w:pPr>
        <w:spacing w:before="120" w:after="120" w:line="240" w:lineRule="auto"/>
        <w:ind w:firstLine="480"/>
      </w:pPr>
      <w:r>
        <w:separator/>
      </w:r>
    </w:p>
  </w:footnote>
  <w:footnote w:type="continuationSeparator" w:id="0">
    <w:p w14:paraId="3CCFD02D" w14:textId="77777777" w:rsidR="006048E8" w:rsidRDefault="006048E8" w:rsidP="006C281C">
      <w:pPr>
        <w:spacing w:before="120" w:after="12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C42902" w14:textId="77777777" w:rsidR="00E33069" w:rsidRDefault="00E33069">
    <w:pPr>
      <w:pStyle w:val="a3"/>
      <w:spacing w:before="120" w:after="12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2EF974" w14:textId="77777777" w:rsidR="00E33069" w:rsidRDefault="00E33069">
    <w:pPr>
      <w:pStyle w:val="a3"/>
      <w:spacing w:before="120" w:after="12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CC8D9" w14:textId="77777777" w:rsidR="00E33069" w:rsidRDefault="00E33069">
    <w:pPr>
      <w:pStyle w:val="a3"/>
      <w:spacing w:before="120" w:after="12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A95949"/>
    <w:multiLevelType w:val="hybridMultilevel"/>
    <w:tmpl w:val="267251D4"/>
    <w:lvl w:ilvl="0" w:tplc="92101E5A">
      <w:start w:val="1"/>
      <w:numFmt w:val="decimal"/>
      <w:lvlText w:val="[%1]"/>
      <w:lvlJc w:val="left"/>
      <w:pPr>
        <w:ind w:left="420" w:hanging="420"/>
      </w:pPr>
      <w:rPr>
        <w:rFonts w:hint="eastAsia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78517B"/>
    <w:multiLevelType w:val="hybridMultilevel"/>
    <w:tmpl w:val="454A87C4"/>
    <w:lvl w:ilvl="0" w:tplc="5D3E8FA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F1E1BBC"/>
    <w:multiLevelType w:val="hybridMultilevel"/>
    <w:tmpl w:val="81CABD94"/>
    <w:lvl w:ilvl="0" w:tplc="CD4C77E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5F"/>
    <w:rsid w:val="00106367"/>
    <w:rsid w:val="001E4591"/>
    <w:rsid w:val="002E60D1"/>
    <w:rsid w:val="004B17DA"/>
    <w:rsid w:val="0055555F"/>
    <w:rsid w:val="00584E34"/>
    <w:rsid w:val="006003BE"/>
    <w:rsid w:val="006048E8"/>
    <w:rsid w:val="006066CD"/>
    <w:rsid w:val="006173E9"/>
    <w:rsid w:val="006C281C"/>
    <w:rsid w:val="00820757"/>
    <w:rsid w:val="009B2361"/>
    <w:rsid w:val="00AF35ED"/>
    <w:rsid w:val="00B973C3"/>
    <w:rsid w:val="00DB1E48"/>
    <w:rsid w:val="00E33069"/>
    <w:rsid w:val="00FA670F"/>
    <w:rsid w:val="00FB67A5"/>
    <w:rsid w:val="00FE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F317BA"/>
  <w15:chartTrackingRefBased/>
  <w15:docId w15:val="{F8B8B1E6-E771-4560-BBDA-2FDD1C51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C281C"/>
    <w:pPr>
      <w:widowControl w:val="0"/>
      <w:spacing w:beforeLines="50" w:before="50" w:afterLines="50" w:after="50" w:line="245" w:lineRule="auto"/>
      <w:ind w:firstLineChars="200" w:firstLine="200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330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E2873"/>
    <w:pPr>
      <w:keepNext/>
      <w:keepLines/>
      <w:spacing w:line="415" w:lineRule="auto"/>
      <w:ind w:firstLineChars="0" w:firstLine="0"/>
      <w:outlineLvl w:val="1"/>
    </w:pPr>
    <w:rPr>
      <w:rFonts w:eastAsiaTheme="majorEastAsia" w:cstheme="majorBidi"/>
      <w:bCs/>
      <w:i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28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28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28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281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E2873"/>
    <w:rPr>
      <w:rFonts w:ascii="Times New Roman" w:eastAsiaTheme="majorEastAsia" w:hAnsi="Times New Roman" w:cstheme="majorBidi"/>
      <w:bCs/>
      <w:i/>
      <w:sz w:val="28"/>
      <w:szCs w:val="32"/>
    </w:rPr>
  </w:style>
  <w:style w:type="paragraph" w:customStyle="1" w:styleId="MTDisplayEquation">
    <w:name w:val="MTDisplayEquation"/>
    <w:basedOn w:val="a"/>
    <w:next w:val="a"/>
    <w:link w:val="MTDisplayEquation0"/>
    <w:rsid w:val="00FE2873"/>
    <w:pPr>
      <w:tabs>
        <w:tab w:val="center" w:pos="4160"/>
        <w:tab w:val="right" w:pos="8300"/>
      </w:tabs>
      <w:spacing w:beforeLines="0" w:before="0" w:afterLines="0" w:after="0" w:line="240" w:lineRule="auto"/>
      <w:ind w:firstLineChars="0" w:firstLine="360"/>
    </w:pPr>
    <w:rPr>
      <w:rFonts w:eastAsia="宋体" w:cs="Times New Roman"/>
    </w:rPr>
  </w:style>
  <w:style w:type="character" w:customStyle="1" w:styleId="MTDisplayEquation0">
    <w:name w:val="MTDisplayEquation 字符"/>
    <w:basedOn w:val="a0"/>
    <w:link w:val="MTDisplayEquation"/>
    <w:rsid w:val="00FE2873"/>
    <w:rPr>
      <w:rFonts w:ascii="Times New Roman" w:eastAsia="宋体" w:hAnsi="Times New Roman" w:cs="Times New Roman"/>
      <w:sz w:val="24"/>
    </w:rPr>
  </w:style>
  <w:style w:type="table" w:styleId="a7">
    <w:name w:val="Table Grid"/>
    <w:basedOn w:val="a1"/>
    <w:uiPriority w:val="39"/>
    <w:rsid w:val="00FE28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link w:val="Para0"/>
    <w:autoRedefine/>
    <w:qFormat/>
    <w:rsid w:val="00FE2873"/>
    <w:pPr>
      <w:snapToGrid w:val="0"/>
      <w:jc w:val="both"/>
    </w:pPr>
    <w:rPr>
      <w:rFonts w:ascii="Times New Roman" w:hAnsi="Times New Roman" w:cs="Linux Libertine"/>
      <w:kern w:val="0"/>
      <w:sz w:val="20"/>
      <w:szCs w:val="20"/>
      <w:lang w:eastAsia="en-US"/>
    </w:rPr>
  </w:style>
  <w:style w:type="character" w:customStyle="1" w:styleId="Para0">
    <w:name w:val="Para 字符"/>
    <w:basedOn w:val="a0"/>
    <w:link w:val="Para"/>
    <w:rsid w:val="00FE2873"/>
    <w:rPr>
      <w:rFonts w:ascii="Times New Roman" w:hAnsi="Times New Roman" w:cs="Linux Libertine"/>
      <w:kern w:val="0"/>
      <w:sz w:val="20"/>
      <w:szCs w:val="20"/>
      <w:lang w:eastAsia="en-US"/>
    </w:rPr>
  </w:style>
  <w:style w:type="paragraph" w:styleId="a8">
    <w:name w:val="List Paragraph"/>
    <w:basedOn w:val="a"/>
    <w:uiPriority w:val="34"/>
    <w:qFormat/>
    <w:rsid w:val="00E33069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E33069"/>
    <w:rPr>
      <w:rFonts w:ascii="Times New Roman" w:eastAsia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footer" Target="footer3.xml"/><Relationship Id="rId21" Type="http://schemas.openxmlformats.org/officeDocument/2006/relationships/oleObject" Target="embeddings/oleObject7.bin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1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footer" Target="footer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header" Target="header2.xml"/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722</Words>
  <Characters>4122</Characters>
  <Application>Microsoft Office Word</Application>
  <DocSecurity>0</DocSecurity>
  <Lines>34</Lines>
  <Paragraphs>9</Paragraphs>
  <ScaleCrop>false</ScaleCrop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22</cp:revision>
  <dcterms:created xsi:type="dcterms:W3CDTF">2022-11-01T15:42:00Z</dcterms:created>
  <dcterms:modified xsi:type="dcterms:W3CDTF">2022-11-01T15:59:00Z</dcterms:modified>
</cp:coreProperties>
</file>