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C947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6C431B">
      <w:pPr>
        <w:pStyle w:val="2"/>
        <w:keepNext w:val="0"/>
        <w:keepLines w:val="0"/>
        <w:widowControl/>
        <w:suppressLineNumbers w:val="0"/>
      </w:pPr>
      <w:r>
        <w:t>Leveraging LLaMA for LocalGPT: Technical Insights for Efficient Local Language Model Deployment</w:t>
      </w:r>
    </w:p>
    <w:p w14:paraId="42618DAF">
      <w:pPr>
        <w:pStyle w:val="3"/>
        <w:keepNext w:val="0"/>
        <w:keepLines w:val="0"/>
        <w:widowControl/>
        <w:suppressLineNumbers w:val="0"/>
      </w:pPr>
      <w:r>
        <w:t>Abstract</w:t>
      </w:r>
    </w:p>
    <w:p w14:paraId="7B55B80C">
      <w:pPr>
        <w:pStyle w:val="12"/>
        <w:keepNext w:val="0"/>
        <w:keepLines w:val="0"/>
        <w:widowControl/>
        <w:suppressLineNumbers w:val="0"/>
      </w:pPr>
      <w:r>
        <w:t>LocalGPT frameworks enable the deployment of large language models (LLMs) entirely on user devices, facilitating privacy-preserving, offline, and personalized AI interactions. Meta’s LLaMA model, with its efficient transformer architecture and adaptability to quantization, is a popular choice for these scenarios. This paper presents a comprehensive technical overview of LLaMA’s usage within LocalGPT, including model architecture, quantization and compression techniques, integration with retrieval-augmented generation (RAG) pipelines, inference optimization, and hardware considerations. Challenges and future directions are also discussed.</w:t>
      </w:r>
    </w:p>
    <w:p w14:paraId="667DFCFC">
      <w:pPr>
        <w:pStyle w:val="3"/>
        <w:keepNext w:val="0"/>
        <w:keepLines w:val="0"/>
        <w:widowControl/>
        <w:suppressLineNumbers w:val="0"/>
      </w:pPr>
      <w:r>
        <w:t>Keywords</w:t>
      </w:r>
    </w:p>
    <w:p w14:paraId="3041DEDF">
      <w:pPr>
        <w:pStyle w:val="12"/>
        <w:keepNext w:val="0"/>
        <w:keepLines w:val="0"/>
        <w:widowControl/>
        <w:suppressLineNumbers w:val="0"/>
      </w:pPr>
      <w:r>
        <w:t>LLaMA, LocalGPT, Quantization, Transformer, Retrieval-Augmented Generation, On-Device Inference, Privacy, Model Compression</w:t>
      </w:r>
    </w:p>
    <w:p w14:paraId="4307FEA1">
      <w:pPr>
        <w:pStyle w:val="3"/>
        <w:keepNext w:val="0"/>
        <w:keepLines w:val="0"/>
        <w:widowControl/>
        <w:suppressLineNumbers w:val="0"/>
      </w:pPr>
      <w:r>
        <w:t>1. Introduction</w:t>
      </w:r>
    </w:p>
    <w:p w14:paraId="4B4C2852">
      <w:pPr>
        <w:pStyle w:val="12"/>
        <w:keepNext w:val="0"/>
        <w:keepLines w:val="0"/>
        <w:widowControl/>
        <w:suppressLineNumbers w:val="0"/>
      </w:pPr>
      <w:r>
        <w:t>The rise of large language models has revolutionized natural language processing (NLP), but their resource demands and privacy concerns limit widespread cloud-based deployment. LocalGPT addresses these challenges by enabling local inference using models like Meta AI’s LLaMA [1]. This approach allows for enhanced data privacy, reduced latency, and greater customization.</w:t>
      </w:r>
    </w:p>
    <w:p w14:paraId="684963C3">
      <w:pPr>
        <w:pStyle w:val="12"/>
        <w:keepNext w:val="0"/>
        <w:keepLines w:val="0"/>
        <w:widowControl/>
        <w:suppressLineNumbers w:val="0"/>
      </w:pPr>
      <w:r>
        <w:t>LLaMA, released in 2023, balances scale and efficiency with parameter counts ranging from 7 billion (7B) to 65 billion (65B). Combined with advanced quantization techniques, LLaMA models can be run on consumer-grade hardware, supporting LocalGPT applications.</w:t>
      </w:r>
    </w:p>
    <w:p w14:paraId="5B29BA17">
      <w:pPr>
        <w:pStyle w:val="3"/>
        <w:keepNext w:val="0"/>
        <w:keepLines w:val="0"/>
        <w:widowControl/>
        <w:suppressLineNumbers w:val="0"/>
      </w:pPr>
      <w:r>
        <w:t>2. LLaMA Model Architecture</w:t>
      </w:r>
    </w:p>
    <w:p w14:paraId="1FD00624">
      <w:pPr>
        <w:pStyle w:val="12"/>
        <w:keepNext w:val="0"/>
        <w:keepLines w:val="0"/>
        <w:widowControl/>
        <w:suppressLineNumbers w:val="0"/>
      </w:pPr>
      <w:r>
        <w:t>LLaMA adopts the decoder-only transformer architecture [2], consisting of:</w:t>
      </w:r>
    </w:p>
    <w:p w14:paraId="099C1E47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Multi-head self-attention layers:</w:t>
      </w:r>
      <w:r>
        <w:t xml:space="preserve"> Allow the model to focus on different parts of the input sequence simultaneously.</w:t>
      </w:r>
    </w:p>
    <w:p w14:paraId="52AF537B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Feed-forward neural networks:</w:t>
      </w:r>
      <w:r>
        <w:t xml:space="preserve"> Provide non-linear transformations and increase model capacity.</w:t>
      </w:r>
    </w:p>
    <w:p w14:paraId="1618CE6C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Rotary positional embeddings (RoPE):</w:t>
      </w:r>
      <w:r>
        <w:t xml:space="preserve"> Encode token positions efficiently, enhancing extrapolation to longer sequences [3].</w:t>
      </w:r>
    </w:p>
    <w:p w14:paraId="69ECE682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Layer normalization and residual connections:</w:t>
      </w:r>
      <w:r>
        <w:t xml:space="preserve"> Improve training stability and gradient flow.</w:t>
      </w:r>
    </w:p>
    <w:p w14:paraId="4C590780">
      <w:pPr>
        <w:pStyle w:val="12"/>
        <w:keepNext w:val="0"/>
        <w:keepLines w:val="0"/>
        <w:widowControl/>
        <w:suppressLineNumbers w:val="0"/>
      </w:pPr>
      <w:r>
        <w:t>The family includes variants such as: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0"/>
        <w:gridCol w:w="1270"/>
        <w:gridCol w:w="1674"/>
        <w:gridCol w:w="4342"/>
      </w:tblGrid>
      <w:tr w14:paraId="4183B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87CC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28DDD1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Parameters</w:t>
            </w:r>
          </w:p>
        </w:tc>
        <w:tc>
          <w:tcPr>
            <w:tcW w:w="0" w:type="auto"/>
            <w:shd w:val="clear"/>
            <w:vAlign w:val="center"/>
          </w:tcPr>
          <w:p w14:paraId="10A044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Context Window</w:t>
            </w:r>
          </w:p>
        </w:tc>
        <w:tc>
          <w:tcPr>
            <w:tcW w:w="0" w:type="auto"/>
            <w:shd w:val="clear"/>
            <w:vAlign w:val="center"/>
          </w:tcPr>
          <w:p w14:paraId="228CB4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Typical Hardware Use</w:t>
            </w:r>
          </w:p>
        </w:tc>
      </w:tr>
      <w:tr w14:paraId="25215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0C5C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LLaMA 7B</w:t>
            </w:r>
          </w:p>
        </w:tc>
        <w:tc>
          <w:tcPr>
            <w:tcW w:w="0" w:type="auto"/>
            <w:shd w:val="clear"/>
            <w:vAlign w:val="center"/>
          </w:tcPr>
          <w:p w14:paraId="4FDFE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 billion</w:t>
            </w:r>
          </w:p>
        </w:tc>
        <w:tc>
          <w:tcPr>
            <w:tcW w:w="0" w:type="auto"/>
            <w:shd w:val="clear"/>
            <w:vAlign w:val="center"/>
          </w:tcPr>
          <w:p w14:paraId="5E2B1B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4096 tokens</w:t>
            </w:r>
          </w:p>
        </w:tc>
        <w:tc>
          <w:tcPr>
            <w:tcW w:w="0" w:type="auto"/>
            <w:shd w:val="clear"/>
            <w:vAlign w:val="center"/>
          </w:tcPr>
          <w:p w14:paraId="6E4A0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Mid-range GPUs, CPUs with quantization</w:t>
            </w:r>
          </w:p>
        </w:tc>
      </w:tr>
      <w:tr w14:paraId="4A126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B93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LLaMA 13B</w:t>
            </w:r>
          </w:p>
        </w:tc>
        <w:tc>
          <w:tcPr>
            <w:tcW w:w="0" w:type="auto"/>
            <w:shd w:val="clear"/>
            <w:vAlign w:val="center"/>
          </w:tcPr>
          <w:p w14:paraId="563CE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 billion</w:t>
            </w:r>
          </w:p>
        </w:tc>
        <w:tc>
          <w:tcPr>
            <w:tcW w:w="0" w:type="auto"/>
            <w:shd w:val="clear"/>
            <w:vAlign w:val="center"/>
          </w:tcPr>
          <w:p w14:paraId="1D0245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4096 tokens</w:t>
            </w:r>
          </w:p>
        </w:tc>
        <w:tc>
          <w:tcPr>
            <w:tcW w:w="0" w:type="auto"/>
            <w:shd w:val="clear"/>
            <w:vAlign w:val="center"/>
          </w:tcPr>
          <w:p w14:paraId="1C414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High-end GPUs</w:t>
            </w:r>
          </w:p>
        </w:tc>
      </w:tr>
      <w:tr w14:paraId="6A38E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E88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LLaMA 65B</w:t>
            </w:r>
          </w:p>
        </w:tc>
        <w:tc>
          <w:tcPr>
            <w:tcW w:w="0" w:type="auto"/>
            <w:shd w:val="clear"/>
            <w:vAlign w:val="center"/>
          </w:tcPr>
          <w:p w14:paraId="1A84C0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65 billion</w:t>
            </w:r>
          </w:p>
        </w:tc>
        <w:tc>
          <w:tcPr>
            <w:tcW w:w="0" w:type="auto"/>
            <w:shd w:val="clear"/>
            <w:vAlign w:val="center"/>
          </w:tcPr>
          <w:p w14:paraId="7106D3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4096 tokens</w:t>
            </w:r>
          </w:p>
        </w:tc>
        <w:tc>
          <w:tcPr>
            <w:tcW w:w="0" w:type="auto"/>
            <w:shd w:val="clear"/>
            <w:vAlign w:val="center"/>
          </w:tcPr>
          <w:p w14:paraId="15A77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Multi-GPU clusters</w:t>
            </w:r>
          </w:p>
        </w:tc>
      </w:tr>
    </w:tbl>
    <w:p w14:paraId="59050782">
      <w:pPr>
        <w:pStyle w:val="3"/>
        <w:keepNext w:val="0"/>
        <w:keepLines w:val="0"/>
        <w:widowControl/>
        <w:suppressLineNumbers w:val="0"/>
      </w:pPr>
      <w:r>
        <w:t>3. Quantization and Model Compression</w:t>
      </w:r>
    </w:p>
    <w:p w14:paraId="3BD7893E">
      <w:pPr>
        <w:pStyle w:val="12"/>
        <w:keepNext w:val="0"/>
        <w:keepLines w:val="0"/>
        <w:widowControl/>
        <w:suppressLineNumbers w:val="0"/>
      </w:pPr>
      <w:r>
        <w:t>Running LLaMA locally requires model compression to reduce memory footprint and compute:</w:t>
      </w:r>
    </w:p>
    <w:p w14:paraId="52D63400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8-bit and 4-bit Quantization:</w:t>
      </w:r>
      <w:r>
        <w:t xml:space="preserve"> Reduces precision of model weights from 16/32-bit floating points to lower bit-width integers, significantly cutting model size and memory bandwidth requirements with minimal accuracy loss [4].</w:t>
      </w:r>
    </w:p>
    <w:p w14:paraId="476B5274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GPTQ (Generalized Post-Training Quantization):</w:t>
      </w:r>
      <w:r>
        <w:t xml:space="preserve"> Uses group-wise quantization to achieve 4-bit compression with low accuracy degradation [5].</w:t>
      </w:r>
    </w:p>
    <w:p w14:paraId="086D6A4C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Runtime Support:</w:t>
      </w:r>
      <w:r>
        <w:t xml:space="preserve"> Libraries like </w:t>
      </w:r>
      <w:r>
        <w:rPr>
          <w:rStyle w:val="10"/>
        </w:rPr>
        <w:t>llama.cpp</w:t>
      </w:r>
      <w:r>
        <w:t xml:space="preserve"> provide CPU-optimized inference for quantized LLaMA models using SIMD instructions (AVX2, AVX512) for speedup [6].</w:t>
      </w:r>
    </w:p>
    <w:p w14:paraId="287E5098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Memory Reduction:</w:t>
      </w:r>
      <w:r>
        <w:t xml:space="preserve"> 4-bit quantization cuts model size roughly by 4×, enabling 7B LLaMA models to run on consumer-grade hardware with 16–32GB RAM.</w:t>
      </w:r>
    </w:p>
    <w:p w14:paraId="2D8521C1">
      <w:pPr>
        <w:pStyle w:val="3"/>
        <w:keepNext w:val="0"/>
        <w:keepLines w:val="0"/>
        <w:widowControl/>
        <w:suppressLineNumbers w:val="0"/>
      </w:pPr>
      <w:r>
        <w:t>4. Integration in LocalGPT Pipelines</w:t>
      </w:r>
    </w:p>
    <w:p w14:paraId="2C659C90">
      <w:pPr>
        <w:pStyle w:val="12"/>
        <w:keepNext w:val="0"/>
        <w:keepLines w:val="0"/>
        <w:widowControl/>
        <w:suppressLineNumbers w:val="0"/>
      </w:pPr>
      <w:r>
        <w:t>LocalGPT enhances LLaMA’s capabilities by combining it with retrieval-augmented generation (RAG) [7]:</w:t>
      </w:r>
    </w:p>
    <w:p w14:paraId="231D4C26">
      <w:pPr>
        <w:pStyle w:val="4"/>
        <w:keepNext w:val="0"/>
        <w:keepLines w:val="0"/>
        <w:widowControl/>
        <w:suppressLineNumbers w:val="0"/>
      </w:pPr>
      <w:r>
        <w:t>4.1 Data Ingestion and Embedding</w:t>
      </w:r>
    </w:p>
    <w:p w14:paraId="6C62BFEE">
      <w:pPr>
        <w:pStyle w:val="12"/>
        <w:keepNext w:val="0"/>
        <w:keepLines w:val="0"/>
        <w:widowControl/>
        <w:suppressLineNumbers w:val="0"/>
        <w:ind w:left="720"/>
      </w:pPr>
      <w:r>
        <w:t>User documents are parsed, cleaned, and chunked.</w:t>
      </w:r>
    </w:p>
    <w:p w14:paraId="17D26E44">
      <w:pPr>
        <w:pStyle w:val="12"/>
        <w:keepNext w:val="0"/>
        <w:keepLines w:val="0"/>
        <w:widowControl/>
        <w:suppressLineNumbers w:val="0"/>
        <w:ind w:left="720"/>
      </w:pPr>
      <w:r>
        <w:t>Chunks are embedded into vector representations using transformer-based embedding models (e.g., Sentence-BERT) [8].</w:t>
      </w:r>
    </w:p>
    <w:p w14:paraId="01EC05AF">
      <w:pPr>
        <w:pStyle w:val="12"/>
        <w:keepNext w:val="0"/>
        <w:keepLines w:val="0"/>
        <w:widowControl/>
        <w:suppressLineNumbers w:val="0"/>
        <w:ind w:left="720"/>
      </w:pPr>
      <w:r>
        <w:t>Vector indices (e.g., FAISS [9]) allow fast similarity search.</w:t>
      </w:r>
    </w:p>
    <w:p w14:paraId="39C25389">
      <w:pPr>
        <w:pStyle w:val="4"/>
        <w:keepNext w:val="0"/>
        <w:keepLines w:val="0"/>
        <w:widowControl/>
        <w:suppressLineNumbers w:val="0"/>
      </w:pPr>
      <w:r>
        <w:t>4.2 Query Processing and Retrieval</w:t>
      </w:r>
    </w:p>
    <w:p w14:paraId="1DDDB3E2">
      <w:pPr>
        <w:pStyle w:val="12"/>
        <w:keepNext w:val="0"/>
        <w:keepLines w:val="0"/>
        <w:widowControl/>
        <w:suppressLineNumbers w:val="0"/>
        <w:ind w:left="720"/>
      </w:pPr>
      <w:r>
        <w:t>User queries are embedded and compared against stored vectors.</w:t>
      </w:r>
    </w:p>
    <w:p w14:paraId="23E2BE50">
      <w:pPr>
        <w:pStyle w:val="12"/>
        <w:keepNext w:val="0"/>
        <w:keepLines w:val="0"/>
        <w:widowControl/>
        <w:suppressLineNumbers w:val="0"/>
        <w:ind w:left="720"/>
      </w:pPr>
      <w:r>
        <w:t>Top-K relevant chunks are retrieved to form context.</w:t>
      </w:r>
    </w:p>
    <w:p w14:paraId="30E5A01B">
      <w:pPr>
        <w:pStyle w:val="4"/>
        <w:keepNext w:val="0"/>
        <w:keepLines w:val="0"/>
        <w:widowControl/>
        <w:suppressLineNumbers w:val="0"/>
      </w:pPr>
      <w:r>
        <w:t>4.3 Prompt Construction and Inference</w:t>
      </w:r>
    </w:p>
    <w:p w14:paraId="04EE338D">
      <w:pPr>
        <w:pStyle w:val="12"/>
        <w:keepNext w:val="0"/>
        <w:keepLines w:val="0"/>
        <w:widowControl/>
        <w:suppressLineNumbers w:val="0"/>
        <w:ind w:left="720"/>
      </w:pPr>
      <w:r>
        <w:t>Retrieved chunks are concatenated with the user query to form an augmented prompt within LLaMA’s context window.</w:t>
      </w:r>
    </w:p>
    <w:p w14:paraId="1A3BFAD1">
      <w:pPr>
        <w:pStyle w:val="12"/>
        <w:keepNext w:val="0"/>
        <w:keepLines w:val="0"/>
        <w:widowControl/>
        <w:suppressLineNumbers w:val="0"/>
        <w:ind w:left="720"/>
      </w:pPr>
      <w:r>
        <w:t>LLaMA performs autoregressive inference locally, generating context-aware and data-grounded responses.</w:t>
      </w:r>
    </w:p>
    <w:p w14:paraId="72E56328">
      <w:pPr>
        <w:pStyle w:val="4"/>
        <w:keepNext w:val="0"/>
        <w:keepLines w:val="0"/>
        <w:widowControl/>
        <w:suppressLineNumbers w:val="0"/>
      </w:pPr>
      <w:r>
        <w:t>4.4 Fine-Tuning and Adaptation</w:t>
      </w:r>
    </w:p>
    <w:p w14:paraId="6EDD4119">
      <w:pPr>
        <w:pStyle w:val="12"/>
        <w:keepNext w:val="0"/>
        <w:keepLines w:val="0"/>
        <w:widowControl/>
        <w:suppressLineNumbers w:val="0"/>
        <w:ind w:left="720"/>
      </w:pPr>
      <w:r>
        <w:t>While most LocalGPT systems use zero/few-shot prompting, LoRA (Low-Rank Adaptation) [10] and other parameter-efficient fine-tuning techniques can customize LLaMA further on user data.</w:t>
      </w:r>
    </w:p>
    <w:p w14:paraId="0F687C39">
      <w:pPr>
        <w:pStyle w:val="3"/>
        <w:keepNext w:val="0"/>
        <w:keepLines w:val="0"/>
        <w:widowControl/>
        <w:suppressLineNumbers w:val="0"/>
      </w:pPr>
      <w:r>
        <w:t>5. Performance Considerations</w:t>
      </w:r>
    </w:p>
    <w:p w14:paraId="299F12DE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Hardware Requirements:</w:t>
      </w:r>
      <w:r>
        <w:t xml:space="preserve"> Quantized 7B LLaMA models run on CPUs with 16GB+ RAM or mid-range GPUs, while larger variants require more powerful hardware.</w:t>
      </w:r>
    </w:p>
    <w:p w14:paraId="592859CB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Latency:</w:t>
      </w:r>
      <w:r>
        <w:t xml:space="preserve"> Local inference can range from hundreds of milliseconds to a few seconds depending on model size and hardware.</w:t>
      </w:r>
    </w:p>
    <w:p w14:paraId="3099CCE6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Batching and Caching:</w:t>
      </w:r>
      <w:r>
        <w:t xml:space="preserve"> Embeddings and inference outputs can be cached for performance.</w:t>
      </w:r>
    </w:p>
    <w:p w14:paraId="3E2BD827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Context Length:</w:t>
      </w:r>
      <w:r>
        <w:t xml:space="preserve"> Managing the 4096 token context window is critical; prompt truncation or chunk summarization strategies help.</w:t>
      </w:r>
    </w:p>
    <w:p w14:paraId="048D82CB">
      <w:pPr>
        <w:pStyle w:val="3"/>
        <w:keepNext w:val="0"/>
        <w:keepLines w:val="0"/>
        <w:widowControl/>
        <w:suppressLineNumbers w:val="0"/>
      </w:pPr>
      <w:r>
        <w:t>6. Challenges and Future Directions</w:t>
      </w:r>
    </w:p>
    <w:p w14:paraId="32AA4F32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Model Scaling:</w:t>
      </w:r>
      <w:r>
        <w:t xml:space="preserve"> Larger LLaMA models improve performance but increase resource requirements.</w:t>
      </w:r>
    </w:p>
    <w:p w14:paraId="78514402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Multi-Modal Extensions:</w:t>
      </w:r>
      <w:r>
        <w:t xml:space="preserve"> Incorporating vision and audio data.</w:t>
      </w:r>
    </w:p>
    <w:p w14:paraId="6E6D1219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Better Chunking:</w:t>
      </w:r>
      <w:r>
        <w:t xml:space="preserve"> Adaptive chunking to optimize semantic coherence.</w:t>
      </w:r>
    </w:p>
    <w:p w14:paraId="7C809C26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User-Friendly Tools:</w:t>
      </w:r>
      <w:r>
        <w:t xml:space="preserve"> Simplified pipelines for non-technical users.</w:t>
      </w:r>
      <w:bookmarkStart w:id="0" w:name="_GoBack"/>
      <w:bookmarkEnd w:id="0"/>
    </w:p>
    <w:p w14:paraId="76E61995">
      <w:pPr>
        <w:pStyle w:val="3"/>
        <w:keepNext w:val="0"/>
        <w:keepLines w:val="0"/>
        <w:widowControl/>
        <w:suppressLineNumbers w:val="0"/>
      </w:pPr>
      <w:r>
        <w:t>7. Conclusion</w:t>
      </w:r>
    </w:p>
    <w:p w14:paraId="56094680">
      <w:pPr>
        <w:pStyle w:val="12"/>
        <w:keepNext w:val="0"/>
        <w:keepLines w:val="0"/>
        <w:widowControl/>
        <w:suppressLineNumbers w:val="0"/>
      </w:pPr>
      <w:r>
        <w:t>LLaMA’s efficient transformer design and compatibility with quantization make it a key enabler for LocalGPT. Combined with retrieval-augmented generation pipelines, it empowers privacy-preserving, personalized, and offline-capable NLP applications. Continued improvements in compression, inference runtimes, and tooling will further democratize local LLM usage.</w:t>
      </w:r>
    </w:p>
    <w:p w14:paraId="557BBFA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16D55">
      <w:pPr>
        <w:pStyle w:val="3"/>
        <w:keepNext w:val="0"/>
        <w:keepLines w:val="0"/>
        <w:widowControl/>
        <w:suppressLineNumbers w:val="0"/>
      </w:pPr>
      <w:r>
        <w:t>References</w:t>
      </w:r>
    </w:p>
    <w:p w14:paraId="6317B18A">
      <w:pPr>
        <w:pStyle w:val="12"/>
        <w:keepNext w:val="0"/>
        <w:keepLines w:val="0"/>
        <w:widowControl/>
        <w:suppressLineNumbers w:val="0"/>
      </w:pPr>
      <w:r>
        <w:t xml:space="preserve">[1] Touvron, Hugo, et al. “LLaMA: Open and Efficient Foundation Language Models.” </w:t>
      </w:r>
      <w:r>
        <w:rPr>
          <w:rStyle w:val="9"/>
        </w:rPr>
        <w:t>arXiv preprint arXiv:2302.13971</w:t>
      </w:r>
      <w:r>
        <w:t xml:space="preserve"> (2023). </w:t>
      </w:r>
      <w:r>
        <w:fldChar w:fldCharType="begin"/>
      </w:r>
      <w:r>
        <w:instrText xml:space="preserve"> HYPERLINK "https://arxiv.org/abs/2302.13971" \t "_new" </w:instrText>
      </w:r>
      <w:r>
        <w:fldChar w:fldCharType="separate"/>
      </w:r>
      <w:r>
        <w:rPr>
          <w:rStyle w:val="11"/>
        </w:rPr>
        <w:t>https://arxiv.org/abs/2302.13971</w:t>
      </w:r>
      <w:r>
        <w:fldChar w:fldCharType="end"/>
      </w:r>
      <w:r>
        <w:br w:type="textWrapping"/>
      </w:r>
      <w:r>
        <w:t xml:space="preserve">[2] Vaswani, Ashish, et al. “Attention is All You Need.” </w:t>
      </w:r>
      <w:r>
        <w:rPr>
          <w:rStyle w:val="9"/>
        </w:rPr>
        <w:t>NeurIPS</w:t>
      </w:r>
      <w:r>
        <w:t xml:space="preserve"> (2017). </w:t>
      </w:r>
      <w:r>
        <w:fldChar w:fldCharType="begin"/>
      </w:r>
      <w:r>
        <w:instrText xml:space="preserve"> HYPERLINK "https://arxiv.org/abs/1706.03762" \t "_new" </w:instrText>
      </w:r>
      <w:r>
        <w:fldChar w:fldCharType="separate"/>
      </w:r>
      <w:r>
        <w:rPr>
          <w:rStyle w:val="11"/>
        </w:rPr>
        <w:t>https://arxiv.org/abs/1706.03762</w:t>
      </w:r>
      <w:r>
        <w:fldChar w:fldCharType="end"/>
      </w:r>
      <w:r>
        <w:br w:type="textWrapping"/>
      </w:r>
      <w:r>
        <w:t xml:space="preserve">[3] Su, Jiachen, et al. “RoFormer: Enhanced Transformer with Rotary Position Embedding.” </w:t>
      </w:r>
      <w:r>
        <w:rPr>
          <w:rStyle w:val="9"/>
        </w:rPr>
        <w:t>ACL</w:t>
      </w:r>
      <w:r>
        <w:t xml:space="preserve"> (2021). </w:t>
      </w:r>
      <w:r>
        <w:fldChar w:fldCharType="begin"/>
      </w:r>
      <w:r>
        <w:instrText xml:space="preserve"> HYPERLINK "https://arxiv.org/abs/2104.09864" \t "_new" </w:instrText>
      </w:r>
      <w:r>
        <w:fldChar w:fldCharType="separate"/>
      </w:r>
      <w:r>
        <w:rPr>
          <w:rStyle w:val="11"/>
        </w:rPr>
        <w:t>https://arxiv.org/abs/2104.09864</w:t>
      </w:r>
      <w:r>
        <w:fldChar w:fldCharType="end"/>
      </w:r>
      <w:r>
        <w:br w:type="textWrapping"/>
      </w:r>
      <w:r>
        <w:t xml:space="preserve">[4] Dettmers, Tim, et al. “8-bit Optimizers via Block-wise Quantization.” </w:t>
      </w:r>
      <w:r>
        <w:rPr>
          <w:rStyle w:val="9"/>
        </w:rPr>
        <w:t>arXiv preprint arXiv:2208.07339</w:t>
      </w:r>
      <w:r>
        <w:t xml:space="preserve"> (2022). </w:t>
      </w:r>
      <w:r>
        <w:fldChar w:fldCharType="begin"/>
      </w:r>
      <w:r>
        <w:instrText xml:space="preserve"> HYPERLINK "https://arxiv.org/abs/2208.07339" \t "_new" </w:instrText>
      </w:r>
      <w:r>
        <w:fldChar w:fldCharType="separate"/>
      </w:r>
      <w:r>
        <w:rPr>
          <w:rStyle w:val="11"/>
        </w:rPr>
        <w:t>https://arxiv.org/abs/2208.07339</w:t>
      </w:r>
      <w:r>
        <w:fldChar w:fldCharType="end"/>
      </w:r>
      <w:r>
        <w:br w:type="textWrapping"/>
      </w:r>
      <w:r>
        <w:t xml:space="preserve">[5] Frantar, Jan, and Daniel Alistarh. “GPTQ: Accurate Post-Training Quantization for Generative Pretrained Transformers.” </w:t>
      </w:r>
      <w:r>
        <w:rPr>
          <w:rStyle w:val="9"/>
        </w:rPr>
        <w:t>NeurIPS</w:t>
      </w:r>
      <w:r>
        <w:t xml:space="preserve"> (2022). </w:t>
      </w:r>
      <w:r>
        <w:fldChar w:fldCharType="begin"/>
      </w:r>
      <w:r>
        <w:instrText xml:space="preserve"> HYPERLINK "https://arxiv.org/abs/2210.17323" \t "_new" </w:instrText>
      </w:r>
      <w:r>
        <w:fldChar w:fldCharType="separate"/>
      </w:r>
      <w:r>
        <w:rPr>
          <w:rStyle w:val="11"/>
        </w:rPr>
        <w:t>https://arxiv.org/abs/2210.17323</w:t>
      </w:r>
      <w:r>
        <w:fldChar w:fldCharType="end"/>
      </w:r>
      <w:r>
        <w:br w:type="textWrapping"/>
      </w:r>
      <w:r>
        <w:t xml:space="preserve">[6] llama.cpp GitHub repository: </w:t>
      </w:r>
      <w:r>
        <w:fldChar w:fldCharType="begin"/>
      </w:r>
      <w:r>
        <w:instrText xml:space="preserve"> HYPERLINK "https://github.com/ggerganov/llama.cpp" \t "_new" </w:instrText>
      </w:r>
      <w:r>
        <w:fldChar w:fldCharType="separate"/>
      </w:r>
      <w:r>
        <w:rPr>
          <w:rStyle w:val="11"/>
        </w:rPr>
        <w:t>https://github.com/ggerganov/llama.cpp</w:t>
      </w:r>
      <w:r>
        <w:fldChar w:fldCharType="end"/>
      </w:r>
      <w:r>
        <w:br w:type="textWrapping"/>
      </w:r>
      <w:r>
        <w:t xml:space="preserve">[7] Lewis, Patrick, et al. “Retrieval-Augmented Generation for Knowledge-Intensive NLP Tasks.” </w:t>
      </w:r>
      <w:r>
        <w:rPr>
          <w:rStyle w:val="9"/>
        </w:rPr>
        <w:t>NeurIPS</w:t>
      </w:r>
      <w:r>
        <w:t xml:space="preserve"> (2020). </w:t>
      </w:r>
      <w:r>
        <w:fldChar w:fldCharType="begin"/>
      </w:r>
      <w:r>
        <w:instrText xml:space="preserve"> HYPERLINK "https://arxiv.org/abs/2005.11401" \t "_new" </w:instrText>
      </w:r>
      <w:r>
        <w:fldChar w:fldCharType="separate"/>
      </w:r>
      <w:r>
        <w:rPr>
          <w:rStyle w:val="11"/>
        </w:rPr>
        <w:t>https://arxiv.org/abs/2005.11401</w:t>
      </w:r>
      <w:r>
        <w:fldChar w:fldCharType="end"/>
      </w:r>
      <w:r>
        <w:br w:type="textWrapping"/>
      </w:r>
      <w:r>
        <w:t xml:space="preserve">[8] Reimers, Nils, and Iryna Gurevych. “Sentence-BERT: Sentence Embeddings using Siamese BERT-Networks.” </w:t>
      </w:r>
      <w:r>
        <w:rPr>
          <w:rStyle w:val="9"/>
        </w:rPr>
        <w:t>EMNLP</w:t>
      </w:r>
      <w:r>
        <w:t xml:space="preserve"> (2019). </w:t>
      </w:r>
      <w:r>
        <w:fldChar w:fldCharType="begin"/>
      </w:r>
      <w:r>
        <w:instrText xml:space="preserve"> HYPERLINK "https://arxiv.org/abs/1908.10084" \t "_new" </w:instrText>
      </w:r>
      <w:r>
        <w:fldChar w:fldCharType="separate"/>
      </w:r>
      <w:r>
        <w:rPr>
          <w:rStyle w:val="11"/>
        </w:rPr>
        <w:t>https://arxiv.org/abs/1908.10084</w:t>
      </w:r>
      <w:r>
        <w:fldChar w:fldCharType="end"/>
      </w:r>
      <w:r>
        <w:br w:type="textWrapping"/>
      </w:r>
      <w:r>
        <w:t xml:space="preserve">[9] Johnson, Jeff, Matthijs Douze, and Hervé Jégou. “Billion-scale similarity search with GPUs.” </w:t>
      </w:r>
      <w:r>
        <w:rPr>
          <w:rStyle w:val="9"/>
        </w:rPr>
        <w:t>IEEE Transactions on Big Data</w:t>
      </w:r>
      <w:r>
        <w:t xml:space="preserve"> (2019). </w:t>
      </w:r>
      <w:r>
        <w:fldChar w:fldCharType="begin"/>
      </w:r>
      <w:r>
        <w:instrText xml:space="preserve"> HYPERLINK "https://arxiv.org/abs/1702.08734" \t "_new" </w:instrText>
      </w:r>
      <w:r>
        <w:fldChar w:fldCharType="separate"/>
      </w:r>
      <w:r>
        <w:rPr>
          <w:rStyle w:val="11"/>
        </w:rPr>
        <w:t>https://arxiv.org/abs/1702.08734</w:t>
      </w:r>
      <w:r>
        <w:fldChar w:fldCharType="end"/>
      </w:r>
      <w:r>
        <w:br w:type="textWrapping"/>
      </w:r>
      <w:r>
        <w:t xml:space="preserve">[10] Hu, Edward J., et al. “LoRA: Low-Rank Adaptation of Large Language Models.” </w:t>
      </w:r>
      <w:r>
        <w:rPr>
          <w:rStyle w:val="9"/>
        </w:rPr>
        <w:t>arXiv preprint arXiv:2106.09685</w:t>
      </w:r>
      <w:r>
        <w:t xml:space="preserve"> (2021). </w:t>
      </w:r>
      <w:r>
        <w:fldChar w:fldCharType="begin"/>
      </w:r>
      <w:r>
        <w:instrText xml:space="preserve"> HYPERLINK "https://arxiv.org/abs/2106.09685" \t "_new" </w:instrText>
      </w:r>
      <w:r>
        <w:fldChar w:fldCharType="separate"/>
      </w:r>
      <w:r>
        <w:rPr>
          <w:rStyle w:val="11"/>
        </w:rPr>
        <w:t>https://arxiv.org/abs/2106.09685</w:t>
      </w:r>
      <w:r>
        <w:fldChar w:fldCharType="end"/>
      </w:r>
    </w:p>
    <w:p w14:paraId="144FAB3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2F6131"/>
    <w:rsid w:val="7A9E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6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basedOn w:val="7"/>
    <w:qFormat/>
    <w:uiPriority w:val="0"/>
    <w:rPr>
      <w:i/>
      <w:iCs/>
    </w:rPr>
  </w:style>
  <w:style w:type="character" w:styleId="10">
    <w:name w:val="HTML Code"/>
    <w:basedOn w:val="7"/>
    <w:uiPriority w:val="0"/>
    <w:rPr>
      <w:rFonts w:ascii="Courier New" w:hAnsi="Courier New" w:cs="Courier New"/>
      <w:sz w:val="20"/>
      <w:szCs w:val="20"/>
    </w:rPr>
  </w:style>
  <w:style w:type="character" w:styleId="11">
    <w:name w:val="Hyperlink"/>
    <w:basedOn w:val="7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7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728</Words>
  <Characters>4749</Characters>
  <Lines>0</Lines>
  <Paragraphs>0</Paragraphs>
  <TotalTime>5</TotalTime>
  <ScaleCrop>false</ScaleCrop>
  <LinksUpToDate>false</LinksUpToDate>
  <CharactersWithSpaces>5449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2025-07-01T06:01:47Z</dcterms:created>
  <dc:creator>Administrator</dc:creator>
  <cp:lastModifiedBy>Administrator</cp:lastModifiedBy>
  <dcterms:modified xsi:type="dcterms:W3CDTF">2025-07-01T06:11:02Z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96115EFF8DEE462E9E1AEBFB0E879752_12</vt:lpwstr>
  </property>
</Properties>
</file>