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论文目录</w:t>
      </w:r>
    </w:p>
    <w:p>
      <w:pPr>
        <w:jc w:val="center"/>
      </w:pPr>
      <w:r>
        <w:rPr>
          <w:rFonts w:ascii="Times New Roman" w:hAnsi="Times New Roman"/>
          <w:color w:val="646464"/>
          <w:sz w:val="28"/>
        </w:rPr>
        <w:t>格点 QCD 胶子 PDF 研究项目</w:t>
      </w:r>
    </w:p>
    <w:p>
      <w:pPr>
        <w:jc w:val="center"/>
      </w:pPr>
      <w:r>
        <w:rPr>
          <w:rFonts w:ascii="Times New Roman" w:hAnsi="Times New Roman"/>
          <w:color w:val="828282"/>
          <w:sz w:val="22"/>
        </w:rPr>
        <w:t>生成日期：2026年07月09日</w:t>
      </w:r>
    </w:p>
    <w:p/>
    <w:p>
      <w:r>
        <w:rPr>
          <w:rFonts w:ascii="Times New Roman" w:hAnsi="Times New Roman"/>
          <w:b/>
          <w:color w:val="003366"/>
          <w:sz w:val="32"/>
        </w:rPr>
        <w:t>论文一</w:t>
      </w:r>
    </w:p>
    <w:p>
      <w:r>
        <w:rPr>
          <w:rFonts w:ascii="Times New Roman" w:hAnsi="Times New Roman"/>
          <w:b/>
          <w:sz w:val="28"/>
        </w:rPr>
        <w:t>Unpolarized gluon PDF of the nucleon from lattice QCD in the continuum limit</w:t>
      </w:r>
    </w:p>
    <w:p>
      <w:r>
        <w:rPr>
          <w:rFonts w:ascii="Times New Roman" w:hAnsi="Times New Roman"/>
          <w:sz w:val="22"/>
        </w:rPr>
        <w:t>Chen Chen, Hongxin Dong, Liuming Liu, Peng Sun, Xiaonu Xiong, Yi-Bo Yang, Fei Yao, Jian-Hui Zhang, Chunhua Zeng, Shiyi Zhong</w:t>
      </w:r>
    </w:p>
    <w:p>
      <w:r>
        <w:rPr>
          <w:rFonts w:ascii="Times New Roman" w:hAnsi="Times New Roman"/>
          <w:color w:val="646464"/>
          <w:sz w:val="20"/>
        </w:rPr>
        <w:t>arXiv:2510.26425 [hep-lat], 2025  |  共 15 页</w:t>
      </w:r>
    </w:p>
    <w:p/>
    <w:p>
      <w:pPr>
        <w:spacing w:before="40" w:after="40"/>
        <w:ind w:left="0"/>
      </w:pPr>
      <w:r>
        <w:rPr>
          <w:rFonts w:ascii="Times New Roman" w:hAnsi="Times New Roman"/>
          <w:sz w:val="22"/>
        </w:rPr>
        <w:t>摘要 (Abstract)</w:t>
      </w:r>
      <w:r>
        <w:rPr>
          <w:rFonts w:ascii="Times New Roman" w:hAnsi="Times New Roman"/>
          <w:color w:val="646464"/>
          <w:sz w:val="22"/>
        </w:rPr>
        <w:t xml:space="preserve">  ···  1</w:t>
      </w:r>
    </w:p>
    <w:p/>
    <w:p>
      <w:pPr>
        <w:spacing w:before="40" w:after="40"/>
        <w:ind w:left="0"/>
      </w:pPr>
      <w:r>
        <w:rPr>
          <w:rFonts w:ascii="Times New Roman" w:hAnsi="Times New Roman"/>
          <w:sz w:val="22"/>
        </w:rPr>
        <w:t>引言 (Introduction)</w:t>
      </w:r>
      <w:r>
        <w:rPr>
          <w:rFonts w:ascii="Times New Roman" w:hAnsi="Times New Roman"/>
          <w:color w:val="646464"/>
          <w:sz w:val="22"/>
        </w:rPr>
        <w:t xml:space="preserve">  ···  1–2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部分子分布函数与胶子 PDF 的重要性</w:t>
      </w:r>
      <w:r>
        <w:rPr>
          <w:rFonts w:ascii="Times New Roman" w:hAnsi="Times New Roman"/>
          <w:color w:val="646464"/>
          <w:sz w:val="22"/>
        </w:rPr>
        <w:t xml:space="preserve">  ···  1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LaMET 方法的理论框架</w:t>
      </w:r>
      <w:r>
        <w:rPr>
          <w:rFonts w:ascii="Times New Roman" w:hAnsi="Times New Roman"/>
          <w:color w:val="646464"/>
          <w:sz w:val="22"/>
        </w:rPr>
        <w:t xml:space="preserve">  ···  1–2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格点胶子 PDF 计算面临的挑战</w:t>
      </w:r>
      <w:r>
        <w:rPr>
          <w:rFonts w:ascii="Times New Roman" w:hAnsi="Times New Roman"/>
          <w:color w:val="646464"/>
          <w:sz w:val="22"/>
        </w:rPr>
        <w:t xml:space="preserve">  ···  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本文工作概述</w:t>
      </w:r>
      <w:r>
        <w:rPr>
          <w:rFonts w:ascii="Times New Roman" w:hAnsi="Times New Roman"/>
          <w:color w:val="646464"/>
          <w:sz w:val="22"/>
        </w:rPr>
        <w:t xml:space="preserve">  ···  2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格点计算 (Lattice calculations)</w:t>
      </w:r>
      <w:r>
        <w:rPr>
          <w:rFonts w:ascii="Times New Roman" w:hAnsi="Times New Roman"/>
          <w:color w:val="646464"/>
          <w:sz w:val="22"/>
        </w:rPr>
        <w:t xml:space="preserve">  ···  2–3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模拟设置与系综参数 (Table I)</w:t>
      </w:r>
      <w:r>
        <w:rPr>
          <w:rFonts w:ascii="Times New Roman" w:hAnsi="Times New Roman"/>
          <w:color w:val="646464"/>
          <w:sz w:val="22"/>
        </w:rPr>
        <w:t xml:space="preserve">  ···  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Distillation 夸克涂抹方法</w:t>
      </w:r>
      <w:r>
        <w:rPr>
          <w:rFonts w:ascii="Times New Roman" w:hAnsi="Times New Roman"/>
          <w:color w:val="646464"/>
          <w:sz w:val="22"/>
        </w:rPr>
        <w:t xml:space="preserve">  ···  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裸矩阵元计算</w:t>
      </w:r>
      <w:r>
        <w:rPr>
          <w:rFonts w:ascii="Times New Roman" w:hAnsi="Times New Roman"/>
          <w:color w:val="646464"/>
          <w:sz w:val="22"/>
        </w:rPr>
        <w:t xml:space="preserve">  ···  2–3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裸矩阵元拟合</w:t>
      </w:r>
      <w:r>
        <w:rPr>
          <w:rFonts w:ascii="Times New Roman" w:hAnsi="Times New Roman"/>
          <w:color w:val="646464"/>
          <w:sz w:val="22"/>
        </w:rPr>
        <w:t xml:space="preserve">  ···  3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重整化 (Renormalization)</w:t>
      </w:r>
      <w:r>
        <w:rPr>
          <w:rFonts w:ascii="Times New Roman" w:hAnsi="Times New Roman"/>
          <w:color w:val="646464"/>
          <w:sz w:val="22"/>
        </w:rPr>
        <w:t xml:space="preserve">  ···  3–5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混合重整化方案 (Hybrid Renormalization)</w:t>
      </w:r>
      <w:r>
        <w:rPr>
          <w:rFonts w:ascii="Times New Roman" w:hAnsi="Times New Roman"/>
          <w:color w:val="646464"/>
          <w:sz w:val="22"/>
        </w:rPr>
        <w:t xml:space="preserve">  ···  3–4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自重整化因子 Z_R(z,1/a) 的确定 (Table II)</w:t>
      </w:r>
      <w:r>
        <w:rPr>
          <w:rFonts w:ascii="Times New Roman" w:hAnsi="Times New Roman"/>
          <w:color w:val="646464"/>
          <w:sz w:val="22"/>
        </w:rPr>
        <w:t xml:space="preserve">  ···  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重整化矩阵元与微扰单圈 MS 结果的比较 (Fig. 1)</w:t>
      </w:r>
      <w:r>
        <w:rPr>
          <w:rFonts w:ascii="Times New Roman" w:hAnsi="Times New Roman"/>
          <w:color w:val="646464"/>
          <w:sz w:val="22"/>
        </w:rPr>
        <w:t xml:space="preserve">  ···  4–5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不同系综与动量的重整化矩阵元</w:t>
      </w:r>
      <w:r>
        <w:rPr>
          <w:rFonts w:ascii="Times New Roman" w:hAnsi="Times New Roman"/>
          <w:color w:val="646464"/>
          <w:sz w:val="22"/>
        </w:rPr>
        <w:t xml:space="preserve">  ···  5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光锥 PDF 的结果 (Results of the light-cone PDF)</w:t>
      </w:r>
      <w:r>
        <w:rPr>
          <w:rFonts w:ascii="Times New Roman" w:hAnsi="Times New Roman"/>
          <w:color w:val="646464"/>
          <w:sz w:val="22"/>
        </w:rPr>
        <w:t xml:space="preserve">  ···  5–7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微扰匹配 (Perturbative Matching)</w:t>
      </w:r>
      <w:r>
        <w:rPr>
          <w:rFonts w:ascii="Times New Roman" w:hAnsi="Times New Roman"/>
          <w:color w:val="646464"/>
          <w:sz w:val="22"/>
        </w:rPr>
        <w:t xml:space="preserve">  ···  5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连续极限与外推动量外推 (Fig. 2, Fig. 3)</w:t>
      </w:r>
      <w:r>
        <w:rPr>
          <w:rFonts w:ascii="Times New Roman" w:hAnsi="Times New Roman"/>
          <w:color w:val="646464"/>
          <w:sz w:val="22"/>
        </w:rPr>
        <w:t xml:space="preserve">  ···  5–6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与全局分析结果的比较 (CT18 NNLO, NNPDF, MSHT20)</w:t>
      </w:r>
      <w:r>
        <w:rPr>
          <w:rFonts w:ascii="Times New Roman" w:hAnsi="Times New Roman"/>
          <w:color w:val="646464"/>
          <w:sz w:val="22"/>
        </w:rPr>
        <w:t xml:space="preserve">  ···  6–7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不确定性分析</w:t>
      </w:r>
      <w:r>
        <w:rPr>
          <w:rFonts w:ascii="Times New Roman" w:hAnsi="Times New Roman"/>
          <w:color w:val="646464"/>
          <w:sz w:val="22"/>
        </w:rPr>
        <w:t xml:space="preserve">  ···  7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总结 (Summary)</w:t>
      </w:r>
      <w:r>
        <w:rPr>
          <w:rFonts w:ascii="Times New Roman" w:hAnsi="Times New Roman"/>
          <w:color w:val="646464"/>
          <w:sz w:val="22"/>
        </w:rPr>
        <w:t xml:space="preserve">  ···  7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主要成果总结</w:t>
      </w:r>
      <w:r>
        <w:rPr>
          <w:rFonts w:ascii="Times New Roman" w:hAnsi="Times New Roman"/>
          <w:color w:val="646464"/>
          <w:sz w:val="22"/>
        </w:rPr>
        <w:t xml:space="preserve">  ···  7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与其他格点计算 (MSULat) 的比较</w:t>
      </w:r>
      <w:r>
        <w:rPr>
          <w:rFonts w:ascii="Times New Roman" w:hAnsi="Times New Roman"/>
          <w:color w:val="646464"/>
          <w:sz w:val="22"/>
        </w:rPr>
        <w:t xml:space="preserve">  ···  7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未来展望</w:t>
      </w:r>
      <w:r>
        <w:rPr>
          <w:rFonts w:ascii="Times New Roman" w:hAnsi="Times New Roman"/>
          <w:color w:val="646464"/>
          <w:sz w:val="22"/>
        </w:rPr>
        <w:t xml:space="preserve">  ···  7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致谢 (Acknowledgments)</w:t>
      </w:r>
      <w:r>
        <w:rPr>
          <w:rFonts w:ascii="Times New Roman" w:hAnsi="Times New Roman"/>
          <w:color w:val="646464"/>
          <w:sz w:val="22"/>
        </w:rPr>
        <w:t xml:space="preserve">  ···  7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参考文献 (References)</w:t>
      </w:r>
      <w:r>
        <w:rPr>
          <w:rFonts w:ascii="Times New Roman" w:hAnsi="Times New Roman"/>
          <w:color w:val="646464"/>
          <w:sz w:val="22"/>
        </w:rPr>
        <w:t xml:space="preserve">  ···  7–8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补充材料 (Supplemental Material)</w:t>
      </w:r>
      <w:r>
        <w:rPr>
          <w:rFonts w:ascii="Times New Roman" w:hAnsi="Times New Roman"/>
          <w:color w:val="646464"/>
          <w:sz w:val="22"/>
        </w:rPr>
        <w:t xml:space="preserve">  ···  8–15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理论框架：光锥 PDF 定义与 LaMET 匹配公式</w:t>
      </w:r>
      <w:r>
        <w:rPr>
          <w:rFonts w:ascii="Times New Roman" w:hAnsi="Times New Roman"/>
          <w:color w:val="646464"/>
          <w:sz w:val="22"/>
        </w:rPr>
        <w:t xml:space="preserve">  ···  8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裸矩阵元：关联函数定义与格点计算</w:t>
      </w:r>
      <w:r>
        <w:rPr>
          <w:rFonts w:ascii="Times New Roman" w:hAnsi="Times New Roman"/>
          <w:color w:val="646464"/>
          <w:sz w:val="22"/>
        </w:rPr>
        <w:t xml:space="preserve">  ···  8–9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裸矩阵元拟合：双态拟合与系统误差 (Fig. 9)</w:t>
      </w:r>
      <w:r>
        <w:rPr>
          <w:rFonts w:ascii="Times New Roman" w:hAnsi="Times New Roman"/>
          <w:color w:val="646464"/>
          <w:sz w:val="22"/>
        </w:rPr>
        <w:t xml:space="preserve">  ···  9–10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大 λ 外推：坐标空间完整化 (Fig. 10, Fig. 11)</w:t>
      </w:r>
      <w:r>
        <w:rPr>
          <w:rFonts w:ascii="Times New Roman" w:hAnsi="Times New Roman"/>
          <w:color w:val="646464"/>
          <w:sz w:val="22"/>
        </w:rPr>
        <w:t xml:space="preserve">  ···  11–12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系统与统计不确定度估计 (Fig. 12, Table IV)</w:t>
      </w:r>
      <w:r>
        <w:rPr>
          <w:rFonts w:ascii="Times New Roman" w:hAnsi="Times New Roman"/>
          <w:color w:val="646464"/>
          <w:sz w:val="22"/>
        </w:rPr>
        <w:t xml:space="preserve">  ···  12–14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重整化标度依赖性</w:t>
      </w:r>
      <w:r>
        <w:rPr>
          <w:rFonts w:ascii="Times New Roman" w:hAnsi="Times New Roman"/>
          <w:color w:val="646464"/>
          <w:sz w:val="22"/>
        </w:rPr>
        <w:t xml:space="preserve">  ···  14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混合方案中 z_s 选择的依赖性</w:t>
      </w:r>
      <w:r>
        <w:rPr>
          <w:rFonts w:ascii="Times New Roman" w:hAnsi="Times New Roman"/>
          <w:color w:val="646464"/>
          <w:sz w:val="22"/>
        </w:rPr>
        <w:t xml:space="preserve">  ···  14–15</w:t>
      </w:r>
    </w:p>
    <w:p/>
    <w:p/>
    <w:p>
      <w:r>
        <w:rPr>
          <w:rFonts w:ascii="Times New Roman" w:hAnsi="Times New Roman"/>
          <w:b/>
          <w:color w:val="003366"/>
          <w:sz w:val="32"/>
        </w:rPr>
        <w:t>论文二（计算笔记）</w:t>
      </w:r>
    </w:p>
    <w:p>
      <w:r>
        <w:rPr>
          <w:rFonts w:ascii="Times New Roman" w:hAnsi="Times New Roman"/>
          <w:b/>
          <w:sz w:val="28"/>
        </w:rPr>
        <w:t>Note of gluon PDFs</w:t>
      </w:r>
    </w:p>
    <w:p>
      <w:r>
        <w:rPr>
          <w:rFonts w:ascii="Times New Roman" w:hAnsi="Times New Roman"/>
          <w:color w:val="646464"/>
          <w:sz w:val="20"/>
        </w:rPr>
        <w:t>张欣  |  格点胶子 PDF 计算笔记  |  共 11 页</w:t>
      </w:r>
    </w:p>
    <w:p/>
    <w:p>
      <w:pPr>
        <w:spacing w:before="40" w:after="40"/>
        <w:ind w:left="0"/>
      </w:pPr>
      <w:r>
        <w:rPr>
          <w:rFonts w:ascii="Times New Roman" w:hAnsi="Times New Roman"/>
          <w:sz w:val="22"/>
        </w:rPr>
        <w:t>I. 格点中的胶子 PDF (Gluon PDFs in Lattice)</w:t>
      </w:r>
      <w:r>
        <w:rPr>
          <w:rFonts w:ascii="Times New Roman" w:hAnsi="Times New Roman"/>
          <w:color w:val="646464"/>
          <w:sz w:val="22"/>
        </w:rPr>
        <w:t xml:space="preserve">  ···  1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质子自旋危机与 Jaffe-Manohar 自旋求和规则</w:t>
      </w:r>
      <w:r>
        <w:rPr>
          <w:rFonts w:ascii="Times New Roman" w:hAnsi="Times New Roman"/>
          <w:color w:val="646464"/>
          <w:sz w:val="22"/>
        </w:rPr>
        <w:t xml:space="preserve">  ···  1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胶子螺旋度分布 Δg(x) 的定义</w:t>
      </w:r>
      <w:r>
        <w:rPr>
          <w:rFonts w:ascii="Times New Roman" w:hAnsi="Times New Roman"/>
          <w:color w:val="646464"/>
          <w:sz w:val="22"/>
        </w:rPr>
        <w:t xml:space="preserve">  ···  1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A. Distillation 方法</w:t>
      </w:r>
      <w:r>
        <w:rPr>
          <w:rFonts w:ascii="Times New Roman" w:hAnsi="Times New Roman"/>
          <w:color w:val="646464"/>
          <w:sz w:val="22"/>
        </w:rPr>
        <w:t xml:space="preserve">  ···  1–2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Jacobi 涂抹算符与拉普拉斯算子</w:t>
      </w:r>
      <w:r>
        <w:rPr>
          <w:rFonts w:ascii="Times New Roman" w:hAnsi="Times New Roman"/>
          <w:color w:val="646464"/>
          <w:sz w:val="22"/>
        </w:rPr>
        <w:t xml:space="preserve">  ···  1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本征值问题与 distillation 算符</w:t>
      </w:r>
      <w:r>
        <w:rPr>
          <w:rFonts w:ascii="Times New Roman" w:hAnsi="Times New Roman"/>
          <w:color w:val="646464"/>
          <w:sz w:val="22"/>
        </w:rPr>
        <w:t xml:space="preserve">  ···  1–2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核子涂抹湮灭算符的构造</w:t>
      </w:r>
      <w:r>
        <w:rPr>
          <w:rFonts w:ascii="Times New Roman" w:hAnsi="Times New Roman"/>
          <w:color w:val="646464"/>
          <w:sz w:val="22"/>
        </w:rPr>
        <w:t xml:space="preserve">  ···  2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两点关联函数与 perambulator 定义</w:t>
      </w:r>
      <w:r>
        <w:rPr>
          <w:rFonts w:ascii="Times New Roman" w:hAnsi="Times New Roman"/>
          <w:color w:val="646464"/>
          <w:sz w:val="22"/>
        </w:rPr>
        <w:t xml:space="preserve">  ···  2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B. 场强张量 (The Field Strength Tensor)</w:t>
      </w:r>
      <w:r>
        <w:rPr>
          <w:rFonts w:ascii="Times New Roman" w:hAnsi="Times New Roman"/>
          <w:color w:val="646464"/>
          <w:sz w:val="22"/>
        </w:rPr>
        <w:t xml:space="preserve">  ···  2–3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Wilson 圈与 plaquette 定义</w:t>
      </w:r>
      <w:r>
        <w:rPr>
          <w:rFonts w:ascii="Times New Roman" w:hAnsi="Times New Roman"/>
          <w:color w:val="646464"/>
          <w:sz w:val="22"/>
        </w:rPr>
        <w:t xml:space="preserve">  ···  2–3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Clover 项：场强张量的格点离散化 (Fig. 1)</w:t>
      </w:r>
      <w:r>
        <w:rPr>
          <w:rFonts w:ascii="Times New Roman" w:hAnsi="Times New Roman"/>
          <w:color w:val="646464"/>
          <w:sz w:val="22"/>
        </w:rPr>
        <w:t xml:space="preserve">  ···  3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Minkowski 与 Euclidean 空间中 F_μν 的关系</w:t>
      </w:r>
      <w:r>
        <w:rPr>
          <w:rFonts w:ascii="Times New Roman" w:hAnsi="Times New Roman"/>
          <w:color w:val="646464"/>
          <w:sz w:val="22"/>
        </w:rPr>
        <w:t xml:space="preserve">  ···  3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C. 非极化胶子算符 (Unpolarized Gluon Operator)</w:t>
      </w:r>
      <w:r>
        <w:rPr>
          <w:rFonts w:ascii="Times New Roman" w:hAnsi="Times New Roman"/>
          <w:color w:val="646464"/>
          <w:sz w:val="22"/>
        </w:rPr>
        <w:t xml:space="preserve">  ···  3–5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非极化胶子 PDF 的矩阵元定义  [Eq. (20)]</w:t>
      </w:r>
      <w:r>
        <w:rPr>
          <w:rFonts w:ascii="Times New Roman" w:hAnsi="Times New Roman"/>
          <w:color w:val="646464"/>
          <w:sz w:val="22"/>
        </w:rPr>
        <w:t xml:space="preserve">  ···  3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不变振幅分解：M_pp, M_pz, M_zz, M_gg</w:t>
      </w:r>
      <w:r>
        <w:rPr>
          <w:rFonts w:ascii="Times New Roman" w:hAnsi="Times New Roman"/>
          <w:color w:val="646464"/>
          <w:sz w:val="22"/>
        </w:rPr>
        <w:t xml:space="preserve">  ···  3–4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M_pp 振幅与胶子 PDF 的关系  [Eq. (22)]</w:t>
      </w:r>
      <w:r>
        <w:rPr>
          <w:rFonts w:ascii="Times New Roman" w:hAnsi="Times New Roman"/>
          <w:color w:val="646464"/>
          <w:sz w:val="22"/>
        </w:rPr>
        <w:t xml:space="preserve">  ···  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M_ti;it + M_ij;ij 组合的乘法可重整性</w:t>
      </w:r>
      <w:r>
        <w:rPr>
          <w:rFonts w:ascii="Times New Roman" w:hAnsi="Times New Roman"/>
          <w:color w:val="646464"/>
          <w:sz w:val="22"/>
        </w:rPr>
        <w:t xml:space="preserve">  ···  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三点关联函数的解耦：胶子流与核子 2pt 分别计算  [Eq. (24)]</w:t>
      </w:r>
      <w:r>
        <w:rPr>
          <w:rFonts w:ascii="Times New Roman" w:hAnsi="Times New Roman"/>
          <w:color w:val="646464"/>
          <w:sz w:val="22"/>
        </w:rPr>
        <w:t xml:space="preserve">  ···  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Euclidean 空间中的胶子流算符 O_g^(0) 与 O_g^(1)  [Eq. (25), (26)]</w:t>
      </w:r>
      <w:r>
        <w:rPr>
          <w:rFonts w:ascii="Times New Roman" w:hAnsi="Times New Roman"/>
          <w:color w:val="646464"/>
          <w:sz w:val="22"/>
        </w:rPr>
        <w:t xml:space="preserve">  ···  4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核子两点关联函数与动量涂抹</w:t>
      </w:r>
      <w:r>
        <w:rPr>
          <w:rFonts w:ascii="Times New Roman" w:hAnsi="Times New Roman"/>
          <w:color w:val="646464"/>
          <w:sz w:val="22"/>
        </w:rPr>
        <w:t xml:space="preserve">  ···  4–5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O_g^(0) 与 O_g^(1) 的 C3/C2 比值图 (HYP5 涂抹, Figs. 2-3)</w:t>
      </w:r>
      <w:r>
        <w:rPr>
          <w:rFonts w:ascii="Times New Roman" w:hAnsi="Times New Roman"/>
          <w:color w:val="646464"/>
          <w:sz w:val="22"/>
        </w:rPr>
        <w:t xml:space="preserve">  ···  5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Wilson3 涂抹结果 (Figs. 4-5)</w:t>
      </w:r>
      <w:r>
        <w:rPr>
          <w:rFonts w:ascii="Times New Roman" w:hAnsi="Times New Roman"/>
          <w:color w:val="646464"/>
          <w:sz w:val="22"/>
        </w:rPr>
        <w:t xml:space="preserve">  ···  6–7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D. 胶子螺旋度算符 (Gluon Helicity Operator)</w:t>
      </w:r>
      <w:r>
        <w:rPr>
          <w:rFonts w:ascii="Times New Roman" w:hAnsi="Times New Roman"/>
          <w:color w:val="646464"/>
          <w:sz w:val="22"/>
        </w:rPr>
        <w:t xml:space="preserve">  ···  8–10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胶子螺旋度矩阵元定义  [Eq. (29)]</w:t>
      </w:r>
      <w:r>
        <w:rPr>
          <w:rFonts w:ascii="Times New Roman" w:hAnsi="Times New Roman"/>
          <w:color w:val="646464"/>
          <w:sz w:val="22"/>
        </w:rPr>
        <w:t xml:space="preserve">  ···  8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z-奇组合 M̃ 与光锥极化胶子分布 Δg  [Eq. (31)]</w:t>
      </w:r>
      <w:r>
        <w:rPr>
          <w:rFonts w:ascii="Times New Roman" w:hAnsi="Times New Roman"/>
          <w:color w:val="646464"/>
          <w:sz w:val="22"/>
        </w:rPr>
        <w:t xml:space="preserve">  ···  8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Ioffe-时间分布与 ΔG 的关系  [Eq. (32)]</w:t>
      </w:r>
      <w:r>
        <w:rPr>
          <w:rFonts w:ascii="Times New Roman" w:hAnsi="Times New Roman"/>
          <w:color w:val="646464"/>
          <w:sz w:val="22"/>
        </w:rPr>
        <w:t xml:space="preserve">  ···  8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不变振幅 M̃⁺_(ps) 与 M̃_(pp) 的提取  [Eq. (33), (34)]</w:t>
      </w:r>
      <w:r>
        <w:rPr>
          <w:rFonts w:ascii="Times New Roman" w:hAnsi="Times New Roman"/>
          <w:color w:val="646464"/>
          <w:sz w:val="22"/>
        </w:rPr>
        <w:t xml:space="preserve">  ···  8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Euclidean 螺旋度胶子流 O_g^(0) 与 O_g^(1)  [Eq. (35), (36)]</w:t>
      </w:r>
      <w:r>
        <w:rPr>
          <w:rFonts w:ascii="Times New Roman" w:hAnsi="Times New Roman"/>
          <w:color w:val="646464"/>
          <w:sz w:val="22"/>
        </w:rPr>
        <w:t xml:space="preserve">  ···  8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极化两点关联函数</w:t>
      </w:r>
      <w:r>
        <w:rPr>
          <w:rFonts w:ascii="Times New Roman" w:hAnsi="Times New Roman"/>
          <w:color w:val="646464"/>
          <w:sz w:val="22"/>
        </w:rPr>
        <w:t xml:space="preserve">  ···  8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O_g^(0) 与 O_g^(1) 的 C3/C2 比值图 (HYP5 涂抹, Figs. 6-7)</w:t>
      </w:r>
      <w:r>
        <w:rPr>
          <w:rFonts w:ascii="Times New Roman" w:hAnsi="Times New Roman"/>
          <w:color w:val="646464"/>
          <w:sz w:val="22"/>
        </w:rPr>
        <w:t xml:space="preserve">  ···  9</w:t>
      </w:r>
    </w:p>
    <w:p>
      <w:pPr>
        <w:spacing w:before="40" w:after="40"/>
        <w:ind w:left="850"/>
      </w:pPr>
      <w:r>
        <w:rPr>
          <w:rFonts w:ascii="Times New Roman" w:hAnsi="Times New Roman"/>
          <w:sz w:val="22"/>
        </w:rPr>
        <w:t>• Wilson3 涂抹结果 (Figs. 8-9)</w:t>
      </w:r>
      <w:r>
        <w:rPr>
          <w:rFonts w:ascii="Times New Roman" w:hAnsi="Times New Roman"/>
          <w:color w:val="646464"/>
          <w:sz w:val="22"/>
        </w:rPr>
        <w:t xml:space="preserve">  ···  10</w:t>
      </w:r>
    </w:p>
    <w:p>
      <w:pPr>
        <w:spacing w:before="40" w:after="40"/>
        <w:ind w:left="0"/>
      </w:pPr>
      <w:r>
        <w:rPr>
          <w:rFonts w:ascii="Times New Roman" w:hAnsi="Times New Roman"/>
          <w:sz w:val="22"/>
        </w:rPr>
        <w:t>参考文献 (References)</w:t>
      </w:r>
      <w:r>
        <w:rPr>
          <w:rFonts w:ascii="Times New Roman" w:hAnsi="Times New Roman"/>
          <w:color w:val="646464"/>
          <w:sz w:val="22"/>
        </w:rPr>
        <w:t xml:space="preserve">  ···  10–11</w:t>
      </w:r>
    </w:p>
    <w:p/>
    <w:p/>
    <w:p>
      <w:pPr>
        <w:jc w:val="center"/>
      </w:pPr>
      <w:r>
        <w:rPr>
          <w:rFonts w:ascii="Times New Roman" w:hAnsi="Times New Roman"/>
          <w:i/>
          <w:color w:val="969696"/>
          <w:sz w:val="20"/>
        </w:rPr>
        <w:t>— End of Table of Contents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