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663F9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color w:val="EE000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color w:val="EE0000"/>
          <w:sz w:val="28"/>
          <w:szCs w:val="28"/>
        </w:rPr>
        <w:t>1. 修改为英伟达算力</w:t>
      </w:r>
    </w:p>
    <w:p w14:paraId="4344AF15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color w:val="EE000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color w:val="EE0000"/>
          <w:sz w:val="28"/>
          <w:szCs w:val="28"/>
        </w:rPr>
        <w:t>2. 推理，5路即可，基于目前的电信云算力</w:t>
      </w:r>
    </w:p>
    <w:p w14:paraId="0A271F79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color w:val="EE000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color w:val="EE0000"/>
          <w:sz w:val="28"/>
          <w:szCs w:val="28"/>
        </w:rPr>
        <w:t>3. 训练，使用autodl的算力，调研和计算算力需求，以及需要的费用。</w:t>
      </w:r>
    </w:p>
    <w:p w14:paraId="1914D458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</w:p>
    <w:p w14:paraId="0A01877C">
      <w:pPr>
        <w:spacing w:before="156" w:beforeLines="50" w:after="0" w:line="360" w:lineRule="auto"/>
        <w:jc w:val="both"/>
        <w:rPr>
          <w:rFonts w:hint="eastAsia" w:ascii="Times New Roman" w:hAnsi="Times New Roman" w:eastAsia="宋体" w:cs="Times New Roman"/>
          <w:b/>
          <w:bCs/>
          <w:sz w:val="28"/>
          <w:szCs w:val="28"/>
        </w:rPr>
      </w:pPr>
    </w:p>
    <w:p w14:paraId="5C590BEA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二、模型</w:t>
      </w:r>
    </w:p>
    <w:p w14:paraId="61ABD1EA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1. 微调模型：</w:t>
      </w:r>
      <w:r>
        <w:rPr>
          <w:rFonts w:ascii="Times New Roman" w:hAnsi="Times New Roman" w:eastAsia="宋体" w:cs="Times New Roman"/>
          <w:sz w:val="24"/>
        </w:rPr>
        <w:t>Qwen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ascii="Times New Roman" w:hAnsi="Times New Roman" w:eastAsia="宋体" w:cs="Times New Roman"/>
          <w:sz w:val="24"/>
        </w:rPr>
        <w:t>7</w:t>
      </w: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 xml:space="preserve"> FP16 模型（144GB大小）</w:t>
      </w:r>
    </w:p>
    <w:p w14:paraId="242F2DBC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72*1*2bytes=144 GB</w:t>
      </w:r>
    </w:p>
    <w:p w14:paraId="6D895DD0">
      <w:pPr>
        <w:spacing w:after="0" w:line="360" w:lineRule="auto"/>
        <w:jc w:val="both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4"/>
        </w:rPr>
        <w:t>2. 推理模型：</w:t>
      </w:r>
      <w:r>
        <w:rPr>
          <w:rFonts w:ascii="Times New Roman" w:hAnsi="Times New Roman" w:eastAsia="宋体" w:cs="Times New Roman"/>
          <w:sz w:val="24"/>
        </w:rPr>
        <w:t>Qwen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ascii="Times New Roman" w:hAnsi="Times New Roman" w:eastAsia="宋体" w:cs="Times New Roman"/>
          <w:sz w:val="24"/>
        </w:rPr>
        <w:t>7</w:t>
      </w: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 xml:space="preserve"> INT4 量化模型</w:t>
      </w:r>
      <w:r>
        <w:rPr>
          <w:rFonts w:hint="eastAsia" w:ascii="Times New Roman" w:hAnsi="Times New Roman" w:eastAsia="宋体" w:cs="Times New Roman"/>
        </w:rPr>
        <w:t>（36GB大小）</w:t>
      </w:r>
    </w:p>
    <w:p w14:paraId="4BB51D1F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72*1*0.5bytes=36 GB</w:t>
      </w:r>
    </w:p>
    <w:p w14:paraId="4C39EAFD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0" w:name="OLE_LINK1"/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三、数据</w:t>
      </w:r>
    </w:p>
    <w:p w14:paraId="0A45787F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1. </w:t>
      </w:r>
      <w:r>
        <w:rPr>
          <w:rFonts w:ascii="Times New Roman" w:hAnsi="Times New Roman" w:eastAsia="宋体" w:cs="Times New Roman"/>
          <w:sz w:val="24"/>
        </w:rPr>
        <w:t>交通领域T1期刊论文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行业标准规范，政策、新闻等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2D91CC5F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 包含：基础语料，对齐语料。二者不易有重复。</w:t>
      </w:r>
    </w:p>
    <w:p w14:paraId="3E45B35A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 基础语料库，原文本。1亿tokens。</w:t>
      </w:r>
    </w:p>
    <w:p w14:paraId="0CB1F84E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4. 对齐语料库：问答对。15万问答对。</w:t>
      </w:r>
    </w:p>
    <w:p w14:paraId="459B7270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问答对例子：</w:t>
      </w:r>
    </w:p>
    <w:p w14:paraId="327A9F3B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{</w:t>
      </w:r>
    </w:p>
    <w:p w14:paraId="253B74E0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  “instruction”: “请解答地方道路通行政策的具体执行要求”,</w:t>
      </w:r>
    </w:p>
    <w:p w14:paraId="74FF7210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  “input”: “南昌市南昌县针对轻型新能源货车的城区通行最新政策是什么？”,</w:t>
      </w:r>
    </w:p>
    <w:p w14:paraId="06C7D4F7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  “output”: “根据2025年南昌市交管支队发布的《新能源轻型货车便利通行细则》：1. 悬挂绿牌的总质量4.5吨以下轻型新能源货车，除澄湖中路、莲塘核心商圈17:00-19:00高峰时段外，其余时段可在县城建成区主干道通行；2. 无需办理纸质通行备案，通过赣服通提交车辆信息备案后自动生成电子通行码，路面扫码核验即可。”</w:t>
      </w:r>
    </w:p>
    <w:p w14:paraId="256341C2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}</w:t>
      </w:r>
    </w:p>
    <w:p w14:paraId="54C26019">
      <w:pPr>
        <w:spacing w:before="156" w:beforeLines="50" w:after="0" w:line="360" w:lineRule="auto"/>
        <w:jc w:val="both"/>
        <w:rPr>
          <w:rFonts w:hint="eastAsia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四、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英伟达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 xml:space="preserve">算力  </w:t>
      </w:r>
    </w:p>
    <w:p w14:paraId="0ED2E954">
      <w:pPr>
        <w:spacing w:after="0" w:line="360" w:lineRule="auto"/>
        <w:jc w:val="both"/>
        <w:rPr>
          <w:rFonts w:hint="eastAsia" w:ascii="Times New Roman" w:hAnsi="Times New Roman" w:eastAsia="宋体" w:cs="Times New Roman"/>
          <w:sz w:val="24"/>
        </w:rPr>
      </w:pPr>
      <w:bookmarkStart w:id="1" w:name="OLE_LINK3"/>
      <w:r>
        <w:rPr>
          <w:rFonts w:hint="eastAsia" w:ascii="Times New Roman" w:hAnsi="Times New Roman" w:eastAsia="宋体" w:cs="Times New Roman"/>
          <w:sz w:val="24"/>
        </w:rPr>
        <w:t>1. 训练服务器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4"/>
        </w:rPr>
        <w:t>采用AutoDL云GPU算力平台，租用NVIDIA A800 80GB GPU进行LoRA微调训练。采用16卡A800配置。</w:t>
      </w:r>
    </w:p>
    <w:p w14:paraId="7D34F41C">
      <w:pPr>
        <w:spacing w:after="0" w:line="360" w:lineRule="auto"/>
        <w:jc w:val="both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2.训练资源评估：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6"/>
        <w:gridCol w:w="3520"/>
        <w:gridCol w:w="2620"/>
      </w:tblGrid>
      <w:tr w14:paraId="029F8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88D023D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显存占用项</w:t>
            </w:r>
          </w:p>
        </w:tc>
        <w:tc>
          <w:tcPr>
            <w:tcW w:w="4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5F8354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计算说明</w:t>
            </w:r>
          </w:p>
        </w:tc>
        <w:tc>
          <w:tcPr>
            <w:tcW w:w="2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BB5A74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大小</w:t>
            </w:r>
          </w:p>
        </w:tc>
      </w:tr>
      <w:tr w14:paraId="442B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2194D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模型权重 (FP16)</w:t>
            </w:r>
          </w:p>
        </w:tc>
        <w:tc>
          <w:tcPr>
            <w:tcW w:w="4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C0DE1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72B × 2 bytes</w:t>
            </w:r>
          </w:p>
        </w:tc>
        <w:tc>
          <w:tcPr>
            <w:tcW w:w="2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AFBE8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≈144 GB</w:t>
            </w:r>
          </w:p>
        </w:tc>
      </w:tr>
      <w:tr w14:paraId="56E0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6BCF9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LoRA参数 (rank=64)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6937D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≈0.5% 总参数 × 2 bytes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9C3B7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≈1.4 GB</w:t>
            </w:r>
          </w:p>
        </w:tc>
      </w:tr>
      <w:tr w14:paraId="196E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992ABD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优化器状态 (Adam FP32)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85A7E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LoRA 参数 × 8 bytes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58857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≈5.6 GB</w:t>
            </w:r>
          </w:p>
        </w:tc>
      </w:tr>
      <w:tr w14:paraId="72A1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BA2C5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梯度 (仅 LoRA)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EE92F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LoRA 参数 × 2 bytes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61AB5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≈2.8 GB</w:t>
            </w:r>
          </w:p>
        </w:tc>
      </w:tr>
      <w:tr w14:paraId="59F6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74A7F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激活值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D65B2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batch=32, seq=2048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5905E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≈30-50 GB</w:t>
            </w:r>
          </w:p>
        </w:tc>
      </w:tr>
      <w:tr w14:paraId="2B11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8661C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框架开销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31F1D9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CUDA 上下文 + 缓冲区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65A3A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≈3-5 GB</w:t>
            </w:r>
          </w:p>
        </w:tc>
      </w:tr>
      <w:tr w14:paraId="53BD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B6D4EC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</w:rPr>
              <w:t>合计</w:t>
            </w:r>
          </w:p>
        </w:tc>
        <w:tc>
          <w:tcPr>
            <w:tcW w:w="4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EA35E8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B74195">
            <w:p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</w:rPr>
              <w:t>≈187-209 GB</w:t>
            </w:r>
          </w:p>
        </w:tc>
      </w:tr>
    </w:tbl>
    <w:p w14:paraId="4DD94CAF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</w:rPr>
        <w:t>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训练费用测算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4"/>
        </w:rPr>
        <w:t>按照AutoDL A800约6元/GPU小时计算，16卡训练30-50小时，单轮训练费用约2880-4800元。考虑数据处理、参数调整、多轮实验和模型验证，整体训练预算约1.5-2万元。</w:t>
      </w:r>
    </w:p>
    <w:p w14:paraId="53168FAC">
      <w:pPr>
        <w:numPr>
          <w:ilvl w:val="0"/>
          <w:numId w:val="0"/>
        </w:numPr>
        <w:spacing w:after="0"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</w:rPr>
      </w:pPr>
      <w:r>
        <w:rPr>
          <w:rFonts w:hint="eastAsia" w:ascii="Times New Roman" w:hAnsi="Times New Roman" w:eastAsia="宋体" w:cs="Times New Roman"/>
          <w:color w:val="auto"/>
          <w:sz w:val="24"/>
          <w:lang w:val="en-US" w:eastAsia="zh-CN"/>
        </w:rPr>
        <w:t xml:space="preserve">4. </w:t>
      </w:r>
      <w:r>
        <w:rPr>
          <w:rFonts w:hint="eastAsia" w:ascii="Times New Roman" w:hAnsi="Times New Roman" w:eastAsia="宋体" w:cs="Times New Roman"/>
          <w:color w:val="auto"/>
          <w:sz w:val="24"/>
        </w:rPr>
        <w:t>推理服务器</w:t>
      </w:r>
      <w:bookmarkEnd w:id="0"/>
      <w:bookmarkEnd w:id="1"/>
      <w:r>
        <w:rPr>
          <w:rFonts w:hint="eastAsia" w:ascii="Times New Roman" w:hAnsi="Times New Roman" w:eastAsia="宋体" w:cs="Times New Roman"/>
          <w:color w:val="auto"/>
          <w:sz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color w:val="auto"/>
          <w:sz w:val="24"/>
        </w:rPr>
        <w:t>基于目前中国电信云GPU算力环境部署，采用2张NVIDIA A800 80GB GPU进行推理服务。Qwen-72B采用INT4量化，8K上下文，支持5路并发。</w:t>
      </w:r>
    </w:p>
    <w:p w14:paraId="7F3C58E4">
      <w:pPr>
        <w:numPr>
          <w:ilvl w:val="0"/>
          <w:numId w:val="0"/>
        </w:numPr>
        <w:spacing w:after="0"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</w:rPr>
        <w:t xml:space="preserve">. </w:t>
      </w:r>
      <w:r>
        <w:rPr>
          <w:rFonts w:hint="eastAsia" w:ascii="Times New Roman" w:hAnsi="Times New Roman" w:eastAsia="宋体" w:cs="Times New Roman"/>
          <w:color w:val="auto"/>
          <w:sz w:val="24"/>
        </w:rPr>
        <w:t>推理资源评估：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3597"/>
        <w:gridCol w:w="2603"/>
      </w:tblGrid>
      <w:tr w14:paraId="628E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DB6ED50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显存占用项</w:t>
            </w:r>
          </w:p>
        </w:tc>
        <w:tc>
          <w:tcPr>
            <w:tcW w:w="4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F39BD0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计算说明</w:t>
            </w:r>
          </w:p>
        </w:tc>
        <w:tc>
          <w:tcPr>
            <w:tcW w:w="2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3EF9E3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大小</w:t>
            </w:r>
          </w:p>
        </w:tc>
      </w:tr>
      <w:tr w14:paraId="0E98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316BF">
            <w:pPr>
              <w:spacing w:before="40" w:after="4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Arial" w:cs="Arial"/>
                <w:b/>
                <w:bCs w:val="0"/>
                <w:color w:val="000000"/>
                <w:sz w:val="20"/>
                <w:szCs w:val="20"/>
              </w:rPr>
              <w:t>模型权重 (INT4)</w:t>
            </w:r>
          </w:p>
        </w:tc>
        <w:tc>
          <w:tcPr>
            <w:tcW w:w="4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62A54">
            <w:pPr>
              <w:spacing w:before="40" w:after="4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72B × 0.5 bytes</w:t>
            </w:r>
          </w:p>
        </w:tc>
        <w:tc>
          <w:tcPr>
            <w:tcW w:w="2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17854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≈36 GB</w:t>
            </w:r>
          </w:p>
        </w:tc>
      </w:tr>
      <w:tr w14:paraId="428D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1159A">
            <w:pPr>
              <w:spacing w:before="40" w:after="4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Arial" w:cs="Arial"/>
                <w:b/>
                <w:bCs w:val="0"/>
                <w:color w:val="000000"/>
                <w:sz w:val="20"/>
                <w:szCs w:val="20"/>
              </w:rPr>
              <w:t>KV Cache (5路并发×8K)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E0AA4">
            <w:pPr>
              <w:spacing w:before="40" w:after="4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GQA架构，单请求约 8-10GB × 15 路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31982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≈</w:t>
            </w:r>
            <w:r>
              <w:rPr>
                <w:rFonts w:hint="eastAsia" w:ascii="Arial" w:hAnsi="Arial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40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-50 GB</w:t>
            </w:r>
          </w:p>
        </w:tc>
      </w:tr>
      <w:tr w14:paraId="78327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831FE">
            <w:pPr>
              <w:spacing w:before="40" w:after="4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Arial" w:cs="Arial"/>
                <w:b/>
                <w:bCs w:val="0"/>
                <w:color w:val="000000"/>
                <w:sz w:val="20"/>
                <w:szCs w:val="20"/>
              </w:rPr>
              <w:t>推理框架开销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4D017">
            <w:pPr>
              <w:spacing w:before="40" w:after="4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vLLM + PagedAttention 运行时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16EE6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≈5-10 GB</w:t>
            </w:r>
          </w:p>
        </w:tc>
      </w:tr>
      <w:tr w14:paraId="44B7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C8B0C5">
            <w:pPr>
              <w:spacing w:before="40" w:after="4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Arial" w:cs="Arial"/>
                <w:b/>
                <w:bCs w:val="0"/>
                <w:color w:val="000000"/>
                <w:sz w:val="20"/>
                <w:szCs w:val="20"/>
              </w:rPr>
              <w:t>合计</w:t>
            </w:r>
          </w:p>
        </w:tc>
        <w:tc>
          <w:tcPr>
            <w:tcW w:w="4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2E0AC4">
            <w:pPr>
              <w:spacing w:before="40" w:after="40"/>
              <w:jc w:val="left"/>
              <w:rPr>
                <w:b w:val="0"/>
                <w:color w:val="000000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62E1C1">
            <w:pPr>
              <w:spacing w:before="40" w:after="4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≈</w:t>
            </w:r>
            <w:r>
              <w:rPr>
                <w:rFonts w:hint="eastAsia" w:ascii="Arial" w:hAnsi="Arial" w:eastAsia="宋体" w:cs="Arial"/>
                <w:b w:val="0"/>
                <w:bCs/>
                <w:color w:val="000000"/>
                <w:sz w:val="20"/>
                <w:szCs w:val="20"/>
                <w:lang w:val="en-US" w:eastAsia="zh-CN"/>
              </w:rPr>
              <w:t>8</w:t>
            </w: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1-</w:t>
            </w:r>
            <w:r>
              <w:rPr>
                <w:rFonts w:hint="eastAsia" w:ascii="Arial" w:hAnsi="Arial" w:eastAsia="宋体" w:cs="Arial"/>
                <w:b w:val="0"/>
                <w:bCs/>
                <w:color w:val="000000"/>
                <w:sz w:val="20"/>
                <w:szCs w:val="20"/>
                <w:lang w:val="en-US" w:eastAsia="zh-CN"/>
              </w:rPr>
              <w:t>96</w:t>
            </w: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 xml:space="preserve"> GB</w:t>
            </w:r>
          </w:p>
        </w:tc>
      </w:tr>
    </w:tbl>
    <w:p w14:paraId="5779905E">
      <w:pPr>
        <w:numPr>
          <w:ilvl w:val="0"/>
          <w:numId w:val="0"/>
        </w:numPr>
        <w:spacing w:after="0"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</w:rPr>
      </w:pPr>
      <w:r>
        <w:rPr>
          <w:rFonts w:hint="eastAsia" w:ascii="Times New Roman" w:hAnsi="Times New Roman" w:eastAsia="宋体" w:cs="Times New Roman"/>
          <w:color w:val="auto"/>
          <w:sz w:val="24"/>
          <w:lang w:val="en-US" w:eastAsia="zh-CN"/>
        </w:rPr>
        <w:t>两</w:t>
      </w:r>
      <w:r>
        <w:rPr>
          <w:rFonts w:hint="eastAsia" w:ascii="Times New Roman" w:hAnsi="Times New Roman" w:eastAsia="宋体" w:cs="Times New Roman"/>
          <w:color w:val="auto"/>
          <w:sz w:val="24"/>
        </w:rPr>
        <w:t>张A800</w:t>
      </w:r>
      <w:r>
        <w:rPr>
          <w:rFonts w:hint="eastAsia" w:ascii="Times New Roman" w:hAnsi="Times New Roman" w:eastAsia="宋体" w:cs="Times New Roman"/>
          <w:color w:val="auto"/>
          <w:sz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/>
        </w:rPr>
        <w:t>总显存160GB，峰值占用仅约94GB，</w:t>
      </w:r>
      <w:r>
        <w:rPr>
          <w:rFonts w:hint="eastAsia" w:ascii="Times New Roman" w:hAnsi="Times New Roman" w:eastAsia="宋体" w:cs="Times New Roman"/>
          <w:color w:val="auto"/>
          <w:sz w:val="24"/>
        </w:rPr>
        <w:t>可满足5路并发需求。</w:t>
      </w:r>
    </w:p>
    <w:p w14:paraId="6B3A4BCE">
      <w:pPr>
        <w:numPr>
          <w:ilvl w:val="0"/>
          <w:numId w:val="0"/>
        </w:numPr>
        <w:spacing w:after="0"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</w:rPr>
        <w:t xml:space="preserve">. </w:t>
      </w:r>
      <w:r>
        <w:rPr>
          <w:rFonts w:hint="eastAsia" w:ascii="Times New Roman" w:hAnsi="Times New Roman" w:eastAsia="宋体" w:cs="Times New Roman"/>
          <w:color w:val="auto"/>
          <w:sz w:val="24"/>
        </w:rPr>
        <w:t>推理费用测算</w:t>
      </w:r>
      <w:r>
        <w:rPr>
          <w:rFonts w:hint="eastAsia" w:ascii="Times New Roman" w:hAnsi="Times New Roman" w:eastAsia="宋体" w:cs="Times New Roman"/>
          <w:color w:val="auto"/>
          <w:sz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color w:val="auto"/>
          <w:sz w:val="24"/>
        </w:rPr>
        <w:t>按照</w:t>
      </w:r>
      <w:r>
        <w:rPr>
          <w:rFonts w:hint="eastAsia" w:ascii="Times New Roman" w:hAnsi="Times New Roman" w:eastAsia="宋体" w:cs="Times New Roman"/>
          <w:color w:val="auto"/>
          <w:sz w:val="24"/>
          <w:lang w:val="en-US" w:eastAsia="zh-CN"/>
        </w:rPr>
        <w:t>电信云</w:t>
      </w:r>
      <w:bookmarkStart w:id="2" w:name="_GoBack"/>
      <w:bookmarkEnd w:id="2"/>
      <w:r>
        <w:rPr>
          <w:rFonts w:hint="eastAsia" w:ascii="Times New Roman" w:hAnsi="Times New Roman" w:eastAsia="宋体" w:cs="Times New Roman"/>
          <w:color w:val="auto"/>
          <w:sz w:val="24"/>
        </w:rPr>
        <w:t>A800约7元/GPU小时计算，2卡月费用约10080元/月，综合存储、网络和运维资源，预计约1-1.2万元/月。</w:t>
      </w:r>
    </w:p>
    <w:p w14:paraId="658195E4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4"/>
        </w:rPr>
        <w:t>. 计算设备与网络设备等最终以电信AI环境为准。</w:t>
      </w:r>
    </w:p>
    <w:p w14:paraId="54D2DC4D">
      <w:pPr>
        <w:spacing w:before="156" w:beforeLines="50" w:after="0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五、技术方案</w:t>
      </w:r>
    </w:p>
    <w:p w14:paraId="229E7931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1. 数据采集清洗与标注</w:t>
      </w:r>
    </w:p>
    <w:p w14:paraId="057A8044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从业主处收集并清洗</w:t>
      </w:r>
      <w:r>
        <w:rPr>
          <w:rFonts w:ascii="Times New Roman" w:hAnsi="Times New Roman" w:eastAsia="宋体" w:cs="Times New Roman"/>
          <w:sz w:val="24"/>
        </w:rPr>
        <w:t>期刊论文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行业标准规范，政策、新闻等</w:t>
      </w:r>
      <w:r>
        <w:rPr>
          <w:rFonts w:hint="eastAsia" w:ascii="Times New Roman" w:hAnsi="Times New Roman" w:eastAsia="宋体" w:cs="Times New Roman"/>
          <w:sz w:val="24"/>
        </w:rPr>
        <w:t>文件。</w:t>
      </w:r>
    </w:p>
    <w:p w14:paraId="565F9EF0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下载并清洗</w:t>
      </w:r>
      <w:r>
        <w:rPr>
          <w:rFonts w:ascii="Times New Roman" w:hAnsi="Times New Roman" w:eastAsia="宋体" w:cs="Times New Roman"/>
          <w:sz w:val="24"/>
        </w:rPr>
        <w:t>期刊论文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行业标准规范，政策、新闻等</w:t>
      </w:r>
      <w:r>
        <w:rPr>
          <w:rFonts w:hint="eastAsia" w:ascii="Times New Roman" w:hAnsi="Times New Roman" w:eastAsia="宋体" w:cs="Times New Roman"/>
          <w:sz w:val="24"/>
        </w:rPr>
        <w:t>文件。</w:t>
      </w:r>
    </w:p>
    <w:p w14:paraId="3AD3681E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部分文件通过大模型，提取问答对。并通过其他多个大模型对全部问答对进行检查和校准，并通过领域专家进行部分问答对的检查和校准。</w:t>
      </w:r>
    </w:p>
    <w:p w14:paraId="0FB0DB4D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 微调第一阶段LoRA CPT:</w:t>
      </w:r>
      <w:r>
        <w:rPr>
          <w:rFonts w:ascii="Times New Roman" w:hAnsi="Times New Roman" w:eastAsia="宋体" w:cs="Times New Roman"/>
          <w:sz w:val="24"/>
        </w:rPr>
        <w:t xml:space="preserve"> PyTorch + DeepSpeed ZeRO-3 / FSDP训练框架</w:t>
      </w:r>
      <w:r>
        <w:rPr>
          <w:rFonts w:hint="eastAsia" w:ascii="Times New Roman" w:hAnsi="Times New Roman" w:eastAsia="宋体" w:cs="Times New Roman"/>
          <w:sz w:val="24"/>
        </w:rPr>
        <w:t>，在基础语料库上训练</w:t>
      </w:r>
      <w:r>
        <w:rPr>
          <w:rFonts w:ascii="Times New Roman" w:hAnsi="Times New Roman" w:eastAsia="宋体" w:cs="Times New Roman"/>
          <w:sz w:val="24"/>
        </w:rPr>
        <w:t>Qwen-72B</w:t>
      </w:r>
      <w:r>
        <w:rPr>
          <w:rFonts w:hint="eastAsia" w:ascii="Times New Roman" w:hAnsi="Times New Roman" w:eastAsia="宋体" w:cs="Times New Roman"/>
          <w:sz w:val="24"/>
        </w:rPr>
        <w:t>模型，</w:t>
      </w:r>
      <w:r>
        <w:rPr>
          <w:rFonts w:ascii="Times New Roman" w:hAnsi="Times New Roman" w:eastAsia="宋体" w:cs="Times New Roman"/>
          <w:sz w:val="24"/>
        </w:rPr>
        <w:t>冻结Qwen-72B</w:t>
      </w:r>
      <w:r>
        <w:rPr>
          <w:rFonts w:hint="eastAsia" w:ascii="Times New Roman" w:hAnsi="Times New Roman" w:eastAsia="宋体" w:cs="Times New Roman"/>
          <w:sz w:val="24"/>
        </w:rPr>
        <w:t>模型主干参数</w:t>
      </w:r>
      <w:r>
        <w:rPr>
          <w:rFonts w:ascii="Times New Roman" w:hAnsi="Times New Roman" w:eastAsia="宋体" w:cs="Times New Roman"/>
          <w:sz w:val="24"/>
        </w:rPr>
        <w:t>，仅</w:t>
      </w:r>
      <w:r>
        <w:rPr>
          <w:rFonts w:hint="eastAsia" w:ascii="Times New Roman" w:hAnsi="Times New Roman" w:eastAsia="宋体" w:cs="Times New Roman"/>
          <w:sz w:val="24"/>
        </w:rPr>
        <w:t>更新</w:t>
      </w:r>
      <w:r>
        <w:rPr>
          <w:rFonts w:ascii="Times New Roman" w:hAnsi="Times New Roman" w:eastAsia="宋体" w:cs="Times New Roman"/>
          <w:sz w:val="24"/>
        </w:rPr>
        <w:t>注意力层低秩矩阵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DeepSpeed ZeRO-3 + Tensor Parallel显存分片技术，批次大小设为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32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0.3～0.8</w:t>
      </w:r>
      <w:r>
        <w:rPr>
          <w:rFonts w:hint="eastAsia" w:ascii="Times New Roman" w:hAnsi="Times New Roman" w:eastAsia="宋体" w:cs="Times New Roman"/>
          <w:sz w:val="24"/>
        </w:rPr>
        <w:t>个epoc。每500</w:t>
      </w:r>
      <w:r>
        <w:rPr>
          <w:rFonts w:ascii="Times New Roman" w:hAnsi="Times New Roman" w:eastAsia="宋体" w:cs="Times New Roman"/>
          <w:sz w:val="24"/>
        </w:rPr>
        <w:t>步数保存 checkpoint，验证集</w:t>
      </w:r>
      <w:r>
        <w:rPr>
          <w:rFonts w:hint="eastAsia" w:ascii="Times New Roman" w:hAnsi="Times New Roman" w:eastAsia="宋体" w:cs="Times New Roman"/>
          <w:sz w:val="24"/>
        </w:rPr>
        <w:t>测试确定</w:t>
      </w:r>
      <w:r>
        <w:rPr>
          <w:rFonts w:ascii="Times New Roman" w:hAnsi="Times New Roman" w:eastAsia="宋体" w:cs="Times New Roman"/>
          <w:sz w:val="24"/>
        </w:rPr>
        <w:t>早停</w:t>
      </w:r>
      <w:r>
        <w:rPr>
          <w:rFonts w:hint="eastAsia" w:ascii="Times New Roman" w:hAnsi="Times New Roman" w:eastAsia="宋体" w:cs="Times New Roman"/>
          <w:sz w:val="24"/>
        </w:rPr>
        <w:t>位置。</w:t>
      </w:r>
    </w:p>
    <w:p w14:paraId="28AF58A7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 微调第二阶段LoRA SFT：</w:t>
      </w:r>
      <w:r>
        <w:rPr>
          <w:rFonts w:ascii="Times New Roman" w:hAnsi="Times New Roman" w:eastAsia="宋体" w:cs="Times New Roman"/>
          <w:sz w:val="24"/>
        </w:rPr>
        <w:t>PyTorch + DeepSpeed ZeRO-3 / FSDP训练框架</w:t>
      </w:r>
      <w:r>
        <w:rPr>
          <w:rFonts w:hint="eastAsia" w:ascii="Times New Roman" w:hAnsi="Times New Roman" w:eastAsia="宋体" w:cs="Times New Roman"/>
          <w:sz w:val="24"/>
        </w:rPr>
        <w:t>，在对齐语料上训练第一阶段获得的模型，</w:t>
      </w:r>
      <w:r>
        <w:rPr>
          <w:rFonts w:ascii="Times New Roman" w:hAnsi="Times New Roman" w:eastAsia="宋体" w:cs="Times New Roman"/>
          <w:sz w:val="24"/>
        </w:rPr>
        <w:t>重新初始化 LoRA 适配器</w:t>
      </w:r>
      <w:r>
        <w:rPr>
          <w:rFonts w:hint="eastAsia" w:ascii="Times New Roman" w:hAnsi="Times New Roman" w:eastAsia="宋体" w:cs="Times New Roman"/>
          <w:sz w:val="24"/>
        </w:rPr>
        <w:t>，每500</w:t>
      </w:r>
      <w:r>
        <w:rPr>
          <w:rFonts w:ascii="Times New Roman" w:hAnsi="Times New Roman" w:eastAsia="宋体" w:cs="Times New Roman"/>
          <w:sz w:val="24"/>
        </w:rPr>
        <w:t>步数保存 checkpoint，验证集</w:t>
      </w:r>
      <w:r>
        <w:rPr>
          <w:rFonts w:hint="eastAsia" w:ascii="Times New Roman" w:hAnsi="Times New Roman" w:eastAsia="宋体" w:cs="Times New Roman"/>
          <w:sz w:val="24"/>
        </w:rPr>
        <w:t>测试确定</w:t>
      </w:r>
      <w:r>
        <w:rPr>
          <w:rFonts w:ascii="Times New Roman" w:hAnsi="Times New Roman" w:eastAsia="宋体" w:cs="Times New Roman"/>
          <w:sz w:val="24"/>
        </w:rPr>
        <w:t>早停</w:t>
      </w:r>
      <w:r>
        <w:rPr>
          <w:rFonts w:hint="eastAsia" w:ascii="Times New Roman" w:hAnsi="Times New Roman" w:eastAsia="宋体" w:cs="Times New Roman"/>
          <w:sz w:val="24"/>
        </w:rPr>
        <w:t>位置。</w:t>
      </w:r>
    </w:p>
    <w:p w14:paraId="3800232B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4. 量化：</w:t>
      </w:r>
      <w:r>
        <w:rPr>
          <w:rFonts w:ascii="Times New Roman" w:hAnsi="Times New Roman" w:eastAsia="宋体" w:cs="Times New Roman"/>
          <w:sz w:val="24"/>
        </w:rPr>
        <w:t>采用AutoAWQ INT4量化工具链，使用交通专业校准集进行感知校准。</w:t>
      </w:r>
    </w:p>
    <w:p w14:paraId="009FD4BE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5. 推理：部署于电信云环境，</w:t>
      </w:r>
      <w:r>
        <w:rPr>
          <w:rFonts w:ascii="Times New Roman" w:hAnsi="Times New Roman" w:eastAsia="宋体" w:cs="Times New Roman"/>
          <w:sz w:val="24"/>
        </w:rPr>
        <w:t>采用vLLM + PagedAttention动态KV缓存技术。</w:t>
      </w:r>
    </w:p>
    <w:p w14:paraId="3252C212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6. 部署与应用：提供智能问答平台；</w:t>
      </w:r>
      <w:r>
        <w:rPr>
          <w:rFonts w:ascii="Times New Roman" w:hAnsi="Times New Roman" w:eastAsia="宋体" w:cs="Times New Roman"/>
          <w:sz w:val="24"/>
        </w:rPr>
        <w:t>RESTful API接口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38CD89C9">
      <w:pPr>
        <w:spacing w:before="156" w:beforeLines="50" w:after="0" w:line="360" w:lineRule="auto"/>
        <w:jc w:val="both"/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六、技术指标</w:t>
      </w:r>
    </w:p>
    <w:p w14:paraId="28698514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1. </w:t>
      </w:r>
      <w:r>
        <w:rPr>
          <w:rFonts w:ascii="Times New Roman" w:hAnsi="Times New Roman" w:eastAsia="宋体" w:cs="Times New Roman"/>
          <w:sz w:val="24"/>
        </w:rPr>
        <w:t>准确率保留率≥9</w:t>
      </w:r>
      <w:r>
        <w:rPr>
          <w:rFonts w:hint="eastAsia" w:ascii="Times New Roman" w:hAnsi="Times New Roman" w:eastAsia="宋体" w:cs="Times New Roman"/>
          <w:sz w:val="24"/>
        </w:rPr>
        <w:t>5</w:t>
      </w:r>
      <w:r>
        <w:rPr>
          <w:rFonts w:ascii="Times New Roman" w:hAnsi="Times New Roman" w:eastAsia="宋体" w:cs="Times New Roman"/>
          <w:sz w:val="24"/>
        </w:rPr>
        <w:t>%</w:t>
      </w:r>
    </w:p>
    <w:p w14:paraId="318DC009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2. </w:t>
      </w:r>
      <w:r>
        <w:rPr>
          <w:rFonts w:ascii="Times New Roman" w:hAnsi="Times New Roman" w:eastAsia="宋体" w:cs="Times New Roman"/>
          <w:sz w:val="24"/>
        </w:rPr>
        <w:t>首Token延迟≤35ms</w:t>
      </w:r>
    </w:p>
    <w:p w14:paraId="3D12DFD7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 8K上下文回答延迟</w:t>
      </w:r>
      <w:r>
        <w:rPr>
          <w:rFonts w:ascii="Times New Roman" w:hAnsi="Times New Roman" w:eastAsia="宋体" w:cs="Times New Roman"/>
          <w:sz w:val="24"/>
        </w:rPr>
        <w:t>≤</w:t>
      </w:r>
      <w:r>
        <w:rPr>
          <w:rFonts w:hint="eastAsia"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t>s</w:t>
      </w:r>
    </w:p>
    <w:p w14:paraId="70E5B622">
      <w:pPr>
        <w:spacing w:after="0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4"/>
        </w:rPr>
        <w:t xml:space="preserve">4. </w:t>
      </w:r>
      <w:r>
        <w:rPr>
          <w:rFonts w:ascii="Times New Roman" w:hAnsi="Times New Roman" w:eastAsia="宋体" w:cs="Times New Roman"/>
          <w:sz w:val="24"/>
        </w:rPr>
        <w:t>服务可用性达99.9%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5B2"/>
    <w:rsid w:val="000300FF"/>
    <w:rsid w:val="00097CE6"/>
    <w:rsid w:val="000E18F4"/>
    <w:rsid w:val="000F1DAD"/>
    <w:rsid w:val="00120FAD"/>
    <w:rsid w:val="00156EFB"/>
    <w:rsid w:val="001D409B"/>
    <w:rsid w:val="00267901"/>
    <w:rsid w:val="00280747"/>
    <w:rsid w:val="002C518E"/>
    <w:rsid w:val="002D05B2"/>
    <w:rsid w:val="00322DC2"/>
    <w:rsid w:val="00350059"/>
    <w:rsid w:val="00371860"/>
    <w:rsid w:val="003961D6"/>
    <w:rsid w:val="003F5588"/>
    <w:rsid w:val="004416DE"/>
    <w:rsid w:val="00480984"/>
    <w:rsid w:val="00576A5A"/>
    <w:rsid w:val="006B35DC"/>
    <w:rsid w:val="006E13F5"/>
    <w:rsid w:val="006E3E35"/>
    <w:rsid w:val="00702331"/>
    <w:rsid w:val="00710F48"/>
    <w:rsid w:val="00766AD2"/>
    <w:rsid w:val="009966FE"/>
    <w:rsid w:val="00AE4C4B"/>
    <w:rsid w:val="00AE5ED8"/>
    <w:rsid w:val="00B67639"/>
    <w:rsid w:val="00B969BF"/>
    <w:rsid w:val="00C01D06"/>
    <w:rsid w:val="00C3543B"/>
    <w:rsid w:val="00CA05B9"/>
    <w:rsid w:val="00CB3741"/>
    <w:rsid w:val="00CE72C4"/>
    <w:rsid w:val="00CE7B3E"/>
    <w:rsid w:val="00CF2763"/>
    <w:rsid w:val="00D27382"/>
    <w:rsid w:val="00D76B9D"/>
    <w:rsid w:val="00E041ED"/>
    <w:rsid w:val="00E454B0"/>
    <w:rsid w:val="00E861D3"/>
    <w:rsid w:val="00EA0B64"/>
    <w:rsid w:val="00EB7E28"/>
    <w:rsid w:val="00F20FAE"/>
    <w:rsid w:val="0B31585D"/>
    <w:rsid w:val="F5BF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1089</Words>
  <Characters>1495</Characters>
  <Lines>59</Lines>
  <Paragraphs>78</Paragraphs>
  <TotalTime>5</TotalTime>
  <ScaleCrop>false</ScaleCrop>
  <LinksUpToDate>false</LinksUpToDate>
  <CharactersWithSpaces>1568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2026-07-26T11:04:00Z</dcterms:created>
  <dc:creator>Guangle Yao</dc:creator>
  <cp:lastModifiedBy>Deep universe</cp:lastModifiedBy>
  <dcterms:modified xsi:type="dcterms:W3CDTF">2026-07-31T08:22:34Z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75C9DBC655B319B859DD6A6A727317E6_42</vt:lpwstr>
  </property>
  <property fmtid="{D5CDD505-2E9C-101B-9397-08002B2CF9AE}" pid="4" name="KSOTemplateDocerSaveRecord">
    <vt:lpwstr>eyJoZGlkIjoiZWFiMzgyM2RiMjA2MmVjM2I3OTgxZjc1Y2JiZTMxNGIiLCJ1c2VySWQiOiIxMzYzNTc2NzU2In0=</vt:lpwstr>
  </property>
</Properties>
</file>