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194A" w14:textId="77777777" w:rsidR="00110F67" w:rsidRPr="00110F67" w:rsidRDefault="00110F67" w:rsidP="00110F67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t>一、融资目的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本次融资主要用于扩大公司生产规模和开发新产品，以提高公司市场份额和盈利能力。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二、融资规模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本次融资计划融资总额为1000万元人民币，其中银行贷款500万元，股权融资500万元。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三、融资方式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本次融资计划采用银行贷款和股权融资两种方式。银行贷款的利率为5%，期限为3年，股权融资的方式为向投资者发行股票，股权比例为10%。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四、融资期限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银行贷款的期限为3年，股权融资的期限为永久。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五、融资成本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银行贷款的利率为5%，手续费为1%。股权融资的费用为发行股票的手续费和保荐费，总费用为50万元。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六、融资风险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本次融资计划可能面临的风险包括市场风险、信用风险和流动性风险。公司将采取多种措施来管理这些风险，包括加强市场调研、优化信用评级体系、提高流动性等。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七、融资计划的时间表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起草融资计划文件：2021年1月1日至1月31日。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进行融资谈判：2021年2月1日至2月28日。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签订融资协议：2021年3月1日至3月31日。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融资款项到位：2021年4月1日至4月30日。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八、融资后的财务状况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预测公司融资后的财务状况，预计公司的盈利能力和偿债能力将得到提高。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九、融资后的股权结构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预测公司融资后的股权结构和股东权益变化，预计投资者将持有公司10%的股权。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十、融资计划的评估和监控</w:t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10F6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公司将制定融资计划的评估和监控机制，定期监测融资计划的执行情况，并进行绩效评估。</w:t>
      </w:r>
    </w:p>
    <w:p w14:paraId="514C2817" w14:textId="77777777" w:rsidR="00A84699" w:rsidRDefault="00A84699"/>
    <w:sectPr w:rsidR="00A8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FF"/>
    <w:rsid w:val="00110F67"/>
    <w:rsid w:val="00A84699"/>
    <w:rsid w:val="00A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1DD0E-7602-4FFE-93EA-127D9A11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2023-11-01T07:50:00Z</dcterms:created>
  <dcterms:modified xsi:type="dcterms:W3CDTF">2023-11-01T07:50:00Z</dcterms:modified>
</cp:coreProperties>
</file>