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关于PrBE: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如果外设接口是寄存器，那么若果外设不支持对字节的操作而只支持对字的操作是，不必需要字节使能。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外设是存储器的话，若存储器是按字节编址，CPU给出的地址应该是完整32位，此时也不需要额外的字节使能；若存储器按字长编址，那么CPU给出的地址为去掉低2位的地址，此时若进行半字或字节操作时需要额外增加字节使能，但如果给出的是完整三十二位地址，可以在Bridge中进行译码生成字节使能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Timer 状态转移图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143250"/>
            <wp:effectExtent l="0" t="0" r="11430" b="635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计时器使用说明：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1.在00计时器模式中，初始状态处于IDLE，此时允许对三个寄存器赋值，赋值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结束后，进入加载状态时不允许对控制寄存器和计数寄存器赋值，否则会打乱原来的计数过程，导致中断信号的错误产生。在CNT阶段不允许对计数寄存器赋值，对控制寄存器的赋值会提前结束计数过程，用于优先级较高的中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10D82"/>
    <w:rsid w:val="53E8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2019-12-14T07:12:00Z</dcterms:created>
  <dc:creator>65186</dc:creator>
  <cp:lastModifiedBy>firmina</cp:lastModifiedBy>
  <dcterms:modified xsi:type="dcterms:W3CDTF">2019-12-15T04:12:43Z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