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80C6" w14:textId="3FBF0D64" w:rsidR="00D057FD" w:rsidRDefault="00896D78" w:rsidP="00896D78">
      <w:pPr>
        <w:ind w:firstLineChars="200" w:firstLine="440"/>
        <w:rPr>
          <w:rFonts w:ascii="Times New Roman" w:hAnsi="Times New Roman" w:cs="Times New Roman"/>
        </w:rPr>
      </w:pPr>
      <w:r w:rsidRPr="00896D78">
        <w:rPr>
          <w:rFonts w:ascii="Times New Roman" w:hAnsi="Times New Roman" w:cs="Times New Roman"/>
        </w:rPr>
        <w:t>This table presents the differences between the MUMV-CIVRP-BLRN model and traditional studies such as VRP-D and MTS-P-D in terms of vehicle-UAV collaboration capabilities and UAV operation.</w:t>
      </w:r>
    </w:p>
    <w:p w14:paraId="5AF2F08B" w14:textId="77777777" w:rsidR="00FC3BC2" w:rsidRPr="00F93808" w:rsidRDefault="00FC3BC2" w:rsidP="00FC3BC2">
      <w:pPr>
        <w:pStyle w:val="af3"/>
        <w:keepNext/>
        <w:rPr>
          <w:rFonts w:ascii="Times New Roman" w:hAnsi="Times New Roman" w:cs="Times New Roman"/>
        </w:rPr>
      </w:pPr>
      <w:bookmarkStart w:id="0" w:name="_Ref208062313"/>
      <w:r w:rsidRPr="00F93808">
        <w:rPr>
          <w:rFonts w:ascii="Times New Roman" w:eastAsia="宋体" w:hAnsi="Times New Roman" w:cs="Times New Roman"/>
          <w:color w:val="000000"/>
        </w:rPr>
        <w:t xml:space="preserve">Table </w:t>
      </w:r>
      <w:r w:rsidRPr="00F93808">
        <w:rPr>
          <w:rFonts w:ascii="Times New Roman" w:eastAsia="宋体" w:hAnsi="Times New Roman" w:cs="Times New Roman"/>
          <w:color w:val="000000"/>
        </w:rPr>
        <w:fldChar w:fldCharType="begin"/>
      </w:r>
      <w:r w:rsidRPr="00F93808">
        <w:rPr>
          <w:rFonts w:ascii="Times New Roman" w:eastAsia="宋体" w:hAnsi="Times New Roman" w:cs="Times New Roman"/>
          <w:color w:val="000000"/>
        </w:rPr>
        <w:instrText xml:space="preserve"> SEQ Table \* ARABIC </w:instrText>
      </w:r>
      <w:r w:rsidRPr="00F93808">
        <w:rPr>
          <w:rFonts w:ascii="Times New Roman" w:eastAsia="宋体" w:hAnsi="Times New Roman" w:cs="Times New Roman"/>
          <w:color w:val="000000"/>
        </w:rPr>
        <w:fldChar w:fldCharType="separate"/>
      </w:r>
      <w:r w:rsidRPr="00F93808">
        <w:rPr>
          <w:rFonts w:ascii="Times New Roman" w:eastAsia="宋体" w:hAnsi="Times New Roman" w:cs="Times New Roman"/>
          <w:noProof/>
          <w:color w:val="000000"/>
        </w:rPr>
        <w:t>1</w:t>
      </w:r>
      <w:r w:rsidRPr="00F93808">
        <w:rPr>
          <w:rFonts w:ascii="Times New Roman" w:eastAsia="宋体" w:hAnsi="Times New Roman" w:cs="Times New Roman"/>
          <w:color w:val="000000"/>
        </w:rPr>
        <w:fldChar w:fldCharType="end"/>
      </w:r>
      <w:bookmarkEnd w:id="0"/>
      <w:r w:rsidRPr="00F93808">
        <w:rPr>
          <w:rFonts w:ascii="Times New Roman" w:eastAsia="宋体" w:hAnsi="Times New Roman" w:cs="Times New Roman"/>
          <w:color w:val="000000"/>
        </w:rPr>
        <w:t xml:space="preserve"> Recent Research on the Vehicle-UAV Collaborative Operation Framework</w:t>
      </w:r>
    </w:p>
    <w:tbl>
      <w:tblPr>
        <w:tblStyle w:val="af2"/>
        <w:tblW w:w="111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818"/>
        <w:gridCol w:w="842"/>
        <w:gridCol w:w="932"/>
        <w:gridCol w:w="1098"/>
        <w:gridCol w:w="1256"/>
        <w:gridCol w:w="1276"/>
        <w:gridCol w:w="1159"/>
        <w:gridCol w:w="1251"/>
        <w:gridCol w:w="1417"/>
      </w:tblGrid>
      <w:tr w:rsidR="00FC3BC2" w:rsidRPr="00F93808" w14:paraId="5D556605" w14:textId="77777777" w:rsidTr="001C3172">
        <w:trPr>
          <w:jc w:val="center"/>
        </w:trPr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2FBB5" w14:textId="77777777" w:rsidR="00FC3BC2" w:rsidRPr="00F93808" w:rsidRDefault="00FC3BC2" w:rsidP="001C3172">
            <w:pPr>
              <w:spacing w:line="252" w:lineRule="auto"/>
              <w:rPr>
                <w:sz w:val="18"/>
                <w:szCs w:val="18"/>
              </w:rPr>
            </w:pPr>
            <w:r w:rsidRPr="00F93808">
              <w:rPr>
                <w:sz w:val="18"/>
                <w:szCs w:val="18"/>
              </w:rPr>
              <w:t>References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F2838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Vehicle-UAV Characteristic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6C189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Vehicle-Based UAV Recovery Mechanism</w:t>
            </w:r>
          </w:p>
        </w:tc>
        <w:tc>
          <w:tcPr>
            <w:tcW w:w="369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B92C3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UAV Flight Authorization</w:t>
            </w:r>
          </w:p>
        </w:tc>
        <w:tc>
          <w:tcPr>
            <w:tcW w:w="26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2A358E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Vehicle Task Authorization</w:t>
            </w:r>
          </w:p>
        </w:tc>
      </w:tr>
      <w:tr w:rsidR="00FC3BC2" w:rsidRPr="00F93808" w14:paraId="01531F19" w14:textId="77777777" w:rsidTr="001C3172">
        <w:trPr>
          <w:jc w:val="center"/>
        </w:trPr>
        <w:tc>
          <w:tcPr>
            <w:tcW w:w="1149" w:type="dxa"/>
            <w:vMerge/>
            <w:tcBorders>
              <w:bottom w:val="single" w:sz="4" w:space="0" w:color="auto"/>
            </w:tcBorders>
            <w:vAlign w:val="center"/>
          </w:tcPr>
          <w:p w14:paraId="3037BB10" w14:textId="77777777" w:rsidR="00FC3BC2" w:rsidRPr="00F93808" w:rsidRDefault="00FC3BC2" w:rsidP="001C3172">
            <w:pPr>
              <w:spacing w:line="252" w:lineRule="auto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02835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Multiple UAVs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35976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Multiple Vehicles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BE666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Launch-Node Recovery</w:t>
            </w: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2AB6D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Multi-Node Recovery</w:t>
            </w:r>
          </w:p>
        </w:tc>
        <w:tc>
          <w:tcPr>
            <w:tcW w:w="1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73C4E" w14:textId="77777777" w:rsidR="00FC3BC2" w:rsidRPr="00F93808" w:rsidRDefault="00FC3BC2" w:rsidP="001C3172">
            <w:pPr>
              <w:wordWrap w:val="0"/>
              <w:spacing w:line="252" w:lineRule="auto"/>
              <w:jc w:val="center"/>
            </w:pPr>
            <w:r w:rsidRPr="00F93808">
              <w:rPr>
                <w:sz w:val="16"/>
                <w:szCs w:val="16"/>
              </w:rPr>
              <w:t>Single Launch-Multiple Tasks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14FA9" w14:textId="77777777" w:rsidR="00FC3BC2" w:rsidRPr="00F93808" w:rsidRDefault="00FC3BC2" w:rsidP="001C3172">
            <w:pPr>
              <w:wordWrap w:val="0"/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 xml:space="preserve">Same-Vehicle Launch and </w:t>
            </w:r>
          </w:p>
          <w:p w14:paraId="2819B946" w14:textId="77777777" w:rsidR="00FC3BC2" w:rsidRPr="00F93808" w:rsidRDefault="00FC3BC2" w:rsidP="001C3172">
            <w:pPr>
              <w:wordWrap w:val="0"/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Recovery</w:t>
            </w:r>
          </w:p>
        </w:tc>
        <w:tc>
          <w:tcPr>
            <w:tcW w:w="11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572B7" w14:textId="77777777" w:rsidR="00FC3BC2" w:rsidRPr="00F93808" w:rsidRDefault="00FC3BC2" w:rsidP="001C3172">
            <w:pPr>
              <w:wordWrap w:val="0"/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 xml:space="preserve">Flexible Landing on Any </w:t>
            </w:r>
          </w:p>
          <w:p w14:paraId="666ED0D6" w14:textId="77777777" w:rsidR="00FC3BC2" w:rsidRPr="00F93808" w:rsidRDefault="00FC3BC2" w:rsidP="001C3172">
            <w:pPr>
              <w:wordWrap w:val="0"/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Vehicle</w:t>
            </w:r>
          </w:p>
        </w:tc>
        <w:tc>
          <w:tcPr>
            <w:tcW w:w="12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E9369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Multi-Vehicle Coordination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9EBAE" w14:textId="77777777" w:rsidR="00FC3BC2" w:rsidRPr="00F93808" w:rsidRDefault="00FC3BC2" w:rsidP="001C3172">
            <w:pPr>
              <w:spacing w:line="252" w:lineRule="auto"/>
              <w:jc w:val="center"/>
              <w:rPr>
                <w:sz w:val="16"/>
                <w:szCs w:val="16"/>
              </w:rPr>
            </w:pPr>
            <w:r w:rsidRPr="00F93808">
              <w:rPr>
                <w:sz w:val="16"/>
                <w:szCs w:val="16"/>
              </w:rPr>
              <w:t>Node Congestion Constraints</w:t>
            </w:r>
          </w:p>
        </w:tc>
      </w:tr>
      <w:tr w:rsidR="00FC3BC2" w:rsidRPr="00F93808" w14:paraId="137F586A" w14:textId="77777777" w:rsidTr="001C3172">
        <w:trPr>
          <w:jc w:val="center"/>
        </w:trPr>
        <w:tc>
          <w:tcPr>
            <w:tcW w:w="1149" w:type="dxa"/>
            <w:tcBorders>
              <w:top w:val="single" w:sz="4" w:space="0" w:color="auto"/>
            </w:tcBorders>
            <w:vAlign w:val="center"/>
          </w:tcPr>
          <w:p w14:paraId="6CDCADFD" w14:textId="77777777" w:rsidR="00FC3BC2" w:rsidRPr="00F93808" w:rsidRDefault="00FC3BC2" w:rsidP="001C3172">
            <w:pPr>
              <w:spacing w:line="252" w:lineRule="auto"/>
              <w:jc w:val="center"/>
            </w:pPr>
            <w:bookmarkStart w:id="1" w:name="OLE_LINK153"/>
            <w:r w:rsidRPr="00F93808">
              <w:t>[1]</w:t>
            </w:r>
            <w:bookmarkEnd w:id="1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90BADA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12F1D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D366D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tcBorders>
              <w:top w:val="single" w:sz="4" w:space="0" w:color="auto"/>
            </w:tcBorders>
            <w:vAlign w:val="center"/>
          </w:tcPr>
          <w:p w14:paraId="561E363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tcBorders>
              <w:top w:val="single" w:sz="4" w:space="0" w:color="auto"/>
            </w:tcBorders>
            <w:vAlign w:val="center"/>
          </w:tcPr>
          <w:p w14:paraId="601345F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E70922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tcBorders>
              <w:top w:val="single" w:sz="4" w:space="0" w:color="auto"/>
            </w:tcBorders>
            <w:vAlign w:val="center"/>
          </w:tcPr>
          <w:p w14:paraId="1FA32E6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tcBorders>
              <w:top w:val="single" w:sz="4" w:space="0" w:color="auto"/>
            </w:tcBorders>
            <w:vAlign w:val="center"/>
          </w:tcPr>
          <w:p w14:paraId="52379ED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AD4DF1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6A07AD99" w14:textId="77777777" w:rsidTr="001C3172">
        <w:trPr>
          <w:jc w:val="center"/>
        </w:trPr>
        <w:tc>
          <w:tcPr>
            <w:tcW w:w="1149" w:type="dxa"/>
            <w:vAlign w:val="center"/>
          </w:tcPr>
          <w:p w14:paraId="176F92E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[2]</w:t>
            </w:r>
          </w:p>
        </w:tc>
        <w:tc>
          <w:tcPr>
            <w:tcW w:w="0" w:type="auto"/>
            <w:vAlign w:val="center"/>
          </w:tcPr>
          <w:p w14:paraId="2E6485A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6169608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22A88EE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377F23C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238CB72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685A300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66F22C0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738EEE9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4D63001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0C025311" w14:textId="77777777" w:rsidTr="001C3172">
        <w:trPr>
          <w:jc w:val="center"/>
        </w:trPr>
        <w:tc>
          <w:tcPr>
            <w:tcW w:w="1149" w:type="dxa"/>
            <w:vAlign w:val="center"/>
          </w:tcPr>
          <w:p w14:paraId="439BC3B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[3]</w:t>
            </w:r>
          </w:p>
        </w:tc>
        <w:tc>
          <w:tcPr>
            <w:tcW w:w="0" w:type="auto"/>
            <w:vAlign w:val="center"/>
          </w:tcPr>
          <w:p w14:paraId="49B003F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0096102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17F74D3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098" w:type="dxa"/>
            <w:vAlign w:val="center"/>
          </w:tcPr>
          <w:p w14:paraId="0559F9A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67CBED6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156037B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27454F3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vAlign w:val="center"/>
          </w:tcPr>
          <w:p w14:paraId="28FD3A5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15B2EB8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7A535834" w14:textId="77777777" w:rsidTr="001C3172">
        <w:trPr>
          <w:jc w:val="center"/>
        </w:trPr>
        <w:tc>
          <w:tcPr>
            <w:tcW w:w="1149" w:type="dxa"/>
            <w:vAlign w:val="center"/>
          </w:tcPr>
          <w:p w14:paraId="50396F6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[4]</w:t>
            </w:r>
          </w:p>
        </w:tc>
        <w:tc>
          <w:tcPr>
            <w:tcW w:w="0" w:type="auto"/>
            <w:vAlign w:val="center"/>
          </w:tcPr>
          <w:p w14:paraId="4674373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7376D63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31045C9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0F60BC4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0D24158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3C5AFA8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09497A5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vAlign w:val="center"/>
          </w:tcPr>
          <w:p w14:paraId="62E6192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306052C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2E51FECC" w14:textId="77777777" w:rsidTr="001C3172">
        <w:trPr>
          <w:jc w:val="center"/>
        </w:trPr>
        <w:tc>
          <w:tcPr>
            <w:tcW w:w="1149" w:type="dxa"/>
            <w:vAlign w:val="center"/>
          </w:tcPr>
          <w:p w14:paraId="6A6BB58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[5]</w:t>
            </w:r>
          </w:p>
        </w:tc>
        <w:tc>
          <w:tcPr>
            <w:tcW w:w="0" w:type="auto"/>
            <w:vAlign w:val="center"/>
          </w:tcPr>
          <w:p w14:paraId="411FF8F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029E544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0F12EA2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63AD97E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15A9A9E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28E7B7B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5C80D009" w14:textId="77777777" w:rsidR="00FC3BC2" w:rsidRPr="00F93808" w:rsidRDefault="00FC3BC2" w:rsidP="001C3172">
            <w:pPr>
              <w:spacing w:line="252" w:lineRule="auto"/>
              <w:jc w:val="center"/>
            </w:pPr>
          </w:p>
        </w:tc>
        <w:tc>
          <w:tcPr>
            <w:tcW w:w="1251" w:type="dxa"/>
            <w:vAlign w:val="center"/>
          </w:tcPr>
          <w:p w14:paraId="54B9C53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75CF573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2537126C" w14:textId="77777777" w:rsidTr="001C3172">
        <w:trPr>
          <w:jc w:val="center"/>
        </w:trPr>
        <w:tc>
          <w:tcPr>
            <w:tcW w:w="1149" w:type="dxa"/>
            <w:vAlign w:val="center"/>
          </w:tcPr>
          <w:p w14:paraId="1AA8B0E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[6]</w:t>
            </w:r>
          </w:p>
        </w:tc>
        <w:tc>
          <w:tcPr>
            <w:tcW w:w="0" w:type="auto"/>
            <w:vAlign w:val="center"/>
          </w:tcPr>
          <w:p w14:paraId="54974AC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4B1BE13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079B2A83" w14:textId="77777777" w:rsidR="00FC3BC2" w:rsidRPr="00F93808" w:rsidRDefault="00FC3BC2" w:rsidP="001C3172">
            <w:pPr>
              <w:spacing w:line="252" w:lineRule="auto"/>
              <w:jc w:val="center"/>
            </w:pPr>
          </w:p>
        </w:tc>
        <w:tc>
          <w:tcPr>
            <w:tcW w:w="1098" w:type="dxa"/>
            <w:vAlign w:val="center"/>
          </w:tcPr>
          <w:p w14:paraId="66BA93E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6" w:type="dxa"/>
            <w:vAlign w:val="center"/>
          </w:tcPr>
          <w:p w14:paraId="1EC97E4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32FE56D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62554E6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vAlign w:val="center"/>
          </w:tcPr>
          <w:p w14:paraId="7DAE251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1CD151A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062E12AB" w14:textId="77777777" w:rsidTr="001C3172">
        <w:trPr>
          <w:jc w:val="center"/>
        </w:trPr>
        <w:tc>
          <w:tcPr>
            <w:tcW w:w="1149" w:type="dxa"/>
            <w:vAlign w:val="center"/>
          </w:tcPr>
          <w:p w14:paraId="4CCA720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[7]</w:t>
            </w:r>
          </w:p>
        </w:tc>
        <w:tc>
          <w:tcPr>
            <w:tcW w:w="0" w:type="auto"/>
            <w:vAlign w:val="center"/>
          </w:tcPr>
          <w:p w14:paraId="0D856A9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5257A40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073BC98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1BB0047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4AA8CFD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493AD0F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707037E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1C1C6E8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09C92F7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</w:tr>
      <w:tr w:rsidR="00FC3BC2" w:rsidRPr="00F93808" w14:paraId="21F4E727" w14:textId="77777777" w:rsidTr="001C3172">
        <w:trPr>
          <w:jc w:val="center"/>
        </w:trPr>
        <w:tc>
          <w:tcPr>
            <w:tcW w:w="1149" w:type="dxa"/>
            <w:vAlign w:val="center"/>
          </w:tcPr>
          <w:p w14:paraId="308ECCF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[8]</w:t>
            </w:r>
          </w:p>
        </w:tc>
        <w:tc>
          <w:tcPr>
            <w:tcW w:w="0" w:type="auto"/>
            <w:vAlign w:val="center"/>
          </w:tcPr>
          <w:p w14:paraId="7159E4F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20B1AB4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5B048AA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5847E38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58F1DC4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519DAA1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2893746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3BE5357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633FCEF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6731ACD6" w14:textId="77777777" w:rsidTr="001C3172">
        <w:trPr>
          <w:jc w:val="center"/>
        </w:trPr>
        <w:tc>
          <w:tcPr>
            <w:tcW w:w="1149" w:type="dxa"/>
            <w:vAlign w:val="center"/>
          </w:tcPr>
          <w:p w14:paraId="4B5486D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[9]</w:t>
            </w:r>
          </w:p>
        </w:tc>
        <w:tc>
          <w:tcPr>
            <w:tcW w:w="0" w:type="auto"/>
            <w:vAlign w:val="center"/>
          </w:tcPr>
          <w:p w14:paraId="04C54DA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2041DDC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19E7209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52DB461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411D6B8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20B3CFB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2D34BB5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vAlign w:val="center"/>
          </w:tcPr>
          <w:p w14:paraId="5B037E8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3019C1E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49BB5B23" w14:textId="77777777" w:rsidTr="001C3172">
        <w:trPr>
          <w:jc w:val="center"/>
        </w:trPr>
        <w:tc>
          <w:tcPr>
            <w:tcW w:w="1149" w:type="dxa"/>
            <w:vAlign w:val="center"/>
          </w:tcPr>
          <w:p w14:paraId="77C084B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[10]</w:t>
            </w:r>
          </w:p>
        </w:tc>
        <w:tc>
          <w:tcPr>
            <w:tcW w:w="0" w:type="auto"/>
            <w:vAlign w:val="center"/>
          </w:tcPr>
          <w:p w14:paraId="2FB0BE7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2A88C96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5CA3684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03E37EC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498340C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4B58094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0B67ADA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237C90A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7CC5C24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04E540B7" w14:textId="77777777" w:rsidTr="001C3172">
        <w:trPr>
          <w:jc w:val="center"/>
        </w:trPr>
        <w:tc>
          <w:tcPr>
            <w:tcW w:w="1149" w:type="dxa"/>
            <w:vAlign w:val="center"/>
          </w:tcPr>
          <w:p w14:paraId="33A427D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[11]</w:t>
            </w:r>
          </w:p>
        </w:tc>
        <w:tc>
          <w:tcPr>
            <w:tcW w:w="0" w:type="auto"/>
            <w:vAlign w:val="center"/>
          </w:tcPr>
          <w:p w14:paraId="3B99C3B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14F718E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6684322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7886191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4B7DE71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381745E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6FE0B17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1A05DFB4" w14:textId="77777777" w:rsidR="00FC3BC2" w:rsidRPr="00F93808" w:rsidRDefault="00FC3BC2" w:rsidP="001C3172">
            <w:pPr>
              <w:spacing w:line="252" w:lineRule="auto"/>
              <w:jc w:val="center"/>
            </w:pPr>
          </w:p>
        </w:tc>
        <w:tc>
          <w:tcPr>
            <w:tcW w:w="1417" w:type="dxa"/>
            <w:vAlign w:val="center"/>
          </w:tcPr>
          <w:p w14:paraId="6E63C76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</w:tr>
      <w:tr w:rsidR="00FC3BC2" w:rsidRPr="00F93808" w14:paraId="16A85D1F" w14:textId="77777777" w:rsidTr="001C3172">
        <w:trPr>
          <w:jc w:val="center"/>
        </w:trPr>
        <w:tc>
          <w:tcPr>
            <w:tcW w:w="1149" w:type="dxa"/>
            <w:vAlign w:val="center"/>
          </w:tcPr>
          <w:p w14:paraId="69F069D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[12]</w:t>
            </w:r>
          </w:p>
        </w:tc>
        <w:tc>
          <w:tcPr>
            <w:tcW w:w="0" w:type="auto"/>
            <w:vAlign w:val="center"/>
          </w:tcPr>
          <w:p w14:paraId="47197A9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37815EC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791EDE2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098" w:type="dxa"/>
            <w:vAlign w:val="center"/>
          </w:tcPr>
          <w:p w14:paraId="303D456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399D368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5F426B6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12203B3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798DA30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49B3ED6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5B67471A" w14:textId="77777777" w:rsidTr="001C3172">
        <w:trPr>
          <w:jc w:val="center"/>
        </w:trPr>
        <w:tc>
          <w:tcPr>
            <w:tcW w:w="1149" w:type="dxa"/>
            <w:vAlign w:val="center"/>
          </w:tcPr>
          <w:p w14:paraId="54091EA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[13]</w:t>
            </w:r>
          </w:p>
        </w:tc>
        <w:tc>
          <w:tcPr>
            <w:tcW w:w="0" w:type="auto"/>
            <w:vAlign w:val="center"/>
          </w:tcPr>
          <w:p w14:paraId="7CEA46A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42A49DC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4044B3F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26B966D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31AC45D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38FF1D5F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2E16931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3314A69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3A47467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2070FD58" w14:textId="77777777" w:rsidTr="001C3172">
        <w:trPr>
          <w:jc w:val="center"/>
        </w:trPr>
        <w:tc>
          <w:tcPr>
            <w:tcW w:w="1149" w:type="dxa"/>
            <w:vAlign w:val="center"/>
          </w:tcPr>
          <w:p w14:paraId="241FA4A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[14]</w:t>
            </w:r>
          </w:p>
        </w:tc>
        <w:tc>
          <w:tcPr>
            <w:tcW w:w="0" w:type="auto"/>
            <w:vAlign w:val="center"/>
          </w:tcPr>
          <w:p w14:paraId="6CFCB6A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vAlign w:val="center"/>
          </w:tcPr>
          <w:p w14:paraId="35F89EB4" w14:textId="77777777" w:rsidR="00FC3BC2" w:rsidRPr="00F93808" w:rsidRDefault="00FC3BC2" w:rsidP="001C3172">
            <w:pPr>
              <w:spacing w:line="252" w:lineRule="auto"/>
              <w:jc w:val="center"/>
            </w:pPr>
          </w:p>
        </w:tc>
        <w:tc>
          <w:tcPr>
            <w:tcW w:w="0" w:type="auto"/>
            <w:vAlign w:val="center"/>
          </w:tcPr>
          <w:p w14:paraId="1DED3E7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098" w:type="dxa"/>
            <w:vAlign w:val="center"/>
          </w:tcPr>
          <w:p w14:paraId="3182950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799CFF8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17045FF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1DE1A8D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75174FD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1A5DED9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31BEBD04" w14:textId="77777777" w:rsidTr="001C3172">
        <w:trPr>
          <w:jc w:val="center"/>
        </w:trPr>
        <w:tc>
          <w:tcPr>
            <w:tcW w:w="1149" w:type="dxa"/>
            <w:vAlign w:val="center"/>
          </w:tcPr>
          <w:p w14:paraId="29B3EEF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[15]</w:t>
            </w:r>
          </w:p>
        </w:tc>
        <w:tc>
          <w:tcPr>
            <w:tcW w:w="0" w:type="auto"/>
            <w:vAlign w:val="center"/>
          </w:tcPr>
          <w:p w14:paraId="76E4277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29CAEBF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68CBB77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6A49AA9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27234232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76" w:type="dxa"/>
            <w:vAlign w:val="center"/>
          </w:tcPr>
          <w:p w14:paraId="0EAF46F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vAlign w:val="center"/>
          </w:tcPr>
          <w:p w14:paraId="7543350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vAlign w:val="center"/>
          </w:tcPr>
          <w:p w14:paraId="2E56DEB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55AB8FF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4CAC5A6D" w14:textId="77777777" w:rsidTr="001C3172">
        <w:trPr>
          <w:jc w:val="center"/>
        </w:trPr>
        <w:tc>
          <w:tcPr>
            <w:tcW w:w="1149" w:type="dxa"/>
            <w:vAlign w:val="center"/>
          </w:tcPr>
          <w:p w14:paraId="7D66047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t>[16]</w:t>
            </w:r>
          </w:p>
        </w:tc>
        <w:tc>
          <w:tcPr>
            <w:tcW w:w="0" w:type="auto"/>
            <w:vAlign w:val="center"/>
          </w:tcPr>
          <w:p w14:paraId="4DC6240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45619988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4C4BC096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098" w:type="dxa"/>
            <w:vAlign w:val="center"/>
          </w:tcPr>
          <w:p w14:paraId="11280D97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6" w:type="dxa"/>
            <w:vAlign w:val="center"/>
          </w:tcPr>
          <w:p w14:paraId="489E1E3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vAlign w:val="center"/>
          </w:tcPr>
          <w:p w14:paraId="74F90A7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159" w:type="dxa"/>
            <w:vAlign w:val="center"/>
          </w:tcPr>
          <w:p w14:paraId="1112D70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251" w:type="dxa"/>
            <w:vAlign w:val="center"/>
          </w:tcPr>
          <w:p w14:paraId="1ACF6409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417" w:type="dxa"/>
            <w:vAlign w:val="center"/>
          </w:tcPr>
          <w:p w14:paraId="213D6DDC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</w:tr>
      <w:tr w:rsidR="00FC3BC2" w:rsidRPr="00F93808" w14:paraId="728ECB5E" w14:textId="77777777" w:rsidTr="001C3172">
        <w:trPr>
          <w:jc w:val="center"/>
        </w:trPr>
        <w:tc>
          <w:tcPr>
            <w:tcW w:w="1149" w:type="dxa"/>
            <w:tcBorders>
              <w:bottom w:val="single" w:sz="4" w:space="0" w:color="auto"/>
            </w:tcBorders>
            <w:vAlign w:val="center"/>
          </w:tcPr>
          <w:p w14:paraId="0B15E8B5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 w:val="18"/>
                <w:szCs w:val="18"/>
              </w:rPr>
              <w:t>This paper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8D2AD0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CB05D3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4F48674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3D705ED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vAlign w:val="center"/>
          </w:tcPr>
          <w:p w14:paraId="4B0B439E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A2DDB2B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-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vAlign w:val="center"/>
          </w:tcPr>
          <w:p w14:paraId="1C3DC123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251" w:type="dxa"/>
            <w:tcBorders>
              <w:bottom w:val="single" w:sz="4" w:space="0" w:color="auto"/>
            </w:tcBorders>
            <w:vAlign w:val="center"/>
          </w:tcPr>
          <w:p w14:paraId="08271E41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FC0627A" w14:textId="77777777" w:rsidR="00FC3BC2" w:rsidRPr="00F93808" w:rsidRDefault="00FC3BC2" w:rsidP="001C3172">
            <w:pPr>
              <w:spacing w:line="252" w:lineRule="auto"/>
              <w:jc w:val="center"/>
            </w:pPr>
            <w:r w:rsidRPr="00F93808">
              <w:rPr>
                <w:szCs w:val="21"/>
              </w:rPr>
              <w:t>√</w:t>
            </w:r>
          </w:p>
        </w:tc>
      </w:tr>
    </w:tbl>
    <w:p w14:paraId="6B1CC850" w14:textId="77777777" w:rsidR="00FC3BC2" w:rsidRPr="004E5434" w:rsidRDefault="00FC3BC2" w:rsidP="00FC3BC2">
      <w:pPr>
        <w:spacing w:after="200" w:line="360" w:lineRule="auto"/>
        <w:rPr>
          <w:rFonts w:ascii="Times New Roman" w:hAnsi="Times New Roman" w:cs="Times New Roman"/>
          <w:b/>
        </w:rPr>
      </w:pPr>
      <w:r w:rsidRPr="004E5434">
        <w:rPr>
          <w:rFonts w:ascii="Times New Roman" w:hAnsi="Times New Roman" w:cs="Times New Roman" w:hint="eastAsia"/>
          <w:b/>
        </w:rPr>
        <w:t>R</w:t>
      </w:r>
      <w:r w:rsidRPr="004E5434">
        <w:rPr>
          <w:rFonts w:ascii="Times New Roman" w:hAnsi="Times New Roman" w:cs="Times New Roman"/>
          <w:b/>
        </w:rPr>
        <w:t>eference</w:t>
      </w:r>
      <w:r>
        <w:rPr>
          <w:rFonts w:ascii="Times New Roman" w:hAnsi="Times New Roman" w:cs="Times New Roman"/>
          <w:b/>
        </w:rPr>
        <w:t>:</w:t>
      </w:r>
    </w:p>
    <w:p w14:paraId="4A3D85F2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C. C. Murray and A. G. Chu,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The flying sidekick traveling salesman problem: Optimization of drone-assisted parcel delivery,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54, pp. 86–109, May 2015, doi: 10.1016/j.trc.2015.03.005.</w:t>
      </w:r>
    </w:p>
    <w:p w14:paraId="35486982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N. Agatz, P. Bouman, and M. Schmidt,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Optimization Approaches for the Traveling Salesman Problem with Drone,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Science</w:t>
      </w:r>
      <w:r w:rsidRPr="00F93808">
        <w:rPr>
          <w:rFonts w:ascii="Times New Roman" w:hAnsi="Times New Roman" w:cs="Times New Roman"/>
          <w:sz w:val="16"/>
        </w:rPr>
        <w:t>, Apr. 2018, doi: 10.1287/trsc.2017.0791.</w:t>
      </w:r>
    </w:p>
    <w:p w14:paraId="36047CD7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Z. Wang,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Vehicle routing problem with drones,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2019.</w:t>
      </w:r>
    </w:p>
    <w:p w14:paraId="65360B10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M. R. Salama and S. Srinivas,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Collaborative truck multi-drone routing and scheduling problem: Package delivery with flexible launch and recovery sites,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E: Logistics and Transportation Review</w:t>
      </w:r>
      <w:r w:rsidRPr="00F93808">
        <w:rPr>
          <w:rFonts w:ascii="Times New Roman" w:hAnsi="Times New Roman" w:cs="Times New Roman"/>
          <w:sz w:val="16"/>
        </w:rPr>
        <w:t>, vol. 164, p. 102788, Aug. 2022, doi: 10.1016/j.tre.2022.102788.</w:t>
      </w:r>
    </w:p>
    <w:p w14:paraId="65533F2D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D. N. Das, R. Sewani, J. Wang, and M. K. Tiwari,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Synchronized Truck and Drone Routing in Package Delivery Logistics,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IEEE Trans. Intell. Transport. Syst.</w:t>
      </w:r>
      <w:r w:rsidRPr="00F93808">
        <w:rPr>
          <w:rFonts w:ascii="Times New Roman" w:hAnsi="Times New Roman" w:cs="Times New Roman"/>
          <w:sz w:val="16"/>
        </w:rPr>
        <w:t>, vol. 22, no. 9, pp. 5772–5782, Sep. 2021, doi: 10.1109/TITS.2020.2992549.</w:t>
      </w:r>
    </w:p>
    <w:p w14:paraId="45AB7D6F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lastRenderedPageBreak/>
        <w:t xml:space="preserve">R. Raj and C. Murray,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The multiple flying sidekicks traveling salesman problem with variable drone speeds,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120, p. 102813, Nov. 2020, doi: 10.1016/j.trc.2020.102813.</w:t>
      </w:r>
    </w:p>
    <w:p w14:paraId="5EF7EE3A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P. L. Gonzalez-R, D. Canca, J. L. Andrade-Pineda, M. Calle, and J. M. Leon-Blanco,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Truck-drone team logistics: A heuristic approach to multi-drop route planning,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114, pp. 657–680, May 2020, doi: 10.1016/j.trc.2020.02.030.</w:t>
      </w:r>
    </w:p>
    <w:p w14:paraId="687B1E47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O. Dukkanci, B. Y. Kara, and T. Bektaş,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Minimizing energy and cost in range-limited drone deliveries with speed optimization,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125, p. 102985, Apr. 2021, doi: 10.1016/j.trc.2021.102985.</w:t>
      </w:r>
    </w:p>
    <w:p w14:paraId="5645899F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N. M. Imran, S. Mishra, and M. Won,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A-VRPD: Automating Drone-Based Last-Mile Delivery Using Self-Driving Cars,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IEEE Transactions on Intelligent Transportation Systems</w:t>
      </w:r>
      <w:r w:rsidRPr="00F93808">
        <w:rPr>
          <w:rFonts w:ascii="Times New Roman" w:hAnsi="Times New Roman" w:cs="Times New Roman"/>
          <w:sz w:val="16"/>
        </w:rPr>
        <w:t>, pp. 1–14, 2023, doi: 10.1109/TITS.2023.3266460.</w:t>
      </w:r>
    </w:p>
    <w:p w14:paraId="44BD6DF5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H. Zhou, H. Qin, C. Cheng, and L.-M. Rousseau,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An exact algorithm for the two-echelon vehicle routing problem with drones,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B: Methodological</w:t>
      </w:r>
      <w:r w:rsidRPr="00F93808">
        <w:rPr>
          <w:rFonts w:ascii="Times New Roman" w:hAnsi="Times New Roman" w:cs="Times New Roman"/>
          <w:sz w:val="16"/>
        </w:rPr>
        <w:t>, vol. 168, pp. 124–150, Feb. 2023, doi: 10.1016/j.trb.2023.01.002.</w:t>
      </w:r>
    </w:p>
    <w:p w14:paraId="323017A3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Y. Han </w:t>
      </w:r>
      <w:r w:rsidRPr="00F93808">
        <w:rPr>
          <w:rFonts w:ascii="Times New Roman" w:hAnsi="Times New Roman" w:cs="Times New Roman"/>
          <w:i/>
          <w:iCs/>
          <w:sz w:val="16"/>
        </w:rPr>
        <w:t>et al.</w:t>
      </w:r>
      <w:r w:rsidRPr="00F93808">
        <w:rPr>
          <w:rFonts w:ascii="Times New Roman" w:hAnsi="Times New Roman" w:cs="Times New Roman"/>
          <w:sz w:val="16"/>
        </w:rPr>
        <w:t xml:space="preserve">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Two-Stage Heuristic Algorithm for Vehicle-Drone Collaborative Delivery and Pickup Based on Medical Supplies Resource Allocation,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Journal of King Saud University - Computer and Information Sciences</w:t>
      </w:r>
      <w:r w:rsidRPr="00F93808">
        <w:rPr>
          <w:rFonts w:ascii="Times New Roman" w:hAnsi="Times New Roman" w:cs="Times New Roman"/>
          <w:sz w:val="16"/>
        </w:rPr>
        <w:t>, p. 101811, Oct. 2023, doi: 10.1016/j.jksuci.2023.101811.</w:t>
      </w:r>
    </w:p>
    <w:p w14:paraId="7A079490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D. Schermer, M. Moeini, and O. Wendt,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A matheuristic for the vehicle routing problem with drones and its variants,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106, pp. 166–204, Sep. 2019, doi: 10.1016/j.trc.2019.06.016.</w:t>
      </w:r>
    </w:p>
    <w:p w14:paraId="0FDB5C0A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D. Sacramento, D. Pisinger, and S. Ropke,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An adaptive large neighborhood search metaheuristic for the vehicle routing problem with drones,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C: Emerging Technologies</w:t>
      </w:r>
      <w:r w:rsidRPr="00F93808">
        <w:rPr>
          <w:rFonts w:ascii="Times New Roman" w:hAnsi="Times New Roman" w:cs="Times New Roman"/>
          <w:sz w:val="16"/>
        </w:rPr>
        <w:t>, vol. 102, pp. 289–315, May 2019, doi: 10.1016/j.trc.2019.02.018.</w:t>
      </w:r>
    </w:p>
    <w:p w14:paraId="6D66ABB2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H. Li, H. Wang, J. Chen, and M. Bai,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Two-echelon vehicle routing problem with time windows and mobile satellites,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Transportation Research Part B: Methodological</w:t>
      </w:r>
      <w:r w:rsidRPr="00F93808">
        <w:rPr>
          <w:rFonts w:ascii="Times New Roman" w:hAnsi="Times New Roman" w:cs="Times New Roman"/>
          <w:sz w:val="16"/>
        </w:rPr>
        <w:t>, vol. 138, pp. 179–201, Aug. 2020, doi: 10.1016/j.trb.2020.05.010.</w:t>
      </w:r>
    </w:p>
    <w:p w14:paraId="16D5B11F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Q. Luo, G. Wu, A. Trivedi, F. Hong, L. Wang, and D. Srinivasan,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Multi-Objective Optimization Algorithm With Adaptive Resource Allocation for Truck-Drone Collaborative Delivery and Pick-Up Services,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IEEE Transactions on Intelligent Transportation Systems</w:t>
      </w:r>
      <w:r w:rsidRPr="00F93808">
        <w:rPr>
          <w:rFonts w:ascii="Times New Roman" w:hAnsi="Times New Roman" w:cs="Times New Roman"/>
          <w:sz w:val="16"/>
        </w:rPr>
        <w:t>, pp. 1–16, 2023, doi: 10.1109/TITS.2023.3267103.</w:t>
      </w:r>
    </w:p>
    <w:p w14:paraId="1EF8A3A4" w14:textId="77777777" w:rsidR="00FC3BC2" w:rsidRPr="00F93808" w:rsidRDefault="00FC3BC2" w:rsidP="00FC3BC2">
      <w:pPr>
        <w:pStyle w:val="a9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16"/>
        </w:rPr>
      </w:pPr>
      <w:r w:rsidRPr="00F93808">
        <w:rPr>
          <w:rFonts w:ascii="Times New Roman" w:hAnsi="Times New Roman" w:cs="Times New Roman"/>
          <w:sz w:val="16"/>
        </w:rPr>
        <w:t xml:space="preserve">J. Jiang, Y. Dai, F. Yang, and Z. Ma, </w:t>
      </w:r>
      <w:r>
        <w:rPr>
          <w:rFonts w:ascii="Times New Roman" w:hAnsi="Times New Roman" w:cs="Times New Roman"/>
          <w:sz w:val="16"/>
        </w:rPr>
        <w:t>“</w:t>
      </w:r>
      <w:r w:rsidRPr="00F93808">
        <w:rPr>
          <w:rFonts w:ascii="Times New Roman" w:hAnsi="Times New Roman" w:cs="Times New Roman"/>
          <w:sz w:val="16"/>
        </w:rPr>
        <w:t>A multi-visit flexible-docking vehicle routing problem with drones for simultaneous pickup and delivery services,</w:t>
      </w:r>
      <w:r>
        <w:rPr>
          <w:rFonts w:ascii="Times New Roman" w:hAnsi="Times New Roman" w:cs="Times New Roman"/>
          <w:sz w:val="16"/>
        </w:rPr>
        <w:t>”</w:t>
      </w:r>
      <w:r w:rsidRPr="00F93808">
        <w:rPr>
          <w:rFonts w:ascii="Times New Roman" w:hAnsi="Times New Roman" w:cs="Times New Roman"/>
          <w:sz w:val="16"/>
        </w:rPr>
        <w:t xml:space="preserve"> </w:t>
      </w:r>
      <w:r w:rsidRPr="00F93808">
        <w:rPr>
          <w:rFonts w:ascii="Times New Roman" w:hAnsi="Times New Roman" w:cs="Times New Roman"/>
          <w:i/>
          <w:iCs/>
          <w:sz w:val="16"/>
        </w:rPr>
        <w:t>European Journal of Operational Research</w:t>
      </w:r>
      <w:r w:rsidRPr="00F93808">
        <w:rPr>
          <w:rFonts w:ascii="Times New Roman" w:hAnsi="Times New Roman" w:cs="Times New Roman"/>
          <w:sz w:val="16"/>
        </w:rPr>
        <w:t>, vol. 312, no. 1, pp. 125–137, Jan. 2024, doi: 10.1016/j.ejor.2023.06.021.</w:t>
      </w:r>
    </w:p>
    <w:p w14:paraId="5364A7F5" w14:textId="77777777" w:rsidR="00FC3BC2" w:rsidRPr="00896D78" w:rsidRDefault="00FC3BC2" w:rsidP="00896D78">
      <w:pPr>
        <w:ind w:firstLineChars="200" w:firstLine="440"/>
        <w:rPr>
          <w:rFonts w:ascii="Times New Roman" w:hAnsi="Times New Roman" w:cs="Times New Roman"/>
        </w:rPr>
      </w:pPr>
    </w:p>
    <w:sectPr w:rsidR="00FC3BC2" w:rsidRPr="00896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436A" w14:textId="77777777" w:rsidR="00EA33C3" w:rsidRDefault="00EA33C3" w:rsidP="00896D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191528" w14:textId="77777777" w:rsidR="00EA33C3" w:rsidRDefault="00EA33C3" w:rsidP="00896D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80795" w14:textId="77777777" w:rsidR="00EA33C3" w:rsidRDefault="00EA33C3" w:rsidP="00896D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DE2291" w14:textId="77777777" w:rsidR="00EA33C3" w:rsidRDefault="00EA33C3" w:rsidP="00896D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53660"/>
    <w:multiLevelType w:val="hybridMultilevel"/>
    <w:tmpl w:val="66AC6CF0"/>
    <w:lvl w:ilvl="0" w:tplc="62D03B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156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FD"/>
    <w:rsid w:val="001D7D91"/>
    <w:rsid w:val="00896D78"/>
    <w:rsid w:val="00D057FD"/>
    <w:rsid w:val="00EA33C3"/>
    <w:rsid w:val="00FC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97652"/>
  <w15:chartTrackingRefBased/>
  <w15:docId w15:val="{443E48F6-2B00-499F-956A-18A74131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7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7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7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7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7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7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7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7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7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7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57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7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7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7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7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7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7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7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7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57F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6D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6D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6D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6D78"/>
    <w:rPr>
      <w:sz w:val="18"/>
      <w:szCs w:val="18"/>
    </w:rPr>
  </w:style>
  <w:style w:type="table" w:styleId="af2">
    <w:name w:val="Table Grid"/>
    <w:basedOn w:val="a1"/>
    <w:uiPriority w:val="39"/>
    <w:qFormat/>
    <w:rsid w:val="00FC3BC2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FC3BC2"/>
    <w:pPr>
      <w:spacing w:after="0" w:line="240" w:lineRule="auto"/>
      <w:jc w:val="both"/>
    </w:pPr>
    <w:rPr>
      <w:rFonts w:asciiTheme="majorHAnsi" w:eastAsia="黑体" w:hAnsiTheme="majorHAnsi" w:cstheme="majorBidi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淼寒 张</dc:creator>
  <cp:keywords/>
  <dc:description/>
  <cp:lastModifiedBy>淼寒 张</cp:lastModifiedBy>
  <cp:revision>3</cp:revision>
  <dcterms:created xsi:type="dcterms:W3CDTF">2025-09-09T08:17:00Z</dcterms:created>
  <dcterms:modified xsi:type="dcterms:W3CDTF">2025-09-09T08:18:00Z</dcterms:modified>
</cp:coreProperties>
</file>