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jc w:val="center"/>
        <w:rPr>
          <w:rFonts w:ascii="黑体" w:eastAsia="黑体"/>
          <w:b/>
          <w:bCs/>
        </w:rPr>
      </w:pPr>
      <w:r>
        <w:rPr>
          <w:rFonts w:ascii="黑体" w:eastAsia="黑体"/>
          <w:b/>
          <w:bCs/>
        </w:rPr>
        <mc:AlternateContent>
          <mc:Choice Requires="wps">
            <w:drawing>
              <wp:anchor distT="0" distB="0" distL="114300" distR="114300" simplePos="0" relativeHeight="251659264" behindDoc="0" locked="0" layoutInCell="1" allowOverlap="1">
                <wp:simplePos x="0" y="0"/>
                <wp:positionH relativeFrom="column">
                  <wp:posOffset>-431800</wp:posOffset>
                </wp:positionH>
                <wp:positionV relativeFrom="paragraph">
                  <wp:posOffset>-838835</wp:posOffset>
                </wp:positionV>
                <wp:extent cx="6104255" cy="753745"/>
                <wp:effectExtent l="0" t="0" r="0" b="8890"/>
                <wp:wrapNone/>
                <wp:docPr id="4" name="矩形 4"/>
                <wp:cNvGraphicFramePr/>
                <a:graphic xmlns:a="http://schemas.openxmlformats.org/drawingml/2006/main">
                  <a:graphicData uri="http://schemas.microsoft.com/office/word/2010/wordprocessingShape">
                    <wps:wsp>
                      <wps:cNvSpPr/>
                      <wps:spPr>
                        <a:xfrm>
                          <a:off x="0" y="0"/>
                          <a:ext cx="6104467" cy="75353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pt;margin-top:-66.05pt;height:59.35pt;width:480.65pt;z-index:251659264;v-text-anchor:middle;mso-width-relative:page;mso-height-relative:page;" fillcolor="#FFFFFF [3212]" filled="t" stroked="f" coordsize="21600,21600" o:gfxdata="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zFXnj2wAAAAwBAAAPAAAAAAAAAAEAIAAAACIAAABkcnMvZG93bnJl&#10;di54bWxQSwECFAAUAAAACACHTuJAAaKA+mwCAADLBAAADgAAAAAAAAABACAAAAAqAQAAZHJzL2Uy&#10;b0RvYy54bWxQSwUGAAAAAAYABgBZAQAACAYAAAAA&#10;">
                <v:fill on="t" focussize="0,0"/>
                <v:stroke on="f" weight="1pt" miterlimit="8" joinstyle="miter"/>
                <v:imagedata o:title=""/>
                <o:lock v:ext="edit" aspectratio="f"/>
              </v:rect>
            </w:pict>
          </mc:Fallback>
        </mc:AlternateContent>
      </w:r>
      <w:r>
        <w:rPr>
          <w:rFonts w:ascii="黑体" w:eastAsia="黑体"/>
          <w:b/>
          <w:bCs/>
        </w:rPr>
        <w:drawing>
          <wp:inline distT="0" distB="0" distL="0" distR="0">
            <wp:extent cx="5498465" cy="12039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519711" cy="1208512"/>
                    </a:xfrm>
                    <a:prstGeom prst="rect">
                      <a:avLst/>
                    </a:prstGeom>
                    <a:noFill/>
                  </pic:spPr>
                </pic:pic>
              </a:graphicData>
            </a:graphic>
          </wp:inline>
        </w:drawing>
      </w:r>
    </w:p>
    <w:p>
      <w:pPr>
        <w:ind w:firstLine="0" w:firstLineChars="0"/>
        <w:jc w:val="center"/>
        <w:rPr>
          <w:rFonts w:ascii="黑体" w:eastAsia="黑体"/>
          <w:b/>
          <w:bCs/>
        </w:rPr>
      </w:pPr>
    </w:p>
    <w:p>
      <w:pPr>
        <w:ind w:firstLine="0" w:firstLineChars="0"/>
        <w:jc w:val="center"/>
        <w:rPr>
          <w:rFonts w:ascii="楷体" w:hAnsi="楷体" w:eastAsia="楷体"/>
          <w:b/>
          <w:sz w:val="44"/>
          <w:szCs w:val="44"/>
        </w:rPr>
      </w:pPr>
    </w:p>
    <w:p>
      <w:pPr>
        <w:ind w:firstLine="0" w:firstLineChars="0"/>
        <w:rPr>
          <w:rFonts w:eastAsia="黑体" w:cs="Times New Roman"/>
          <w:bCs/>
        </w:rPr>
      </w:pPr>
    </w:p>
    <w:p>
      <w:pPr>
        <w:ind w:firstLine="0" w:firstLineChars="0"/>
        <w:jc w:val="center"/>
        <w:rPr>
          <w:rFonts w:hint="default" w:eastAsia="黑体" w:cs="Times New Roman"/>
          <w:bCs/>
          <w:sz w:val="28"/>
          <w:lang w:val="en-US" w:eastAsia="zh-CN"/>
        </w:rPr>
      </w:pPr>
      <w:r>
        <w:rPr>
          <w:rFonts w:hint="eastAsia" w:eastAsia="黑体" w:cs="Times New Roman"/>
          <w:sz w:val="48"/>
          <w:lang w:val="en-US" w:eastAsia="zh-CN"/>
        </w:rPr>
        <w:t>二维材料薄膜的制备方法</w:t>
      </w:r>
    </w:p>
    <w:p>
      <w:pPr>
        <w:ind w:firstLine="0" w:firstLineChars="0"/>
        <w:jc w:val="center"/>
        <w:rPr>
          <w:rFonts w:eastAsia="黑体" w:cs="Times New Roman"/>
          <w:bCs/>
          <w:sz w:val="28"/>
        </w:rPr>
      </w:pPr>
    </w:p>
    <w:p>
      <w:pPr>
        <w:ind w:firstLine="0" w:firstLineChars="0"/>
        <w:jc w:val="center"/>
        <w:rPr>
          <w:rFonts w:eastAsia="黑体" w:cs="Times New Roman"/>
          <w:bCs/>
          <w:sz w:val="28"/>
        </w:rPr>
      </w:pPr>
    </w:p>
    <w:p>
      <w:pPr>
        <w:ind w:firstLine="0" w:firstLineChars="0"/>
        <w:jc w:val="center"/>
        <w:rPr>
          <w:rFonts w:eastAsia="黑体" w:cs="Times New Roman"/>
          <w:bCs/>
          <w:sz w:val="28"/>
        </w:rPr>
      </w:pPr>
    </w:p>
    <w:tbl>
      <w:tblPr>
        <w:tblStyle w:val="12"/>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835"/>
        <w:gridCol w:w="3685"/>
      </w:tblGrid>
      <w:tr>
        <w:tblPrEx>
          <w:tblCellMar>
            <w:top w:w="0" w:type="dxa"/>
            <w:left w:w="108" w:type="dxa"/>
            <w:bottom w:w="0" w:type="dxa"/>
            <w:right w:w="108" w:type="dxa"/>
          </w:tblCellMar>
        </w:tblPrEx>
        <w:trPr>
          <w:trHeight w:val="851" w:hRule="atLeast"/>
          <w:jc w:val="center"/>
        </w:trPr>
        <w:tc>
          <w:tcPr>
            <w:tcW w:w="2835" w:type="dxa"/>
            <w:tcBorders>
              <w:top w:val="nil"/>
              <w:bottom w:val="nil"/>
            </w:tcBorders>
            <w:vAlign w:val="center"/>
          </w:tcPr>
          <w:p>
            <w:pPr>
              <w:ind w:firstLine="0" w:firstLineChars="0"/>
              <w:jc w:val="center"/>
              <w:rPr>
                <w:rFonts w:eastAsia="黑体" w:cs="Times New Roman"/>
                <w:sz w:val="36"/>
                <w:szCs w:val="36"/>
              </w:rPr>
            </w:pPr>
            <w:r>
              <w:rPr>
                <w:rFonts w:eastAsia="黑体" w:cs="Times New Roman"/>
                <w:sz w:val="36"/>
                <w:szCs w:val="36"/>
              </w:rPr>
              <w:t>学院名称：</w:t>
            </w:r>
          </w:p>
        </w:tc>
        <w:tc>
          <w:tcPr>
            <w:tcW w:w="3685" w:type="dxa"/>
            <w:vAlign w:val="center"/>
          </w:tcPr>
          <w:p>
            <w:pPr>
              <w:ind w:firstLine="0" w:firstLineChars="0"/>
              <w:rPr>
                <w:rFonts w:eastAsia="黑体" w:cs="Times New Roman"/>
                <w:sz w:val="36"/>
                <w:szCs w:val="36"/>
              </w:rPr>
            </w:pPr>
            <w:r>
              <w:rPr>
                <w:rFonts w:eastAsia="黑体" w:cs="Times New Roman"/>
                <w:sz w:val="36"/>
                <w:szCs w:val="36"/>
              </w:rPr>
              <w:t>材料科学与工程学院</w:t>
            </w:r>
          </w:p>
        </w:tc>
      </w:tr>
      <w:tr>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851" w:hRule="atLeast"/>
          <w:jc w:val="center"/>
        </w:trPr>
        <w:tc>
          <w:tcPr>
            <w:tcW w:w="2835" w:type="dxa"/>
            <w:tcBorders>
              <w:top w:val="nil"/>
              <w:bottom w:val="nil"/>
            </w:tcBorders>
            <w:vAlign w:val="center"/>
          </w:tcPr>
          <w:p>
            <w:pPr>
              <w:ind w:firstLine="0" w:firstLineChars="0"/>
              <w:jc w:val="center"/>
              <w:rPr>
                <w:rFonts w:eastAsia="黑体" w:cs="Times New Roman"/>
                <w:sz w:val="36"/>
                <w:szCs w:val="36"/>
              </w:rPr>
            </w:pPr>
            <w:r>
              <w:rPr>
                <w:rFonts w:eastAsia="黑体" w:cs="Times New Roman"/>
                <w:sz w:val="36"/>
                <w:szCs w:val="36"/>
              </w:rPr>
              <w:t>姓    名：</w:t>
            </w:r>
          </w:p>
        </w:tc>
        <w:tc>
          <w:tcPr>
            <w:tcW w:w="3685" w:type="dxa"/>
            <w:vAlign w:val="center"/>
          </w:tcPr>
          <w:p>
            <w:pPr>
              <w:ind w:firstLine="0" w:firstLineChars="0"/>
              <w:jc w:val="center"/>
              <w:rPr>
                <w:rFonts w:hint="default" w:eastAsia="黑体" w:cs="Times New Roman"/>
                <w:sz w:val="36"/>
                <w:szCs w:val="36"/>
                <w:lang w:val="en-US" w:eastAsia="zh-CN"/>
              </w:rPr>
            </w:pPr>
            <w:r>
              <w:rPr>
                <w:rFonts w:hint="eastAsia" w:eastAsia="黑体" w:cs="Times New Roman"/>
                <w:sz w:val="36"/>
                <w:szCs w:val="36"/>
                <w:lang w:val="en-US" w:eastAsia="zh-CN"/>
              </w:rPr>
              <w:t>张朋朋</w:t>
            </w:r>
          </w:p>
        </w:tc>
      </w:tr>
      <w:tr>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851" w:hRule="atLeast"/>
          <w:jc w:val="center"/>
        </w:trPr>
        <w:tc>
          <w:tcPr>
            <w:tcW w:w="2835" w:type="dxa"/>
            <w:tcBorders>
              <w:top w:val="nil"/>
              <w:bottom w:val="nil"/>
            </w:tcBorders>
            <w:vAlign w:val="center"/>
          </w:tcPr>
          <w:p>
            <w:pPr>
              <w:ind w:firstLine="0" w:firstLineChars="0"/>
              <w:jc w:val="center"/>
              <w:rPr>
                <w:rFonts w:eastAsia="黑体" w:cs="Times New Roman"/>
                <w:sz w:val="36"/>
                <w:szCs w:val="36"/>
              </w:rPr>
            </w:pPr>
            <w:r>
              <w:rPr>
                <w:rFonts w:eastAsia="黑体" w:cs="Times New Roman"/>
                <w:sz w:val="36"/>
                <w:szCs w:val="36"/>
              </w:rPr>
              <w:t>学    号：</w:t>
            </w:r>
          </w:p>
        </w:tc>
        <w:tc>
          <w:tcPr>
            <w:tcW w:w="3685" w:type="dxa"/>
            <w:vAlign w:val="center"/>
          </w:tcPr>
          <w:p>
            <w:pPr>
              <w:ind w:firstLine="0" w:firstLineChars="0"/>
              <w:jc w:val="center"/>
              <w:rPr>
                <w:rFonts w:hint="default" w:eastAsia="黑体" w:cs="Times New Roman"/>
                <w:sz w:val="36"/>
                <w:szCs w:val="36"/>
                <w:lang w:val="en-US" w:eastAsia="zh-CN"/>
              </w:rPr>
            </w:pPr>
            <w:r>
              <w:rPr>
                <w:rFonts w:hint="eastAsia" w:eastAsia="黑体" w:cs="Times New Roman"/>
                <w:sz w:val="36"/>
                <w:szCs w:val="36"/>
                <w:lang w:val="en-US" w:eastAsia="zh-CN"/>
              </w:rPr>
              <w:t>ZY2401325</w:t>
            </w:r>
          </w:p>
        </w:tc>
      </w:tr>
    </w:tbl>
    <w:p>
      <w:pPr>
        <w:ind w:firstLine="0" w:firstLineChars="0"/>
        <w:rPr>
          <w:rFonts w:eastAsia="黑体" w:cs="Times New Roman"/>
          <w:sz w:val="36"/>
          <w:szCs w:val="36"/>
        </w:rPr>
      </w:pPr>
    </w:p>
    <w:p>
      <w:pPr>
        <w:ind w:firstLine="0" w:firstLineChars="0"/>
        <w:rPr>
          <w:rFonts w:hint="eastAsia" w:eastAsia="黑体" w:cs="Times New Roman"/>
          <w:sz w:val="36"/>
          <w:szCs w:val="36"/>
        </w:rPr>
      </w:pPr>
      <w:bookmarkStart w:id="12" w:name="_GoBack"/>
      <w:bookmarkEnd w:id="12"/>
    </w:p>
    <w:p>
      <w:pPr>
        <w:ind w:firstLine="0" w:firstLineChars="0"/>
        <w:jc w:val="center"/>
        <w:rPr>
          <w:rFonts w:eastAsia="黑体" w:cs="Times New Roman"/>
          <w:sz w:val="36"/>
          <w:szCs w:val="36"/>
        </w:rPr>
      </w:pPr>
      <w:r>
        <w:rPr>
          <w:rFonts w:hint="eastAsia" w:eastAsia="黑体" w:cs="Times New Roman"/>
          <w:sz w:val="36"/>
          <w:szCs w:val="36"/>
          <w:lang w:val="en-US" w:eastAsia="zh-CN"/>
        </w:rPr>
        <w:t>2024</w:t>
      </w:r>
      <w:r>
        <w:rPr>
          <w:rFonts w:eastAsia="黑体" w:cs="Times New Roman"/>
          <w:sz w:val="36"/>
          <w:szCs w:val="36"/>
        </w:rPr>
        <w:t>年</w:t>
      </w:r>
      <w:r>
        <w:rPr>
          <w:rFonts w:hint="eastAsia" w:eastAsia="黑体" w:cs="Times New Roman"/>
          <w:sz w:val="36"/>
          <w:szCs w:val="36"/>
          <w:lang w:val="en-US" w:eastAsia="zh-CN"/>
        </w:rPr>
        <w:t>12</w:t>
      </w:r>
      <w:r>
        <w:rPr>
          <w:rFonts w:eastAsia="黑体" w:cs="Times New Roman"/>
          <w:sz w:val="36"/>
          <w:szCs w:val="36"/>
        </w:rPr>
        <w:t>月</w:t>
      </w:r>
    </w:p>
    <w:p>
      <w:pPr>
        <w:widowControl/>
        <w:spacing w:line="240" w:lineRule="auto"/>
        <w:ind w:firstLine="0" w:firstLineChars="0"/>
        <w:jc w:val="left"/>
        <w:rPr>
          <w:rFonts w:eastAsia="黑体" w:cs="Times New Roman"/>
          <w:sz w:val="36"/>
          <w:szCs w:val="36"/>
        </w:rPr>
      </w:pPr>
      <w:r>
        <w:rPr>
          <w:rFonts w:eastAsia="黑体" w:cs="Times New Roman"/>
          <w:sz w:val="36"/>
          <w:szCs w:val="36"/>
        </w:rPr>
        <w:br w:type="page"/>
      </w:r>
    </w:p>
    <w:p>
      <w:pPr>
        <w:tabs>
          <w:tab w:val="left" w:pos="425"/>
          <w:tab w:val="center" w:pos="4440"/>
          <w:tab w:val="left" w:pos="5940"/>
          <w:tab w:val="right" w:pos="8880"/>
        </w:tabs>
        <w:ind w:firstLine="0" w:firstLineChars="0"/>
        <w:jc w:val="center"/>
        <w:rPr>
          <w:rFonts w:eastAsia="黑体" w:cs="Times New Roman"/>
          <w:sz w:val="30"/>
          <w:szCs w:val="30"/>
        </w:rPr>
      </w:pPr>
      <w:r>
        <w:rPr>
          <w:rFonts w:hint="eastAsia" w:eastAsia="黑体" w:cs="Times New Roman"/>
          <w:sz w:val="30"/>
          <w:szCs w:val="30"/>
        </w:rPr>
        <w:t>摘要</w:t>
      </w:r>
    </w:p>
    <w:p>
      <w:pPr>
        <w:ind w:firstLine="480"/>
        <w:rPr>
          <w:rFonts w:hint="eastAsia" w:eastAsia="宋体"/>
        </w:rPr>
      </w:pPr>
      <w:r>
        <w:rPr>
          <w:rFonts w:hint="eastAsia" w:eastAsia="宋体"/>
        </w:rPr>
        <w:t>本文综述了二维材料薄膜的制备方法，重点探讨了化学气相沉积（CVD）、物理气相沉积（PVD）、溶液法与液相剥离、自组装与模板规则等技术。二维材料薄膜因其独特的物理化学性质，在电子、光电子、能源存储等领域展现出巨大的应用潜力。随着纳米科技的飞速发展，这些材料的制备技术已成为研究热点。本文首先定义了二维材料薄膜，并详细讨论了其特性。随后，分析了各种制备方法的原理、优势、局限性及最新研究进展。最后，展望了二维材料薄膜制备技术的未来发展方向，包括大面积制备、高质量控制、功能化以及环境友好性。本文的目的是为研究人员和工程师提供一个全面的二维材料薄膜制备技术综述，以促进该领域的进一步发展。</w:t>
      </w:r>
    </w:p>
    <w:p>
      <w:pPr>
        <w:ind w:firstLine="480"/>
        <w:rPr>
          <w:rFonts w:ascii="Times" w:hAnsi="Times"/>
        </w:rPr>
      </w:pPr>
    </w:p>
    <w:p>
      <w:pPr>
        <w:ind w:firstLine="0" w:firstLineChars="0"/>
        <w:rPr>
          <w:rFonts w:eastAsia="宋体"/>
        </w:rPr>
      </w:pPr>
      <w:r>
        <w:rPr>
          <w:rFonts w:hint="eastAsia" w:ascii="黑体" w:hAnsi="黑体" w:eastAsia="黑体"/>
          <w:sz w:val="28"/>
          <w:szCs w:val="28"/>
        </w:rPr>
        <w:t>关键词</w:t>
      </w:r>
      <w:r>
        <w:rPr>
          <w:rFonts w:hint="eastAsia" w:ascii="Times" w:hAnsi="Times"/>
        </w:rPr>
        <w:t>：</w:t>
      </w:r>
      <w:r>
        <w:rPr>
          <w:rFonts w:hint="eastAsia" w:ascii="Times" w:hAnsi="Times"/>
          <w:lang w:val="en-US" w:eastAsia="zh-CN"/>
        </w:rPr>
        <w:t>二维材料薄膜，制备方法，CVD，PVD，溶液法，自组装</w:t>
      </w:r>
    </w:p>
    <w:p>
      <w:pPr>
        <w:widowControl/>
        <w:spacing w:line="240" w:lineRule="auto"/>
        <w:ind w:firstLine="480"/>
        <w:jc w:val="left"/>
        <w:rPr>
          <w:rFonts w:eastAsia="宋体"/>
        </w:rPr>
      </w:pPr>
      <w:r>
        <w:rPr>
          <w:rFonts w:eastAsia="宋体"/>
        </w:rPr>
        <w:br w:type="page"/>
      </w:r>
    </w:p>
    <w:sdt>
      <w:sdtPr>
        <w:rPr>
          <w:rFonts w:asciiTheme="minorHAnsi" w:hAnsiTheme="minorHAnsi" w:eastAsiaTheme="minorEastAsia" w:cstheme="minorBidi"/>
          <w:color w:val="auto"/>
          <w:kern w:val="2"/>
          <w:sz w:val="24"/>
          <w:szCs w:val="22"/>
          <w:lang w:val="zh-CN"/>
        </w:rPr>
        <w:id w:val="1108698996"/>
        <w:docPartObj>
          <w:docPartGallery w:val="Table of Contents"/>
          <w:docPartUnique/>
        </w:docPartObj>
      </w:sdtPr>
      <w:sdtEndPr>
        <w:rPr>
          <w:rFonts w:ascii="Times New Roman" w:hAnsi="Times New Roman" w:eastAsiaTheme="minorEastAsia" w:cstheme="minorBidi"/>
          <w:b/>
          <w:bCs/>
          <w:color w:val="auto"/>
          <w:kern w:val="2"/>
          <w:sz w:val="24"/>
          <w:szCs w:val="22"/>
          <w:lang w:val="zh-CN"/>
        </w:rPr>
      </w:sdtEndPr>
      <w:sdtContent>
        <w:p>
          <w:pPr>
            <w:pStyle w:val="22"/>
            <w:ind w:firstLine="0" w:firstLineChars="0"/>
            <w:jc w:val="center"/>
            <w:rPr>
              <w:rFonts w:ascii="黑体" w:hAnsi="黑体" w:eastAsia="黑体"/>
              <w:color w:val="auto"/>
            </w:rPr>
          </w:pPr>
          <w:r>
            <w:rPr>
              <w:rFonts w:ascii="黑体" w:hAnsi="黑体" w:eastAsia="黑体"/>
              <w:color w:val="auto"/>
              <w:lang w:val="zh-CN"/>
            </w:rPr>
            <w:t>目录</w:t>
          </w:r>
        </w:p>
        <w:p>
          <w:pPr>
            <w:pStyle w:val="9"/>
            <w:tabs>
              <w:tab w:val="right" w:leader="dot" w:pos="8306"/>
              <w:tab w:val="clear" w:pos="8296"/>
            </w:tabs>
          </w:pPr>
          <w:r>
            <w:fldChar w:fldCharType="begin"/>
          </w:r>
          <w:r>
            <w:instrText xml:space="preserve"> TOC \o "1-3" \h \z \u </w:instrText>
          </w:r>
          <w:r>
            <w:fldChar w:fldCharType="separate"/>
          </w:r>
          <w:r>
            <w:fldChar w:fldCharType="begin"/>
          </w:r>
          <w:r>
            <w:instrText xml:space="preserve"> HYPERLINK \l _Toc20413 </w:instrText>
          </w:r>
          <w:r>
            <w:fldChar w:fldCharType="separate"/>
          </w:r>
          <w:r>
            <w:rPr>
              <w:rFonts w:hint="eastAsia"/>
            </w:rPr>
            <w:t xml:space="preserve">第一章 </w:t>
          </w:r>
          <w:r>
            <w:rPr>
              <w:rFonts w:hint="eastAsia"/>
              <w:lang w:val="en-US" w:eastAsia="zh-CN"/>
            </w:rPr>
            <w:t>绪论</w:t>
          </w:r>
          <w:r>
            <w:tab/>
          </w:r>
          <w:r>
            <w:fldChar w:fldCharType="begin"/>
          </w:r>
          <w:r>
            <w:instrText xml:space="preserve"> PAGEREF _Toc20413 \h </w:instrText>
          </w:r>
          <w:r>
            <w:fldChar w:fldCharType="separate"/>
          </w:r>
          <w:r>
            <w:t>1</w:t>
          </w:r>
          <w:r>
            <w:fldChar w:fldCharType="end"/>
          </w:r>
          <w:r>
            <w:fldChar w:fldCharType="end"/>
          </w:r>
        </w:p>
        <w:p>
          <w:pPr>
            <w:pStyle w:val="6"/>
            <w:tabs>
              <w:tab w:val="right" w:leader="dot" w:pos="8306"/>
            </w:tabs>
          </w:pPr>
          <w:r>
            <w:rPr>
              <w:bCs/>
              <w:lang w:val="zh-CN"/>
            </w:rPr>
            <w:fldChar w:fldCharType="begin"/>
          </w:r>
          <w:r>
            <w:rPr>
              <w:bCs/>
              <w:lang w:val="zh-CN"/>
            </w:rPr>
            <w:instrText xml:space="preserve"> HYPERLINK \l _Toc13389 </w:instrText>
          </w:r>
          <w:r>
            <w:rPr>
              <w:bCs/>
              <w:lang w:val="zh-CN"/>
            </w:rPr>
            <w:fldChar w:fldCharType="separate"/>
          </w:r>
          <w:r>
            <w:rPr>
              <w:rFonts w:hint="eastAsia"/>
            </w:rPr>
            <w:t>1.1课题背景</w:t>
          </w:r>
          <w:r>
            <w:tab/>
          </w:r>
          <w:r>
            <w:fldChar w:fldCharType="begin"/>
          </w:r>
          <w:r>
            <w:instrText xml:space="preserve"> PAGEREF _Toc13389 \h </w:instrText>
          </w:r>
          <w:r>
            <w:fldChar w:fldCharType="separate"/>
          </w:r>
          <w:r>
            <w:t>1</w:t>
          </w:r>
          <w:r>
            <w:fldChar w:fldCharType="end"/>
          </w:r>
          <w:r>
            <w:rPr>
              <w:bCs/>
              <w:lang w:val="zh-CN"/>
            </w:rPr>
            <w:fldChar w:fldCharType="end"/>
          </w:r>
        </w:p>
        <w:p>
          <w:pPr>
            <w:pStyle w:val="9"/>
            <w:tabs>
              <w:tab w:val="right" w:leader="dot" w:pos="8306"/>
              <w:tab w:val="clear" w:pos="8296"/>
            </w:tabs>
          </w:pPr>
          <w:r>
            <w:rPr>
              <w:bCs/>
              <w:lang w:val="zh-CN"/>
            </w:rPr>
            <w:fldChar w:fldCharType="begin"/>
          </w:r>
          <w:r>
            <w:rPr>
              <w:bCs/>
              <w:lang w:val="zh-CN"/>
            </w:rPr>
            <w:instrText xml:space="preserve"> HYPERLINK \l _Toc30088 </w:instrText>
          </w:r>
          <w:r>
            <w:rPr>
              <w:bCs/>
              <w:lang w:val="zh-CN"/>
            </w:rPr>
            <w:fldChar w:fldCharType="separate"/>
          </w:r>
          <w:r>
            <w:rPr>
              <w:rFonts w:hint="eastAsia"/>
            </w:rPr>
            <w:t>第二章 二维材料薄膜的</w:t>
          </w:r>
          <w:r>
            <w:rPr>
              <w:rFonts w:hint="eastAsia"/>
              <w:lang w:val="en-US" w:eastAsia="zh-CN"/>
            </w:rPr>
            <w:t>特性及</w:t>
          </w:r>
          <w:r>
            <w:rPr>
              <w:rFonts w:hint="eastAsia"/>
            </w:rPr>
            <w:t>制备方法</w:t>
          </w:r>
          <w:r>
            <w:tab/>
          </w:r>
          <w:r>
            <w:fldChar w:fldCharType="begin"/>
          </w:r>
          <w:r>
            <w:instrText xml:space="preserve"> PAGEREF _Toc30088 \h </w:instrText>
          </w:r>
          <w:r>
            <w:fldChar w:fldCharType="separate"/>
          </w:r>
          <w:r>
            <w:t>3</w:t>
          </w:r>
          <w:r>
            <w:fldChar w:fldCharType="end"/>
          </w:r>
          <w:r>
            <w:rPr>
              <w:bCs/>
              <w:lang w:val="zh-CN"/>
            </w:rPr>
            <w:fldChar w:fldCharType="end"/>
          </w:r>
        </w:p>
        <w:p>
          <w:pPr>
            <w:pStyle w:val="6"/>
            <w:tabs>
              <w:tab w:val="right" w:leader="dot" w:pos="8306"/>
            </w:tabs>
          </w:pPr>
          <w:r>
            <w:rPr>
              <w:bCs/>
              <w:lang w:val="zh-CN"/>
            </w:rPr>
            <w:fldChar w:fldCharType="begin"/>
          </w:r>
          <w:r>
            <w:rPr>
              <w:bCs/>
              <w:lang w:val="zh-CN"/>
            </w:rPr>
            <w:instrText xml:space="preserve"> HYPERLINK \l _Toc6025 </w:instrText>
          </w:r>
          <w:r>
            <w:rPr>
              <w:bCs/>
              <w:lang w:val="zh-CN"/>
            </w:rPr>
            <w:fldChar w:fldCharType="separate"/>
          </w:r>
          <w:r>
            <w:t>2</w:t>
          </w:r>
          <w:r>
            <w:rPr>
              <w:rFonts w:hint="eastAsia"/>
            </w:rPr>
            <w:t>.1</w:t>
          </w:r>
          <w:r>
            <w:t xml:space="preserve"> </w:t>
          </w:r>
          <w:r>
            <w:rPr>
              <w:rFonts w:ascii="宋体" w:hAnsi="宋体" w:eastAsia="宋体" w:cs="宋体"/>
              <w:szCs w:val="24"/>
            </w:rPr>
            <w:t>二维材料薄膜的定义</w:t>
          </w:r>
          <w:r>
            <w:tab/>
          </w:r>
          <w:r>
            <w:fldChar w:fldCharType="begin"/>
          </w:r>
          <w:r>
            <w:instrText xml:space="preserve"> PAGEREF _Toc6025 \h </w:instrText>
          </w:r>
          <w:r>
            <w:fldChar w:fldCharType="separate"/>
          </w:r>
          <w:r>
            <w:t>3</w:t>
          </w:r>
          <w:r>
            <w:fldChar w:fldCharType="end"/>
          </w:r>
          <w:r>
            <w:rPr>
              <w:bCs/>
              <w:lang w:val="zh-CN"/>
            </w:rPr>
            <w:fldChar w:fldCharType="end"/>
          </w:r>
        </w:p>
        <w:p>
          <w:pPr>
            <w:pStyle w:val="6"/>
            <w:tabs>
              <w:tab w:val="right" w:leader="dot" w:pos="8306"/>
            </w:tabs>
          </w:pPr>
          <w:r>
            <w:rPr>
              <w:bCs/>
              <w:lang w:val="zh-CN"/>
            </w:rPr>
            <w:fldChar w:fldCharType="begin"/>
          </w:r>
          <w:r>
            <w:rPr>
              <w:bCs/>
              <w:lang w:val="zh-CN"/>
            </w:rPr>
            <w:instrText xml:space="preserve"> HYPERLINK \l _Toc10526 </w:instrText>
          </w:r>
          <w:r>
            <w:rPr>
              <w:bCs/>
              <w:lang w:val="zh-CN"/>
            </w:rPr>
            <w:fldChar w:fldCharType="separate"/>
          </w:r>
          <w:r>
            <w:t>2.</w:t>
          </w:r>
          <w:r>
            <w:rPr>
              <w:rFonts w:hint="eastAsia"/>
            </w:rPr>
            <w:t>2</w:t>
          </w:r>
          <w:r>
            <w:rPr>
              <w:rFonts w:ascii="宋体" w:hAnsi="宋体" w:eastAsia="宋体" w:cs="宋体"/>
              <w:szCs w:val="24"/>
            </w:rPr>
            <w:t>化学气相沉积（CVD）</w:t>
          </w:r>
          <w:r>
            <w:tab/>
          </w:r>
          <w:r>
            <w:fldChar w:fldCharType="begin"/>
          </w:r>
          <w:r>
            <w:instrText xml:space="preserve"> PAGEREF _Toc10526 \h </w:instrText>
          </w:r>
          <w:r>
            <w:fldChar w:fldCharType="separate"/>
          </w:r>
          <w:r>
            <w:t>4</w:t>
          </w:r>
          <w:r>
            <w:fldChar w:fldCharType="end"/>
          </w:r>
          <w:r>
            <w:rPr>
              <w:bCs/>
              <w:lang w:val="zh-CN"/>
            </w:rPr>
            <w:fldChar w:fldCharType="end"/>
          </w:r>
        </w:p>
        <w:p>
          <w:pPr>
            <w:pStyle w:val="6"/>
            <w:tabs>
              <w:tab w:val="right" w:leader="dot" w:pos="8306"/>
            </w:tabs>
          </w:pPr>
          <w:r>
            <w:rPr>
              <w:bCs/>
              <w:lang w:val="zh-CN"/>
            </w:rPr>
            <w:fldChar w:fldCharType="begin"/>
          </w:r>
          <w:r>
            <w:rPr>
              <w:bCs/>
              <w:lang w:val="zh-CN"/>
            </w:rPr>
            <w:instrText xml:space="preserve"> HYPERLINK \l _Toc21380 </w:instrText>
          </w:r>
          <w:r>
            <w:rPr>
              <w:bCs/>
              <w:lang w:val="zh-CN"/>
            </w:rPr>
            <w:fldChar w:fldCharType="separate"/>
          </w:r>
          <w:r>
            <w:t>2</w:t>
          </w:r>
          <w:r>
            <w:rPr>
              <w:rFonts w:hint="eastAsia"/>
            </w:rPr>
            <w:t>.3</w:t>
          </w:r>
          <w:r>
            <w:t xml:space="preserve"> </w:t>
          </w:r>
          <w:r>
            <w:rPr>
              <w:rFonts w:ascii="宋体" w:hAnsi="宋体" w:eastAsia="宋体" w:cs="宋体"/>
              <w:szCs w:val="24"/>
            </w:rPr>
            <w:t>物理气相沉积（PVD）</w:t>
          </w:r>
          <w:r>
            <w:tab/>
          </w:r>
          <w:r>
            <w:fldChar w:fldCharType="begin"/>
          </w:r>
          <w:r>
            <w:instrText xml:space="preserve"> PAGEREF _Toc21380 \h </w:instrText>
          </w:r>
          <w:r>
            <w:fldChar w:fldCharType="separate"/>
          </w:r>
          <w:r>
            <w:t>4</w:t>
          </w:r>
          <w:r>
            <w:fldChar w:fldCharType="end"/>
          </w:r>
          <w:r>
            <w:rPr>
              <w:bCs/>
              <w:lang w:val="zh-CN"/>
            </w:rPr>
            <w:fldChar w:fldCharType="end"/>
          </w:r>
        </w:p>
        <w:p>
          <w:pPr>
            <w:pStyle w:val="6"/>
            <w:tabs>
              <w:tab w:val="right" w:leader="dot" w:pos="8306"/>
            </w:tabs>
          </w:pPr>
          <w:r>
            <w:rPr>
              <w:bCs/>
              <w:lang w:val="zh-CN"/>
            </w:rPr>
            <w:fldChar w:fldCharType="begin"/>
          </w:r>
          <w:r>
            <w:rPr>
              <w:bCs/>
              <w:lang w:val="zh-CN"/>
            </w:rPr>
            <w:instrText xml:space="preserve"> HYPERLINK \l _Toc9487 </w:instrText>
          </w:r>
          <w:r>
            <w:rPr>
              <w:bCs/>
              <w:lang w:val="zh-CN"/>
            </w:rPr>
            <w:fldChar w:fldCharType="separate"/>
          </w:r>
          <w:r>
            <w:rPr>
              <w:rFonts w:hint="eastAsia" w:asciiTheme="majorEastAsia" w:hAnsiTheme="majorEastAsia" w:eastAsiaTheme="majorEastAsia" w:cstheme="majorEastAsia"/>
              <w:bCs/>
              <w:lang w:val="en-US" w:eastAsia="zh-CN"/>
            </w:rPr>
            <w:t>2.4</w:t>
          </w:r>
          <w:r>
            <w:rPr>
              <w:rFonts w:hint="eastAsia" w:asciiTheme="majorEastAsia" w:hAnsiTheme="majorEastAsia" w:eastAsiaTheme="majorEastAsia" w:cstheme="majorEastAsia"/>
              <w:bCs/>
            </w:rPr>
            <w:t>溶液法与液相剥离</w:t>
          </w:r>
          <w:r>
            <w:tab/>
          </w:r>
          <w:r>
            <w:fldChar w:fldCharType="begin"/>
          </w:r>
          <w:r>
            <w:instrText xml:space="preserve"> PAGEREF _Toc9487 \h </w:instrText>
          </w:r>
          <w:r>
            <w:fldChar w:fldCharType="separate"/>
          </w:r>
          <w:r>
            <w:t>5</w:t>
          </w:r>
          <w:r>
            <w:fldChar w:fldCharType="end"/>
          </w:r>
          <w:r>
            <w:rPr>
              <w:bCs/>
              <w:lang w:val="zh-CN"/>
            </w:rPr>
            <w:fldChar w:fldCharType="end"/>
          </w:r>
        </w:p>
        <w:p>
          <w:pPr>
            <w:pStyle w:val="6"/>
            <w:tabs>
              <w:tab w:val="right" w:leader="dot" w:pos="8306"/>
            </w:tabs>
          </w:pPr>
          <w:r>
            <w:rPr>
              <w:bCs/>
              <w:lang w:val="zh-CN"/>
            </w:rPr>
            <w:fldChar w:fldCharType="begin"/>
          </w:r>
          <w:r>
            <w:rPr>
              <w:bCs/>
              <w:lang w:val="zh-CN"/>
            </w:rPr>
            <w:instrText xml:space="preserve"> HYPERLINK \l _Toc13219 </w:instrText>
          </w:r>
          <w:r>
            <w:rPr>
              <w:bCs/>
              <w:lang w:val="zh-CN"/>
            </w:rPr>
            <w:fldChar w:fldCharType="separate"/>
          </w:r>
          <w:r>
            <w:rPr>
              <w:rFonts w:hint="eastAsia" w:asciiTheme="majorEastAsia" w:hAnsiTheme="majorEastAsia" w:eastAsiaTheme="majorEastAsia" w:cstheme="majorEastAsia"/>
              <w:lang w:val="en-US" w:eastAsia="zh-CN"/>
            </w:rPr>
            <w:t>2.5</w:t>
          </w:r>
          <w:r>
            <w:rPr>
              <w:rFonts w:hint="eastAsia" w:asciiTheme="majorEastAsia" w:hAnsiTheme="majorEastAsia" w:eastAsiaTheme="majorEastAsia" w:cstheme="majorEastAsia"/>
            </w:rPr>
            <w:t>自组装与模板规则</w:t>
          </w:r>
          <w:r>
            <w:tab/>
          </w:r>
          <w:r>
            <w:fldChar w:fldCharType="begin"/>
          </w:r>
          <w:r>
            <w:instrText xml:space="preserve"> PAGEREF _Toc13219 \h </w:instrText>
          </w:r>
          <w:r>
            <w:fldChar w:fldCharType="separate"/>
          </w:r>
          <w:r>
            <w:t>6</w:t>
          </w:r>
          <w:r>
            <w:fldChar w:fldCharType="end"/>
          </w:r>
          <w:r>
            <w:rPr>
              <w:bCs/>
              <w:lang w:val="zh-CN"/>
            </w:rPr>
            <w:fldChar w:fldCharType="end"/>
          </w:r>
        </w:p>
        <w:p>
          <w:pPr>
            <w:pStyle w:val="9"/>
            <w:tabs>
              <w:tab w:val="right" w:leader="dot" w:pos="8306"/>
              <w:tab w:val="clear" w:pos="8296"/>
            </w:tabs>
          </w:pPr>
          <w:r>
            <w:rPr>
              <w:bCs/>
              <w:lang w:val="zh-CN"/>
            </w:rPr>
            <w:fldChar w:fldCharType="begin"/>
          </w:r>
          <w:r>
            <w:rPr>
              <w:bCs/>
              <w:lang w:val="zh-CN"/>
            </w:rPr>
            <w:instrText xml:space="preserve"> HYPERLINK \l _Toc24061 </w:instrText>
          </w:r>
          <w:r>
            <w:rPr>
              <w:bCs/>
              <w:lang w:val="zh-CN"/>
            </w:rPr>
            <w:fldChar w:fldCharType="separate"/>
          </w:r>
          <w:r>
            <w:t>参考文献</w:t>
          </w:r>
          <w:r>
            <w:tab/>
          </w:r>
          <w:r>
            <w:fldChar w:fldCharType="begin"/>
          </w:r>
          <w:r>
            <w:instrText xml:space="preserve"> PAGEREF _Toc24061 \h </w:instrText>
          </w:r>
          <w:r>
            <w:fldChar w:fldCharType="separate"/>
          </w:r>
          <w:r>
            <w:t>8</w:t>
          </w:r>
          <w:r>
            <w:fldChar w:fldCharType="end"/>
          </w:r>
          <w:r>
            <w:rPr>
              <w:bCs/>
              <w:lang w:val="zh-CN"/>
            </w:rPr>
            <w:fldChar w:fldCharType="end"/>
          </w:r>
        </w:p>
        <w:p>
          <w:pPr>
            <w:ind w:firstLine="482"/>
          </w:pPr>
          <w:r>
            <w:rPr>
              <w:bCs/>
              <w:lang w:val="zh-CN"/>
            </w:rPr>
            <w:fldChar w:fldCharType="end"/>
          </w:r>
        </w:p>
      </w:sdtContent>
    </w:sdt>
    <w:p>
      <w:pPr>
        <w:widowControl/>
        <w:spacing w:line="240" w:lineRule="auto"/>
        <w:ind w:firstLine="480"/>
        <w:jc w:val="left"/>
        <w:rPr>
          <w:rFonts w:eastAsia="宋体"/>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fmt="upperRoman" w:start="1"/>
          <w:cols w:space="425" w:num="1"/>
          <w:docGrid w:type="lines" w:linePitch="312" w:charSpace="0"/>
        </w:sectPr>
      </w:pPr>
    </w:p>
    <w:p>
      <w:pPr>
        <w:pStyle w:val="23"/>
        <w:spacing w:before="326" w:after="326"/>
        <w:rPr>
          <w:rFonts w:hint="eastAsia" w:eastAsia="黑体"/>
          <w:lang w:val="en-US" w:eastAsia="zh-CN"/>
        </w:rPr>
      </w:pPr>
      <w:bookmarkStart w:id="0" w:name="_Toc20413"/>
      <w:r>
        <w:rPr>
          <w:rFonts w:hint="eastAsia"/>
        </w:rPr>
        <w:t xml:space="preserve">第一章 </w:t>
      </w:r>
      <w:r>
        <w:rPr>
          <w:rFonts w:hint="eastAsia"/>
          <w:lang w:val="en-US" w:eastAsia="zh-CN"/>
        </w:rPr>
        <w:t>绪论</w:t>
      </w:r>
      <w:bookmarkEnd w:id="0"/>
    </w:p>
    <w:p>
      <w:pPr>
        <w:pStyle w:val="24"/>
        <w:spacing w:before="163" w:after="163"/>
        <w:ind w:firstLine="480"/>
      </w:pPr>
      <w:bookmarkStart w:id="1" w:name="_Toc13389"/>
      <w:r>
        <w:rPr>
          <w:rFonts w:hint="eastAsia"/>
        </w:rPr>
        <w:t>1.1课题背景</w:t>
      </w:r>
      <w:bookmarkEnd w:id="1"/>
    </w:p>
    <w:p>
      <w:pPr>
        <w:ind w:firstLine="480"/>
        <w:rPr>
          <w:rFonts w:hint="eastAsia"/>
        </w:rPr>
      </w:pPr>
      <w:r>
        <w:rPr>
          <w:rFonts w:hint="eastAsia"/>
        </w:rPr>
        <w:t>在当今材料科学领域，二维材料薄膜因其独特的物理化学性质和在电子、光电子、能源存储等领域的广泛应用前景，已成为研究的热点。二维材料薄膜，指的是在厚度方向上尺寸为纳米量级的薄膜，或具有纳米结构特性的薄膜，它们在电子器件中能有效抑制短沟道效应，缩小器件尺寸，降低功耗。本文将详细探讨二维材料薄膜制备方法的研究背景、主要内容和未来展望。</w:t>
      </w:r>
    </w:p>
    <w:p>
      <w:pPr>
        <w:ind w:firstLine="480"/>
        <w:rPr>
          <w:rFonts w:hint="eastAsia"/>
        </w:rPr>
      </w:pPr>
      <w:r>
        <w:rPr>
          <w:rFonts w:hint="eastAsia"/>
        </w:rPr>
        <w:t>二维材料薄膜的制备技术是实现其广泛应用的关键。随着纳米科技的飞速发展，二维材料薄膜因其卓越的电学、热学、光学和机械性能，展现出巨大的应用潜力。例如，石墨烯作为最著名的二维材料，具有高导电性和高强度，而过渡金属硫化物（如MoS2）则因其半导体性质在电子器件中具有重要应用。这些材料的制备方法多样，包括物理气相沉积（PVD）、化学气相沉积（CVD）、溶胶-凝胶法等，每种方法都有其独特的优势和局限性。</w:t>
      </w:r>
    </w:p>
    <w:p>
      <w:pPr>
        <w:ind w:firstLine="480"/>
        <w:rPr>
          <w:rFonts w:hint="eastAsia"/>
        </w:rPr>
      </w:pPr>
      <w:r>
        <w:rPr>
          <w:rFonts w:hint="eastAsia"/>
        </w:rPr>
        <w:t>在众多制备方法中，</w:t>
      </w:r>
      <w:r>
        <w:rPr>
          <w:rFonts w:hint="default"/>
          <w:sz w:val="24"/>
          <w:szCs w:val="24"/>
          <w:lang w:val="en-US" w:eastAsia="zh-CN"/>
        </w:rPr>
        <w:t>Z</w:t>
      </w:r>
      <w:r>
        <w:rPr>
          <w:rFonts w:hint="eastAsia"/>
          <w:sz w:val="24"/>
          <w:szCs w:val="24"/>
          <w:lang w:val="en-US" w:eastAsia="zh-CN"/>
        </w:rPr>
        <w:t>hang</w:t>
      </w:r>
      <w:r>
        <w:rPr>
          <w:rFonts w:hint="default"/>
          <w:sz w:val="24"/>
          <w:szCs w:val="24"/>
          <w:lang w:val="en-US" w:eastAsia="zh-CN"/>
        </w:rPr>
        <w:t xml:space="preserve"> F</w:t>
      </w:r>
      <w:r>
        <w:rPr>
          <w:rFonts w:hint="eastAsia"/>
          <w:vertAlign w:val="superscript"/>
          <w:lang w:val="en-US" w:eastAsia="zh-CN"/>
        </w:rPr>
        <w:t>[1]</w:t>
      </w:r>
      <w:r>
        <w:rPr>
          <w:rFonts w:hint="eastAsia"/>
          <w:sz w:val="24"/>
          <w:szCs w:val="24"/>
          <w:lang w:val="en-US" w:eastAsia="zh-CN"/>
        </w:rPr>
        <w:t>等人发现</w:t>
      </w:r>
      <w:r>
        <w:rPr>
          <w:rFonts w:hint="eastAsia"/>
        </w:rPr>
        <w:t>物理气相沉积（PVD）技术因其能够在较低温度下实现高质量薄膜沉积而受到广泛关注。PVD包括各种不同加热方式的蒸发、直流、高频或射频溅射、离子束溅射等，这些技术能够精确控制薄膜的厚度和成分。化学气相沉积（CVD）技术则是制备大面积二维材料薄膜的关键方法，通过优化生长参数，可以在低温下直接合成大面积石墨烯薄膜。此外，</w:t>
      </w:r>
      <w:r>
        <w:rPr>
          <w:rFonts w:hint="default"/>
          <w:sz w:val="24"/>
          <w:szCs w:val="24"/>
          <w:lang w:val="en-US" w:eastAsia="zh-CN"/>
        </w:rPr>
        <w:t>Lee C-Y</w:t>
      </w:r>
      <w:r>
        <w:rPr>
          <w:rFonts w:hint="eastAsia"/>
          <w:sz w:val="24"/>
          <w:szCs w:val="24"/>
          <w:lang w:val="en-US" w:eastAsia="zh-CN"/>
        </w:rPr>
        <w:t>等人研究发现</w:t>
      </w:r>
      <w:r>
        <w:rPr>
          <w:rFonts w:hint="eastAsia"/>
          <w:vertAlign w:val="superscript"/>
          <w:lang w:val="en-US" w:eastAsia="zh-CN"/>
        </w:rPr>
        <w:t>[2]</w:t>
      </w:r>
      <w:r>
        <w:rPr>
          <w:rFonts w:hint="eastAsia"/>
        </w:rPr>
        <w:t>等离子体辅助增强化学气相沉积（PECVD）因其低温环境对基底友好以及无转移生长的优势，吸引了越来越多的研究者关注。溶胶-凝胶法作为一种湿化学方法，通过溶液中的溶胶和凝胶的转化来制备薄膜材料，这种方法在氧化物薄膜领域有广泛应用。其他方法如涂布法、旋涂法、分子束外延等，这些方法各有特点，适用于不同的材料体系和应用场景。</w:t>
      </w:r>
    </w:p>
    <w:p>
      <w:pPr>
        <w:ind w:firstLine="480"/>
        <w:rPr>
          <w:rFonts w:hint="eastAsia"/>
        </w:rPr>
      </w:pPr>
      <w:r>
        <w:rPr>
          <w:rFonts w:hint="eastAsia"/>
        </w:rPr>
        <w:t>二维材料薄膜的制备技术将继续朝着大面积、高质量、功能化和环境友好的方向发展。随着电子和光电子学应用的发展，对大面积二维材料薄膜的需求日益增加。未来的研究需要突破成核及生长速率的控制，扩大晶粒尺寸，提升电学性能，并开发更为先进的CVD系统。此外，新型结构的二维晶体合成，如Janus结构的MoSSe，将为材料科学带来新的研究方向和应用前景。同时，环境友好和可持续性也是未来薄膜研究的一个重要方向，这涉及到薄膜材料的可持续性和环境友好性。功能化薄膜的发展是薄膜研究的一个重要方向，通过在薄膜表面引入功能单元，可以实现薄膜的自清洁、自修复等功能。</w:t>
      </w:r>
    </w:p>
    <w:p>
      <w:pPr>
        <w:ind w:firstLine="480"/>
        <w:rPr>
          <w:rFonts w:hint="eastAsia"/>
        </w:rPr>
      </w:pPr>
      <w:r>
        <w:rPr>
          <w:rFonts w:hint="eastAsia"/>
        </w:rPr>
        <w:t>二维材料薄膜的制备技术不仅对基础科学研究具有重要意义，而且对推动高新技术发展和产业应用也至关重要。随着科技的进步和社会的发展，对材料性能的要求越来越高，二维材料薄膜以其独特的性质满足了这些需求。然而，我们也必须意识到，这些材料的制备和应用过程中可能带来的环境问题和挑战。因此，未来的研究不仅要注重材料性能的提升，还要考虑材料的可持续性，实现环境保护和经济发展的双赢。</w:t>
      </w:r>
    </w:p>
    <w:p>
      <w:pPr>
        <w:ind w:firstLine="480"/>
      </w:pPr>
      <w:r>
        <w:br w:type="page"/>
      </w:r>
    </w:p>
    <w:p>
      <w:pPr>
        <w:pStyle w:val="23"/>
        <w:spacing w:before="326" w:after="326"/>
        <w:rPr>
          <w:rFonts w:hint="eastAsia" w:eastAsia="黑体"/>
          <w:lang w:eastAsia="zh-CN"/>
        </w:rPr>
      </w:pPr>
      <w:bookmarkStart w:id="2" w:name="_Toc30088"/>
      <w:r>
        <w:rPr>
          <w:rFonts w:hint="eastAsia"/>
        </w:rPr>
        <w:t>第二章 二维材料薄膜的</w:t>
      </w:r>
      <w:r>
        <w:rPr>
          <w:rFonts w:hint="eastAsia"/>
          <w:lang w:val="en-US" w:eastAsia="zh-CN"/>
        </w:rPr>
        <w:t>特性及</w:t>
      </w:r>
      <w:r>
        <w:rPr>
          <w:rFonts w:hint="eastAsia"/>
        </w:rPr>
        <w:t>制备方法</w:t>
      </w:r>
      <w:bookmarkEnd w:id="2"/>
    </w:p>
    <w:p>
      <w:pPr>
        <w:pStyle w:val="24"/>
        <w:spacing w:before="163" w:after="163"/>
        <w:ind w:firstLine="480"/>
        <w:rPr>
          <w:rFonts w:ascii="宋体" w:hAnsi="宋体" w:eastAsia="宋体" w:cs="宋体"/>
          <w:sz w:val="24"/>
          <w:szCs w:val="24"/>
        </w:rPr>
      </w:pPr>
      <w:bookmarkStart w:id="3" w:name="_Toc6025"/>
      <w:r>
        <w:t>2</w:t>
      </w:r>
      <w:r>
        <w:rPr>
          <w:rFonts w:hint="eastAsia"/>
        </w:rPr>
        <w:t>.1</w:t>
      </w:r>
      <w:r>
        <w:t xml:space="preserve"> </w:t>
      </w:r>
      <w:r>
        <w:rPr>
          <w:rFonts w:ascii="宋体" w:hAnsi="宋体" w:eastAsia="宋体" w:cs="宋体"/>
          <w:sz w:val="24"/>
          <w:szCs w:val="24"/>
        </w:rPr>
        <w:t>二维材料薄膜的定义</w:t>
      </w:r>
      <w:bookmarkEnd w:id="3"/>
    </w:p>
    <w:p>
      <w:pPr>
        <w:bidi w:val="0"/>
        <w:rPr>
          <w:rFonts w:hint="eastAsia"/>
          <w:lang w:val="en-US" w:eastAsia="zh-CN"/>
        </w:rPr>
      </w:pPr>
      <w:r>
        <w:rPr>
          <w:rFonts w:hint="eastAsia"/>
          <w:lang w:val="en-US" w:eastAsia="zh-CN"/>
        </w:rPr>
        <w:t>二维材料薄膜，作为材料科学中的一个新兴领域，具有深远的研究意义和广泛的应用前景。以下是对二维材料薄膜的定义、重要性以及在科研和工业领域的应用的详细阐述。</w:t>
      </w:r>
    </w:p>
    <w:p>
      <w:pPr>
        <w:bidi w:val="0"/>
        <w:rPr>
          <w:rFonts w:hint="eastAsia"/>
          <w:lang w:val="en-US" w:eastAsia="zh-CN"/>
        </w:rPr>
      </w:pPr>
      <w:r>
        <w:rPr>
          <w:rFonts w:hint="eastAsia"/>
          <w:lang w:val="en-US" w:eastAsia="zh-CN"/>
        </w:rPr>
        <w:t>二维材料是指电子仅可在两个维度的非纳米尺度（1-100nm）上自由运动（平面运动）的材料，如纳米薄膜、超晶格、量子阱。这类材料的独特之处在于它们的电子和光学性质发生了非常显著的变化，这是由于它们的厚度达到了原子级别，使得载流子迁移和热量扩散都被限制在二维平面内。</w:t>
      </w:r>
    </w:p>
    <w:p>
      <w:pPr>
        <w:bidi w:val="0"/>
        <w:rPr>
          <w:rFonts w:hint="eastAsia"/>
          <w:lang w:val="en-US" w:eastAsia="zh-CN"/>
        </w:rPr>
      </w:pPr>
      <w:r>
        <w:rPr>
          <w:rFonts w:hint="eastAsia"/>
          <w:lang w:val="en-US" w:eastAsia="zh-CN"/>
        </w:rPr>
        <w:t>二维材料薄膜，这些仅由单层或几层原子构成的材料，展现出了一系列引人入胜的独特性质。首先，它们拥有极高的表面积与体积比，这一特性使得二维材料薄膜在催化、能源存储和传感器等领域展现出巨大的应用潜力。在电子性质方面，二维材料薄膜表现出与传统三维材料截然不同的行为，例如石墨烯的零带隙特性赋予了它非凡的导电性能，而像MoS2这样的过渡金属硫化物则表现出层依赖的半导体性质，这些性质为电子器件的设计与制造提供了新的可能性。</w:t>
      </w:r>
    </w:p>
    <w:p>
      <w:pPr>
        <w:bidi w:val="0"/>
        <w:rPr>
          <w:rFonts w:hint="eastAsia"/>
          <w:lang w:val="en-US" w:eastAsia="zh-CN"/>
        </w:rPr>
      </w:pPr>
      <w:r>
        <w:rPr>
          <w:rFonts w:hint="eastAsia"/>
          <w:lang w:val="en-US" w:eastAsia="zh-CN"/>
        </w:rPr>
        <w:t>在机械强度方面，尽管二维材料薄膜极薄，它们却展现出了惊人的强度和柔韧性，这使得它们在柔性电子和复合材料领域备受青睐。在光学性能上，许多二维材料薄膜如石墨烯和过渡金属硫化物即便在单层状态下也保持了高透明度，这对于透明电子器件和智能窗户等应用至关重要。热导性也是二维材料薄膜的一大亮点，石墨烯等材料的高热导率为热管理提供了新的解决方案。</w:t>
      </w:r>
    </w:p>
    <w:p>
      <w:pPr>
        <w:bidi w:val="0"/>
        <w:rPr>
          <w:rFonts w:hint="eastAsia"/>
          <w:lang w:val="en-US" w:eastAsia="zh-CN"/>
        </w:rPr>
      </w:pPr>
      <w:r>
        <w:rPr>
          <w:rFonts w:hint="eastAsia"/>
          <w:lang w:val="en-US" w:eastAsia="zh-CN"/>
        </w:rPr>
        <w:t>化学活性方面，二维材料薄膜表面原子的高暴露度赋予了它们极高的反应活性，这在催化和能量转换等领域尤为重要。此外，层间相互作用在多层二维材料薄膜中可能导致新的物理现象，如层间激子和摩尔纹效应，为材料科学带来了新的研究课题。最后，二维材料薄膜的带隙可通过改变层数或施加外部电场进行调节，这对于光电器件的设计和性能优化至关重要。</w:t>
      </w:r>
    </w:p>
    <w:p>
      <w:pPr>
        <w:bidi w:val="0"/>
        <w:rPr>
          <w:rFonts w:hint="eastAsia"/>
          <w:lang w:val="en-US" w:eastAsia="zh-CN"/>
        </w:rPr>
      </w:pPr>
      <w:r>
        <w:rPr>
          <w:rFonts w:hint="eastAsia"/>
          <w:lang w:val="en-US" w:eastAsia="zh-CN"/>
        </w:rPr>
        <w:t>二维材料薄膜的这些特性不仅在理论上具有重要意义，而且在实际应用中也展现出巨大的潜力。随着科技的进步和对这些材料更深入的理解，我们可以预见二维材料薄膜将在未来的科技发展中扮演越来越重要的角色。</w:t>
      </w:r>
    </w:p>
    <w:p>
      <w:pPr>
        <w:pStyle w:val="24"/>
        <w:spacing w:before="163" w:after="163"/>
        <w:ind w:firstLine="480"/>
      </w:pPr>
      <w:bookmarkStart w:id="4" w:name="_Toc10526"/>
      <w:r>
        <w:t>2.</w:t>
      </w:r>
      <w:r>
        <w:rPr>
          <w:rFonts w:hint="eastAsia"/>
        </w:rPr>
        <w:t>2</w:t>
      </w:r>
      <w:r>
        <w:rPr>
          <w:rFonts w:ascii="宋体" w:hAnsi="宋体" w:eastAsia="宋体" w:cs="宋体"/>
          <w:sz w:val="24"/>
          <w:szCs w:val="24"/>
        </w:rPr>
        <w:t>化学气相沉积（CVD）</w:t>
      </w:r>
      <w:bookmarkEnd w:id="4"/>
    </w:p>
    <w:p>
      <w:pPr>
        <w:bidi w:val="0"/>
        <w:rPr>
          <w:rFonts w:hint="eastAsia"/>
        </w:rPr>
      </w:pPr>
      <w:r>
        <w:rPr>
          <w:rFonts w:hint="eastAsia"/>
        </w:rPr>
        <w:t>化学气相沉积（CVD）技术在二维材料薄膜的制备中扮演着至关重要的角色，它通过在衬底表面进行化学反应来沉积固态薄膜</w:t>
      </w:r>
      <w:r>
        <w:rPr>
          <w:rFonts w:hint="eastAsia"/>
          <w:vertAlign w:val="superscript"/>
          <w:lang w:val="en-US" w:eastAsia="zh-CN"/>
        </w:rPr>
        <w:t>[3]</w:t>
      </w:r>
      <w:r>
        <w:rPr>
          <w:rFonts w:hint="eastAsia"/>
        </w:rPr>
        <w:t>。CVD过程涉及将气态前驱体输送至加热的衬底表面，在衬底表面上发生化学反应，形成固态产物，即我们所需的二维材料薄膜。这种方法的优势在于其能够以合理的成本生产高质量、大面积的二维材料，同时通过精确控制生长参数，可以调控产物的层数、尺寸、形态和方向，甚至实现掺杂或缺陷的引入。当前的研究热点集中在实现大面积单层或多层材料的制备、发展低温CVD技术，以及合成新型结构的二维材料。然而，</w:t>
      </w:r>
      <w:r>
        <w:rPr>
          <w:rFonts w:ascii="宋体" w:hAnsi="宋体" w:eastAsia="宋体" w:cs="宋体"/>
          <w:sz w:val="24"/>
          <w:szCs w:val="24"/>
        </w:rPr>
        <w:t>徐创霞</w:t>
      </w:r>
      <w:r>
        <w:rPr>
          <w:rFonts w:hint="eastAsia" w:ascii="宋体" w:hAnsi="宋体" w:eastAsia="宋体" w:cs="宋体"/>
          <w:sz w:val="24"/>
          <w:szCs w:val="24"/>
          <w:lang w:val="en-US" w:eastAsia="zh-CN"/>
        </w:rPr>
        <w:t>等人</w:t>
      </w:r>
      <w:r>
        <w:rPr>
          <w:rFonts w:hint="eastAsia"/>
          <w:vertAlign w:val="superscript"/>
          <w:lang w:val="en-US" w:eastAsia="zh-CN"/>
        </w:rPr>
        <w:t>[5]</w:t>
      </w:r>
      <w:r>
        <w:rPr>
          <w:rFonts w:hint="eastAsia" w:ascii="宋体" w:hAnsi="宋体" w:eastAsia="宋体" w:cs="宋体"/>
          <w:sz w:val="24"/>
          <w:szCs w:val="24"/>
          <w:lang w:val="en-US" w:eastAsia="zh-CN"/>
        </w:rPr>
        <w:t>发现</w:t>
      </w:r>
      <w:r>
        <w:rPr>
          <w:rFonts w:hint="eastAsia"/>
        </w:rPr>
        <w:t>CVD技术在二维材料薄膜的制备中仍面临一些挑战，包括对成核及生长速率的控制、大面积制备的均匀性以及材料的制备水平。这些挑战需要我们深入理解CVD生长机理，以指导高质量二维材料薄膜的大面积生长。随着研究的深入和技术的进步，CVD技术有望在未来实现更高质量、更大面积的二维材料薄膜的制备，推动二维材料从理论走向应用的脚步，这不仅将促进基础科学的发展，也将为工业应用带来革命性的变革。</w:t>
      </w:r>
    </w:p>
    <w:p>
      <w:pPr>
        <w:pStyle w:val="24"/>
        <w:spacing w:before="163" w:after="163"/>
        <w:ind w:firstLine="480"/>
      </w:pPr>
      <w:bookmarkStart w:id="5" w:name="_Toc21380"/>
      <w:r>
        <w:t>2</w:t>
      </w:r>
      <w:r>
        <w:rPr>
          <w:rFonts w:hint="eastAsia"/>
        </w:rPr>
        <w:t>.3</w:t>
      </w:r>
      <w:r>
        <w:t xml:space="preserve"> </w:t>
      </w:r>
      <w:r>
        <w:rPr>
          <w:rFonts w:ascii="宋体" w:hAnsi="宋体" w:eastAsia="宋体" w:cs="宋体"/>
          <w:sz w:val="24"/>
          <w:szCs w:val="24"/>
        </w:rPr>
        <w:t>物理气相沉积（PVD）</w:t>
      </w:r>
      <w:bookmarkEnd w:id="5"/>
    </w:p>
    <w:p>
      <w:pPr>
        <w:bidi w:val="0"/>
        <w:rPr>
          <w:rFonts w:hint="eastAsia"/>
          <w:lang w:val="en-US" w:eastAsia="zh-CN"/>
        </w:rPr>
      </w:pPr>
      <w:bookmarkStart w:id="6" w:name="_Toc150598710"/>
      <w:r>
        <w:rPr>
          <w:rFonts w:hint="eastAsia"/>
          <w:lang w:val="en-US" w:eastAsia="zh-CN"/>
        </w:rPr>
        <w:t>物理气相沉积（PVD）技术在二维材料薄膜的制备中扮演着重要角色，其独特的优势和面临的挑战对材料科学领域有着深远的影响。</w:t>
      </w:r>
    </w:p>
    <w:p>
      <w:pPr>
        <w:bidi w:val="0"/>
        <w:rPr>
          <w:rFonts w:hint="eastAsia"/>
          <w:lang w:val="en-US" w:eastAsia="zh-CN"/>
        </w:rPr>
      </w:pPr>
      <w:r>
        <w:rPr>
          <w:rFonts w:hint="eastAsia"/>
          <w:lang w:val="en-US" w:eastAsia="zh-CN"/>
        </w:rPr>
        <w:t>PVD技术是一种在真空环境中，通过物理方法将材料源转化为气态原子、分子或离子，并在基底上沉积形成薄膜的过程</w:t>
      </w:r>
      <w:r>
        <w:rPr>
          <w:rFonts w:hint="eastAsia"/>
          <w:vertAlign w:val="superscript"/>
          <w:lang w:val="en-US" w:eastAsia="zh-CN"/>
        </w:rPr>
        <w:t>[4]</w:t>
      </w:r>
      <w:r>
        <w:rPr>
          <w:rFonts w:hint="eastAsia"/>
          <w:lang w:val="en-US" w:eastAsia="zh-CN"/>
        </w:rPr>
        <w:t>。这项技术能够制备出高纯度、高致密度的薄膜，且与基底结合力强，显著提升材料的耐磨、耐腐蚀及光学性能。PVD过程的灵活性高，可适用于多种材料的镀膜处理，包括金属、陶瓷及复合材料等，满足不同领域的特定需求。此外，PVD工艺温度较低，有效保护热敏基材，拓宽了应用范围至热敏性较强的材料领域。PVD还能实现薄膜厚度的精确控制及多层复合结构的构建，为材料表面性能的定制化设计提供了无限可能。</w:t>
      </w:r>
    </w:p>
    <w:p>
      <w:pPr>
        <w:bidi w:val="0"/>
        <w:rPr>
          <w:rFonts w:hint="eastAsia"/>
          <w:lang w:val="en-US" w:eastAsia="zh-CN"/>
        </w:rPr>
      </w:pPr>
      <w:r>
        <w:rPr>
          <w:rFonts w:hint="eastAsia"/>
          <w:lang w:val="en-US" w:eastAsia="zh-CN"/>
        </w:rPr>
        <w:t>在二维材料薄膜的制备中，PVD技术展现出其多方面的优势。例如，PVD技术可以用于制备绝缘层、保护膜，特别适合于聚合物和生物材料的处理。它能够在较低温度下操作，扩展了材料的种类和基片的适用范围</w:t>
      </w:r>
      <w:r>
        <w:rPr>
          <w:rFonts w:hint="eastAsia"/>
          <w:vertAlign w:val="superscript"/>
          <w:lang w:val="en-US" w:eastAsia="zh-CN"/>
        </w:rPr>
        <w:t>[6]</w:t>
      </w:r>
      <w:r>
        <w:rPr>
          <w:rFonts w:hint="eastAsia"/>
          <w:lang w:val="en-US" w:eastAsia="zh-CN"/>
        </w:rPr>
        <w:t>。然而，PVD技术也面临一些挑战，如设备成本较高，过程控制更为复杂。此外，PVD技术在实现大面积、高质量的二维材料薄膜生长方面仍需进一步优化，以满足日益增长的市场需求。</w:t>
      </w:r>
    </w:p>
    <w:p>
      <w:pPr>
        <w:bidi w:val="0"/>
        <w:rPr>
          <w:rFonts w:hint="eastAsia"/>
          <w:lang w:val="en-US" w:eastAsia="zh-CN"/>
        </w:rPr>
      </w:pPr>
      <w:r>
        <w:rPr>
          <w:rFonts w:hint="eastAsia"/>
          <w:lang w:val="en-US" w:eastAsia="zh-CN"/>
        </w:rPr>
        <w:t>PVD技术在二维材料薄膜的制备中具有重要的应用前景，但仍需克服成本、过程控制和大面积制备等方面的挑战。随着技术的不断进步，PVD技术有望在未来实现更高效、更环保的二维材料薄膜制备，进一步推动相关工业领域的发展。</w:t>
      </w:r>
    </w:p>
    <w:p>
      <w:pPr>
        <w:pStyle w:val="24"/>
        <w:bidi w:val="0"/>
        <w:rPr>
          <w:rFonts w:hint="eastAsia" w:asciiTheme="majorEastAsia" w:hAnsiTheme="majorEastAsia" w:eastAsiaTheme="majorEastAsia" w:cstheme="majorEastAsia"/>
          <w:b w:val="0"/>
          <w:bCs/>
        </w:rPr>
      </w:pPr>
      <w:bookmarkStart w:id="7" w:name="_Toc9487"/>
      <w:r>
        <w:rPr>
          <w:rFonts w:hint="eastAsia" w:asciiTheme="majorEastAsia" w:hAnsiTheme="majorEastAsia" w:eastAsiaTheme="majorEastAsia" w:cstheme="majorEastAsia"/>
          <w:b w:val="0"/>
          <w:bCs/>
          <w:lang w:val="en-US" w:eastAsia="zh-CN"/>
        </w:rPr>
        <w:t>2.4</w:t>
      </w:r>
      <w:bookmarkEnd w:id="6"/>
      <w:r>
        <w:rPr>
          <w:rFonts w:hint="eastAsia" w:asciiTheme="majorEastAsia" w:hAnsiTheme="majorEastAsia" w:eastAsiaTheme="majorEastAsia" w:cstheme="majorEastAsia"/>
          <w:b w:val="0"/>
          <w:bCs/>
        </w:rPr>
        <w:t>溶液法与液相剥离</w:t>
      </w:r>
      <w:bookmarkEnd w:id="7"/>
    </w:p>
    <w:p>
      <w:pPr>
        <w:ind w:firstLine="480"/>
        <w:rPr>
          <w:rFonts w:hint="eastAsia"/>
          <w:lang w:val="en-US" w:eastAsia="zh-CN"/>
        </w:rPr>
      </w:pPr>
      <w:r>
        <w:rPr>
          <w:rFonts w:hint="eastAsia"/>
          <w:lang w:val="en-US" w:eastAsia="zh-CN"/>
        </w:rPr>
        <w:t>溶液法和液相剥离是两种常用于二维材料薄膜制备的技术，它们各自具有独特的优势和挑战。</w:t>
      </w:r>
    </w:p>
    <w:p>
      <w:pPr>
        <w:ind w:firstLine="480"/>
        <w:rPr>
          <w:rFonts w:hint="eastAsia"/>
          <w:lang w:val="en-US" w:eastAsia="zh-CN"/>
        </w:rPr>
      </w:pPr>
      <w:r>
        <w:rPr>
          <w:rFonts w:hint="eastAsia"/>
          <w:lang w:val="en-US" w:eastAsia="zh-CN"/>
        </w:rPr>
        <w:t>溶液法，也称为溶液沉积法，涉及将前驱体溶液滴在基材上，通过旋转或浸涂的方式使溶液均匀铺展，随后溶剂蒸发形成均匀的固态薄膜。这种方法的优势在于工艺简单、成本较低，且适用于大面积制备。溶液法的关键影响因素包括转速、溶液粘度和浓度，这些因素共同决定了薄膜的厚度和均匀性。溶液法在光伏器件和有机电子器件的制备中得到了广泛应用，如有机太阳能电池和有机发光二极管（OLED）。</w:t>
      </w:r>
    </w:p>
    <w:p>
      <w:pPr>
        <w:ind w:firstLine="480"/>
        <w:rPr>
          <w:rFonts w:hint="eastAsia"/>
          <w:lang w:val="en-US" w:eastAsia="zh-CN"/>
        </w:rPr>
      </w:pPr>
    </w:p>
    <w:p>
      <w:pPr>
        <w:ind w:firstLine="480"/>
        <w:rPr>
          <w:rFonts w:hint="eastAsia"/>
          <w:lang w:val="en-US" w:eastAsia="zh-CN"/>
        </w:rPr>
      </w:pPr>
      <w:r>
        <w:rPr>
          <w:rFonts w:hint="eastAsia"/>
          <w:lang w:val="en-US" w:eastAsia="zh-CN"/>
        </w:rPr>
        <w:t>液相剥离法则是一种将块体材料在溶剂中剥离，以获取单层或少层二维材料的技术。这种方法可以分为直接液相剥离和插层剥离。直接液相剥离通过超声等方式直接从块体材料中获得二维材料，但产率较低。插层剥离法则通过化学或电化学方法将异质组分插层至二维材料中，从而高效获得单层二维材料，且产率较高。液相剥离技术因其溶液可加工性、可规模化、产品具有大横向尺寸和高单层产率而受到欢迎。优化溶剂和超声处理等参数，可以制备出高质量、稳定的二维材料，且具有良好的电化学性能，适用于多种储能应用。</w:t>
      </w:r>
    </w:p>
    <w:p>
      <w:pPr>
        <w:ind w:firstLine="480"/>
        <w:rPr>
          <w:rFonts w:hint="eastAsia" w:eastAsia="黑体" w:cstheme="minorBidi"/>
          <w:b w:val="0"/>
          <w:bCs/>
          <w:kern w:val="2"/>
          <w:sz w:val="24"/>
          <w:szCs w:val="32"/>
          <w:lang w:val="en-US" w:eastAsia="zh-CN" w:bidi="ar-SA"/>
        </w:rPr>
      </w:pPr>
      <w:r>
        <w:rPr>
          <w:rFonts w:hint="eastAsia"/>
          <w:lang w:val="en-US" w:eastAsia="zh-CN"/>
        </w:rPr>
        <w:t>溶液法和液相剥离在二维材料薄膜的制备中各有优势。溶液法适合于需要大面积均匀薄膜的应用，而液相剥离法则更适合于需要高产量和高质量单层或少层材料的应用。液相剥离技术相比传统的机械剥离方法具有较高的产率和较低的成本，通过优化溶剂和超声处理等参数，可以制备出高质量、稳定的二维材料。这些方法的发展对于二维材料的工业化应用至关重要，因为它们提供了从实验室到工业规模生产的可能性。然而，这些技术也面临着挑战，如提高产率、控制薄膜质量和尺寸的一致性，以及开发更环保、成本效益更高的方法。随着研究的深入，这些技术有望在未来实现更高效、更可控的二维材料薄膜制备。</w:t>
      </w:r>
    </w:p>
    <w:p>
      <w:pPr>
        <w:pStyle w:val="24"/>
        <w:bidi w:val="0"/>
        <w:rPr>
          <w:rFonts w:hint="eastAsia" w:asciiTheme="majorEastAsia" w:hAnsiTheme="majorEastAsia" w:eastAsiaTheme="majorEastAsia" w:cstheme="majorEastAsia"/>
        </w:rPr>
      </w:pPr>
      <w:bookmarkStart w:id="8" w:name="_Toc13219"/>
      <w:r>
        <w:rPr>
          <w:rFonts w:hint="eastAsia" w:asciiTheme="majorEastAsia" w:hAnsiTheme="majorEastAsia" w:eastAsiaTheme="majorEastAsia" w:cstheme="majorEastAsia"/>
          <w:lang w:val="en-US" w:eastAsia="zh-CN"/>
        </w:rPr>
        <w:t>2.5</w:t>
      </w:r>
      <w:r>
        <w:rPr>
          <w:rFonts w:hint="eastAsia" w:asciiTheme="majorEastAsia" w:hAnsiTheme="majorEastAsia" w:eastAsiaTheme="majorEastAsia" w:cstheme="majorEastAsia"/>
        </w:rPr>
        <w:t>自组装与模板规则</w:t>
      </w:r>
      <w:bookmarkEnd w:id="8"/>
    </w:p>
    <w:p>
      <w:pPr>
        <w:rPr>
          <w:rFonts w:hint="eastAsia" w:ascii="宋体" w:hAnsi="宋体" w:eastAsia="宋体" w:cs="宋体"/>
          <w:sz w:val="24"/>
          <w:szCs w:val="24"/>
        </w:rPr>
      </w:pPr>
      <w:r>
        <w:rPr>
          <w:rFonts w:hint="eastAsia" w:ascii="宋体" w:hAnsi="宋体" w:eastAsia="宋体" w:cs="宋体"/>
          <w:sz w:val="24"/>
          <w:szCs w:val="24"/>
        </w:rPr>
        <w:t>自组装和模板规则是两种在二维材料薄膜制备中非常重要的技术，它们利用分子间的相互作用或模板的引导作用来实现材料的有序排列和生长。</w:t>
      </w:r>
    </w:p>
    <w:p>
      <w:pPr>
        <w:rPr>
          <w:rFonts w:hint="eastAsia" w:ascii="宋体" w:hAnsi="宋体" w:eastAsia="宋体" w:cs="宋体"/>
          <w:sz w:val="24"/>
          <w:szCs w:val="24"/>
        </w:rPr>
      </w:pPr>
      <w:r>
        <w:rPr>
          <w:rFonts w:hint="eastAsia" w:ascii="宋体" w:hAnsi="宋体" w:eastAsia="宋体" w:cs="宋体"/>
          <w:sz w:val="24"/>
          <w:szCs w:val="24"/>
        </w:rPr>
        <w:t>自组装技术是一种基于分子间相互作用，通过溶液中自然形成纳米材料的技术。在二维材料的制备中，自组装技术可以利用两亲卟啉换单体在戊烷-水界面的特性和类层流的运输方式，实现大面积连续单层二维高分子薄膜的制备。这种方法的创新之处在于，它不仅能够制备大面积的单层二维高分子薄膜，还可以利用层流互不混合的特性制备不同二维高分子的平面异质结构。自组装技术的应用，使得二维材料的制备过程更加简单快捷，且成本较低，同时能够保持材料结构的有序性和稳定性。</w:t>
      </w:r>
    </w:p>
    <w:p>
      <w:pPr>
        <w:rPr>
          <w:rFonts w:hint="eastAsia" w:ascii="宋体" w:hAnsi="宋体" w:eastAsia="宋体" w:cs="宋体"/>
          <w:sz w:val="24"/>
          <w:szCs w:val="24"/>
        </w:rPr>
      </w:pPr>
      <w:r>
        <w:rPr>
          <w:rFonts w:hint="eastAsia" w:ascii="宋体" w:hAnsi="宋体" w:eastAsia="宋体" w:cs="宋体"/>
          <w:sz w:val="24"/>
          <w:szCs w:val="24"/>
        </w:rPr>
        <w:t>模板规则技术则是一种通过特定模板结构引导物质自发组装成所需形状的方法。在二维材料薄膜的制备中，模板的形状和表面性质对所形成的结构具有决定性的影响。例如，选择合适的衬底材料，可以促进二维材料的大面积且取向一致的薄膜沉积</w:t>
      </w:r>
      <w:r>
        <w:rPr>
          <w:rFonts w:hint="eastAsia"/>
          <w:vertAlign w:val="superscript"/>
          <w:lang w:val="en-US" w:eastAsia="zh-CN"/>
        </w:rPr>
        <w:t>[7]</w:t>
      </w:r>
      <w:r>
        <w:rPr>
          <w:rFonts w:hint="eastAsia" w:ascii="宋体" w:hAnsi="宋体" w:eastAsia="宋体" w:cs="宋体"/>
          <w:sz w:val="24"/>
          <w:szCs w:val="24"/>
        </w:rPr>
        <w:t>。Cu(111)衬底与石墨烯具有相同的晶格取向，因此是制备石墨烯薄膜的常用衬底。此外，模板规则技术还可以用于制备具有高度有序排列的纳米线阵列，用于提高电子器件的导电性和光电转化效率。</w:t>
      </w:r>
    </w:p>
    <w:p>
      <w:pPr>
        <w:rPr>
          <w:rFonts w:hint="eastAsia" w:ascii="宋体" w:hAnsi="宋体" w:eastAsia="宋体" w:cs="宋体"/>
          <w:sz w:val="24"/>
          <w:szCs w:val="24"/>
        </w:rPr>
      </w:pPr>
      <w:r>
        <w:rPr>
          <w:rFonts w:hint="eastAsia" w:ascii="宋体" w:hAnsi="宋体" w:eastAsia="宋体" w:cs="宋体"/>
          <w:sz w:val="24"/>
          <w:szCs w:val="24"/>
        </w:rPr>
        <w:t>自组装和模板规则技术，可以实现二维材料薄膜的精准制备。例如，通过有序一维碲纳米线的取向搭接，可控地制备出厘米级准二维碲纳米薄膜。这种策略不仅能够制备出具有特定结构和性能的纳米材料，还能够模拟生物体内的结构和功能，为生物医学研究提供新的平台。</w:t>
      </w:r>
    </w:p>
    <w:p>
      <w:pPr>
        <w:rPr>
          <w:rFonts w:hint="eastAsia" w:ascii="宋体" w:hAnsi="宋体" w:eastAsia="宋体" w:cs="宋体"/>
          <w:sz w:val="24"/>
          <w:szCs w:val="24"/>
        </w:rPr>
      </w:pPr>
      <w:r>
        <w:rPr>
          <w:rFonts w:hint="eastAsia" w:ascii="宋体" w:hAnsi="宋体" w:eastAsia="宋体" w:cs="宋体"/>
          <w:sz w:val="24"/>
          <w:szCs w:val="24"/>
        </w:rPr>
        <w:t>总的来说，自组装和模板规则技术在二维材料薄膜的制备中发挥着重要作用，它们不仅能够实现材料的有序排列和生长，还能够降低制备成本，提高材料的性能和应用范围。随着这些技术的不断进步和创新，二维材料薄膜的制备将更加高效、可控，为未来的科技发展提供更多可能性。</w:t>
      </w:r>
    </w:p>
    <w:p>
      <w:pPr>
        <w:rPr>
          <w:rFonts w:ascii="宋体" w:hAnsi="宋体" w:eastAsia="宋体" w:cs="宋体"/>
          <w:sz w:val="24"/>
          <w:szCs w:val="24"/>
        </w:rPr>
      </w:pPr>
    </w:p>
    <w:p>
      <w:pPr>
        <w:ind w:firstLine="480"/>
        <w:rPr>
          <w:rFonts w:eastAsia="宋体"/>
        </w:rPr>
      </w:pPr>
      <w:r>
        <w:br w:type="page"/>
      </w:r>
    </w:p>
    <w:p>
      <w:pPr>
        <w:pStyle w:val="23"/>
        <w:spacing w:before="326" w:after="326"/>
      </w:pPr>
      <w:bookmarkStart w:id="9" w:name="_Toc24061"/>
      <w:r>
        <w:t>参考文献</w:t>
      </w:r>
      <w:bookmarkEnd w:id="9"/>
    </w:p>
    <w:p>
      <w:pPr>
        <w:pStyle w:val="23"/>
        <w:spacing w:before="326" w:after="326"/>
        <w:rPr>
          <w:rFonts w:cs="Times New Roman"/>
        </w:rPr>
      </w:pPr>
      <w:bookmarkStart w:id="10" w:name="_Toc186055438"/>
      <w:r>
        <w:rPr>
          <w:rFonts w:cs="Times New Roman"/>
        </w:rPr>
        <w:t>参考文献</w:t>
      </w:r>
      <w:bookmarkEnd w:id="10"/>
    </w:p>
    <w:p>
      <w:pPr>
        <w:pStyle w:val="37"/>
        <w:numPr>
          <w:ilvl w:val="0"/>
          <w:numId w:val="1"/>
        </w:numPr>
        <w:spacing w:line="360" w:lineRule="auto"/>
        <w:ind w:firstLineChars="0"/>
        <w:jc w:val="both"/>
        <w:rPr>
          <w:rFonts w:hint="default"/>
          <w:sz w:val="24"/>
          <w:szCs w:val="24"/>
          <w:lang w:val="en-US" w:eastAsia="zh-CN"/>
        </w:rPr>
      </w:pPr>
      <w:r>
        <w:rPr>
          <w:rFonts w:hint="default"/>
          <w:sz w:val="24"/>
          <w:szCs w:val="24"/>
          <w:lang w:val="en-US" w:eastAsia="zh-CN"/>
        </w:rPr>
        <w:t>Z</w:t>
      </w:r>
      <w:r>
        <w:rPr>
          <w:rFonts w:hint="eastAsia"/>
          <w:sz w:val="24"/>
          <w:szCs w:val="24"/>
          <w:lang w:val="en-US" w:eastAsia="zh-CN"/>
        </w:rPr>
        <w:t>hang</w:t>
      </w:r>
      <w:r>
        <w:rPr>
          <w:rFonts w:hint="default"/>
          <w:sz w:val="24"/>
          <w:szCs w:val="24"/>
          <w:lang w:val="en-US" w:eastAsia="zh-CN"/>
        </w:rPr>
        <w:t xml:space="preserve"> F, L</w:t>
      </w:r>
      <w:r>
        <w:rPr>
          <w:rFonts w:hint="eastAsia"/>
          <w:sz w:val="24"/>
          <w:szCs w:val="24"/>
          <w:lang w:val="en-US" w:eastAsia="zh-CN"/>
        </w:rPr>
        <w:t>i</w:t>
      </w:r>
      <w:r>
        <w:rPr>
          <w:rFonts w:hint="default"/>
          <w:sz w:val="24"/>
          <w:szCs w:val="24"/>
          <w:lang w:val="en-US" w:eastAsia="zh-CN"/>
        </w:rPr>
        <w:t xml:space="preserve"> </w:t>
      </w:r>
      <w:r>
        <w:rPr>
          <w:rFonts w:hint="eastAsia"/>
          <w:sz w:val="24"/>
          <w:szCs w:val="24"/>
          <w:lang w:val="en-US" w:eastAsia="zh-CN"/>
        </w:rPr>
        <w:t>S</w:t>
      </w:r>
      <w:r>
        <w:rPr>
          <w:rFonts w:hint="default"/>
          <w:sz w:val="24"/>
          <w:szCs w:val="24"/>
          <w:lang w:val="en-US" w:eastAsia="zh-CN"/>
        </w:rPr>
        <w:t>, Z</w:t>
      </w:r>
      <w:r>
        <w:rPr>
          <w:rFonts w:hint="eastAsia"/>
          <w:sz w:val="24"/>
          <w:szCs w:val="24"/>
          <w:lang w:val="en-US" w:eastAsia="zh-CN"/>
        </w:rPr>
        <w:t>hang</w:t>
      </w:r>
      <w:r>
        <w:rPr>
          <w:rFonts w:hint="default"/>
          <w:sz w:val="24"/>
          <w:szCs w:val="24"/>
          <w:lang w:val="en-US" w:eastAsia="zh-CN"/>
        </w:rPr>
        <w:t xml:space="preserve"> Q, et al. Adsorption of different types of surfactants on</w:t>
      </w:r>
    </w:p>
    <w:p>
      <w:pPr>
        <w:pStyle w:val="37"/>
        <w:numPr>
          <w:ilvl w:val="0"/>
          <w:numId w:val="1"/>
        </w:numPr>
        <w:spacing w:line="360" w:lineRule="auto"/>
        <w:ind w:firstLineChars="0"/>
        <w:jc w:val="both"/>
        <w:rPr>
          <w:rFonts w:hint="default"/>
          <w:sz w:val="24"/>
          <w:szCs w:val="24"/>
          <w:lang w:val="en-US" w:eastAsia="zh-CN"/>
        </w:rPr>
      </w:pPr>
      <w:r>
        <w:rPr>
          <w:rFonts w:hint="default"/>
          <w:sz w:val="24"/>
          <w:szCs w:val="24"/>
          <w:lang w:val="en-US" w:eastAsia="zh-CN"/>
        </w:rPr>
        <w:t>graphene oxide[J]. Journal of Molecular Liquids, 2019, 276: 338-346.</w:t>
      </w:r>
    </w:p>
    <w:p>
      <w:pPr>
        <w:pStyle w:val="37"/>
        <w:numPr>
          <w:ilvl w:val="0"/>
          <w:numId w:val="1"/>
        </w:numPr>
        <w:spacing w:line="360" w:lineRule="auto"/>
        <w:ind w:firstLineChars="0"/>
        <w:jc w:val="both"/>
        <w:rPr>
          <w:rFonts w:hint="default"/>
          <w:sz w:val="24"/>
          <w:szCs w:val="24"/>
          <w:lang w:val="en-US" w:eastAsia="zh-CN"/>
        </w:rPr>
      </w:pPr>
      <w:bookmarkStart w:id="11" w:name="_Ref186054402"/>
      <w:r>
        <w:rPr>
          <w:rFonts w:hint="default"/>
          <w:sz w:val="24"/>
          <w:szCs w:val="24"/>
          <w:lang w:val="en-US" w:eastAsia="zh-CN"/>
        </w:rPr>
        <w:t>Lee</w:t>
      </w:r>
      <w:r>
        <w:rPr>
          <w:rFonts w:hint="eastAsia"/>
          <w:sz w:val="24"/>
          <w:szCs w:val="24"/>
          <w:lang w:val="en-US" w:eastAsia="zh-CN"/>
        </w:rPr>
        <w:t xml:space="preserve"> </w:t>
      </w:r>
      <w:r>
        <w:rPr>
          <w:rFonts w:hint="default"/>
          <w:sz w:val="24"/>
          <w:szCs w:val="24"/>
          <w:lang w:val="en-US" w:eastAsia="zh-CN"/>
        </w:rPr>
        <w:t>C-Y, Lin C-S, Lin B-R. Localized electrochemical deposition processimprovement by using different anodes and deposition directions[J]. Journal ofMicromechanics and Microengineering, 2008, 18(10).</w:t>
      </w:r>
    </w:p>
    <w:bookmarkEnd w:id="11"/>
    <w:p>
      <w:pPr>
        <w:pStyle w:val="37"/>
        <w:numPr>
          <w:ilvl w:val="0"/>
          <w:numId w:val="1"/>
        </w:numPr>
        <w:spacing w:line="360" w:lineRule="auto"/>
        <w:ind w:firstLineChars="0"/>
        <w:jc w:val="both"/>
        <w:rPr>
          <w:rFonts w:hint="eastAsia"/>
          <w:sz w:val="24"/>
          <w:szCs w:val="24"/>
          <w:lang w:val="en-US" w:eastAsia="zh-CN"/>
        </w:rPr>
      </w:pPr>
      <w:r>
        <w:rPr>
          <w:rFonts w:hint="default"/>
          <w:sz w:val="24"/>
          <w:szCs w:val="24"/>
          <w:lang w:val="en-US" w:eastAsia="zh-CN"/>
        </w:rPr>
        <w:t>Z</w:t>
      </w:r>
      <w:r>
        <w:rPr>
          <w:rFonts w:hint="eastAsia"/>
          <w:sz w:val="24"/>
          <w:szCs w:val="24"/>
          <w:lang w:val="en-US" w:eastAsia="zh-CN"/>
        </w:rPr>
        <w:t>hang</w:t>
      </w:r>
      <w:r>
        <w:rPr>
          <w:rFonts w:hint="default"/>
          <w:sz w:val="24"/>
          <w:szCs w:val="24"/>
          <w:lang w:val="en-US" w:eastAsia="zh-CN"/>
        </w:rPr>
        <w:t xml:space="preserve"> Y, Z</w:t>
      </w:r>
      <w:r>
        <w:rPr>
          <w:rFonts w:hint="eastAsia"/>
          <w:sz w:val="24"/>
          <w:szCs w:val="24"/>
          <w:lang w:val="en-US" w:eastAsia="zh-CN"/>
        </w:rPr>
        <w:t>hen</w:t>
      </w:r>
      <w:r>
        <w:rPr>
          <w:rFonts w:hint="default"/>
          <w:sz w:val="24"/>
          <w:szCs w:val="24"/>
          <w:lang w:val="en-US" w:eastAsia="zh-CN"/>
        </w:rPr>
        <w:t xml:space="preserve"> B, H</w:t>
      </w:r>
      <w:r>
        <w:rPr>
          <w:rFonts w:hint="eastAsia"/>
          <w:sz w:val="24"/>
          <w:szCs w:val="24"/>
          <w:lang w:val="en-US" w:eastAsia="zh-CN"/>
        </w:rPr>
        <w:t>u</w:t>
      </w:r>
      <w:r>
        <w:rPr>
          <w:rFonts w:hint="default"/>
          <w:sz w:val="24"/>
          <w:szCs w:val="24"/>
          <w:lang w:val="en-US" w:eastAsia="zh-CN"/>
        </w:rPr>
        <w:t xml:space="preserve"> Y, et al. A reverse micellar system with Triton X-100: effect</w:t>
      </w:r>
      <w:r>
        <w:rPr>
          <w:rFonts w:hint="eastAsia"/>
          <w:sz w:val="24"/>
          <w:szCs w:val="24"/>
          <w:lang w:val="en-US" w:eastAsia="zh-CN"/>
        </w:rPr>
        <w:t xml:space="preserve"> </w:t>
      </w:r>
      <w:r>
        <w:rPr>
          <w:rFonts w:hint="default"/>
          <w:sz w:val="24"/>
          <w:szCs w:val="24"/>
          <w:lang w:val="en-US" w:eastAsia="zh-CN"/>
        </w:rPr>
        <w:t>of surfactant polydispersity and preparation of monodisperse silica nanoparticles[J].Soft Matter, 2020, 16(2): 383-389.</w:t>
      </w:r>
    </w:p>
    <w:p>
      <w:pPr>
        <w:pStyle w:val="37"/>
        <w:numPr>
          <w:ilvl w:val="0"/>
          <w:numId w:val="1"/>
        </w:numPr>
        <w:spacing w:line="360" w:lineRule="auto"/>
        <w:ind w:firstLineChars="0"/>
        <w:jc w:val="both"/>
        <w:rPr>
          <w:rFonts w:hint="eastAsia"/>
          <w:sz w:val="24"/>
          <w:szCs w:val="24"/>
          <w:lang w:val="en-US" w:eastAsia="zh-CN"/>
        </w:rPr>
      </w:pPr>
      <w:r>
        <w:rPr>
          <w:rFonts w:hint="default"/>
          <w:sz w:val="24"/>
          <w:szCs w:val="24"/>
          <w:lang w:val="en-US" w:eastAsia="zh-CN"/>
        </w:rPr>
        <w:t>Sh. Y, Jh. C, Kha. S. On the effects of ultrasonic vibrations on localizedelectrochemical deposition[J]. Journal of Micromechanics andMicroengineering, 2002, 12(3).</w:t>
      </w:r>
      <w:r>
        <w:rPr>
          <w:rFonts w:hint="eastAsia" w:ascii="宋体" w:hAnsi="宋体" w:eastAsia="宋体" w:cs="宋体"/>
          <w:sz w:val="24"/>
          <w:szCs w:val="24"/>
          <w:lang w:val="en-US" w:eastAsia="zh-CN"/>
        </w:rPr>
        <w:t xml:space="preserve"> </w:t>
      </w:r>
    </w:p>
    <w:p>
      <w:pPr>
        <w:pStyle w:val="37"/>
        <w:numPr>
          <w:ilvl w:val="0"/>
          <w:numId w:val="1"/>
        </w:numPr>
        <w:spacing w:line="360" w:lineRule="auto"/>
        <w:ind w:firstLineChars="0"/>
        <w:jc w:val="both"/>
        <w:rPr>
          <w:rFonts w:hint="default"/>
          <w:sz w:val="24"/>
          <w:szCs w:val="24"/>
          <w:lang w:val="en-US" w:eastAsia="zh-CN"/>
        </w:rPr>
      </w:pPr>
      <w:r>
        <w:rPr>
          <w:rFonts w:ascii="宋体" w:hAnsi="宋体" w:eastAsia="宋体" w:cs="宋体"/>
          <w:sz w:val="24"/>
          <w:szCs w:val="24"/>
        </w:rPr>
        <w:t xml:space="preserve">徐创霞,刘洋,张伟,等.光催化技术在室内空气净化中的研究进展[J].化学 研究与应用,2017,29(9): 1282-1288. </w:t>
      </w:r>
    </w:p>
    <w:p>
      <w:pPr>
        <w:pStyle w:val="37"/>
        <w:numPr>
          <w:ilvl w:val="0"/>
          <w:numId w:val="1"/>
        </w:numPr>
        <w:spacing w:line="360" w:lineRule="auto"/>
        <w:ind w:firstLineChars="0"/>
        <w:jc w:val="both"/>
        <w:rPr>
          <w:rFonts w:hint="default"/>
          <w:sz w:val="24"/>
          <w:szCs w:val="24"/>
          <w:lang w:val="en-US" w:eastAsia="zh-CN"/>
        </w:rPr>
      </w:pPr>
      <w:r>
        <w:rPr>
          <w:rFonts w:hint="default"/>
          <w:sz w:val="24"/>
          <w:szCs w:val="24"/>
          <w:lang w:val="en-US" w:eastAsia="zh-CN"/>
        </w:rPr>
        <w:t>H. C J, Sweehock Y. Enhancement of spatial resolution of microfabricatedcolumns using localized electrochemical deposition[J]. Nanyang TechnologicalUniv (Singapore), 2001, 4236.</w:t>
      </w:r>
    </w:p>
    <w:p>
      <w:pPr>
        <w:pStyle w:val="37"/>
        <w:numPr>
          <w:ilvl w:val="0"/>
          <w:numId w:val="1"/>
        </w:numPr>
        <w:spacing w:line="360" w:lineRule="auto"/>
        <w:ind w:firstLineChars="0"/>
        <w:jc w:val="both"/>
        <w:rPr>
          <w:rFonts w:hint="eastAsia"/>
          <w:sz w:val="24"/>
          <w:szCs w:val="24"/>
          <w:lang w:val="en-US" w:eastAsia="zh-CN"/>
        </w:rPr>
      </w:pPr>
      <w:r>
        <w:rPr>
          <w:rFonts w:hint="eastAsia" w:ascii="宋体" w:hAnsi="宋体" w:eastAsia="宋体" w:cs="宋体"/>
          <w:sz w:val="24"/>
          <w:szCs w:val="24"/>
          <w:lang w:val="en-US" w:eastAsia="zh-CN"/>
        </w:rPr>
        <w:t xml:space="preserve"> </w:t>
      </w:r>
      <w:r>
        <w:rPr>
          <w:rFonts w:ascii="宋体" w:hAnsi="宋体" w:eastAsia="宋体" w:cs="宋体"/>
          <w:sz w:val="24"/>
          <w:szCs w:val="24"/>
        </w:rPr>
        <w:t>晏超贻.新型二维材料及异质结的可控制备和性能研究[D].电子科技大学, 2019</w:t>
      </w:r>
      <w:r>
        <w:rPr>
          <w:rFonts w:hint="eastAsia" w:ascii="宋体" w:hAnsi="宋体" w:eastAsia="宋体" w:cs="宋体"/>
          <w:sz w:val="24"/>
          <w:szCs w:val="24"/>
          <w:lang w:val="en-US" w:eastAsia="zh-CN"/>
        </w:rPr>
        <w:t>.</w:t>
      </w:r>
    </w:p>
    <w:p>
      <w:pPr>
        <w:pStyle w:val="37"/>
        <w:spacing w:line="360" w:lineRule="auto"/>
        <w:ind w:firstLine="0" w:firstLineChars="0"/>
        <w:jc w:val="both"/>
        <w:outlineLvl w:val="0"/>
        <w:rPr>
          <w:rFonts w:hint="default"/>
          <w:sz w:val="24"/>
          <w:szCs w:val="24"/>
          <w:lang w:val="en-US" w:eastAsia="zh-CN"/>
        </w:rPr>
      </w:pPr>
    </w:p>
    <w:p>
      <w:pPr>
        <w:pStyle w:val="37"/>
        <w:spacing w:line="360" w:lineRule="auto"/>
        <w:ind w:firstLine="0" w:firstLineChars="0"/>
        <w:jc w:val="both"/>
        <w:rPr>
          <w:sz w:val="24"/>
          <w:szCs w:val="24"/>
        </w:rPr>
      </w:pPr>
    </w:p>
    <w:p>
      <w:pPr>
        <w:pStyle w:val="37"/>
        <w:spacing w:line="360" w:lineRule="auto"/>
        <w:ind w:firstLine="0" w:firstLineChars="0"/>
        <w:jc w:val="both"/>
        <w:rPr>
          <w:sz w:val="24"/>
          <w:szCs w:val="24"/>
        </w:rPr>
      </w:pPr>
    </w:p>
    <w:sectPr>
      <w:headerReference r:id="rId11" w:type="default"/>
      <w:pgSz w:w="11906" w:h="16838"/>
      <w:pgMar w:top="1440" w:right="1800" w:bottom="1440" w:left="1800" w:header="850" w:footer="992" w:gutter="0"/>
      <w:pgNumType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Times">
    <w:altName w:val="Times New Roman"/>
    <w:panose1 w:val="02020603050405020304"/>
    <w:charset w:val="00"/>
    <w:family w:val="auto"/>
    <w:pitch w:val="default"/>
    <w:sig w:usb0="00000000" w:usb1="00000000"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single" w:color="auto" w:sz="6" w:space="0"/>
      </w:pBdr>
      <w:ind w:firstLine="360"/>
      <w:jc w:val="left"/>
      <w:rPr>
        <w:rFonts w:hint="eastAsia" w:eastAsia="黑体"/>
        <w:spacing w:val="20"/>
        <w:sz w:val="28"/>
        <w:szCs w:val="28"/>
        <w:lang w:val="en-US" w:eastAsia="zh-CN"/>
      </w:rPr>
    </w:pPr>
    <w:r>
      <w:rPr>
        <w:rFonts w:hint="eastAsia"/>
      </w:rPr>
      <w:drawing>
        <wp:anchor distT="0" distB="0" distL="114300" distR="114300" simplePos="0" relativeHeight="251660288" behindDoc="0" locked="0" layoutInCell="1" allowOverlap="1">
          <wp:simplePos x="0" y="0"/>
          <wp:positionH relativeFrom="column">
            <wp:posOffset>138430</wp:posOffset>
          </wp:positionH>
          <wp:positionV relativeFrom="paragraph">
            <wp:posOffset>-165735</wp:posOffset>
          </wp:positionV>
          <wp:extent cx="457200" cy="457200"/>
          <wp:effectExtent l="0" t="0" r="0" b="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
                  <a:srcRect/>
                  <a:stretch>
                    <a:fillRect/>
                  </a:stretch>
                </pic:blipFill>
                <pic:spPr>
                  <a:xfrm>
                    <a:off x="0" y="0"/>
                    <a:ext cx="457200" cy="457200"/>
                  </a:xfrm>
                  <a:prstGeom prst="rect">
                    <a:avLst/>
                  </a:prstGeom>
                  <a:noFill/>
                  <a:ln w="9525">
                    <a:noFill/>
                    <a:miter lim="800000"/>
                    <a:headEnd/>
                    <a:tailEnd/>
                  </a:ln>
                </pic:spPr>
              </pic:pic>
            </a:graphicData>
          </a:graphic>
        </wp:anchor>
      </w:drawing>
    </w:r>
    <w:r>
      <w:rPr>
        <w:rFonts w:hint="eastAsia" w:eastAsia="黑体"/>
        <w:spacing w:val="20"/>
        <w:sz w:val="28"/>
        <w:szCs w:val="28"/>
      </w:rPr>
      <w:tab/>
    </w:r>
    <w:r>
      <w:rPr>
        <w:rFonts w:hint="eastAsia" w:eastAsia="黑体"/>
        <w:spacing w:val="20"/>
        <w:sz w:val="28"/>
        <w:szCs w:val="28"/>
        <w:lang w:val="en-US" w:eastAsia="zh-CN"/>
      </w:rPr>
      <w:t>二维材料薄膜的制备方法</w:t>
    </w:r>
  </w:p>
  <w:p>
    <w:pPr>
      <w:pStyle w:val="8"/>
      <w:pBdr>
        <w:bottom w:val="single" w:color="auto" w:sz="6" w:space="0"/>
      </w:pBdr>
      <w:ind w:firstLine="360"/>
      <w:jc w:val="left"/>
    </w:pPr>
    <w:r>
      <w:rPr>
        <w:rFonts w:hint="eastAsia" w:eastAsia="黑体"/>
        <w:spacing w:val="20"/>
        <w:sz w:val="28"/>
        <w:szCs w:val="28"/>
      </w:rPr>
      <w:tab/>
    </w:r>
    <w:r>
      <w:rPr>
        <w:rFonts w:asciiTheme="majorEastAsia" w:hAnsiTheme="majorEastAsia" w:eastAsiaTheme="majorEastAsia"/>
        <w:spacing w:val="20"/>
        <w:sz w:val="21"/>
        <w:szCs w:val="21"/>
      </w:rPr>
      <w:t>第</w:t>
    </w:r>
    <w:r>
      <w:rPr>
        <w:rFonts w:hint="eastAsia" w:cs="Times New Roman" w:eastAsiaTheme="majorEastAsia"/>
        <w:spacing w:val="20"/>
        <w:sz w:val="21"/>
        <w:szCs w:val="21"/>
      </w:rPr>
      <w:t xml:space="preserve"> </w:t>
    </w:r>
    <w:r>
      <w:rPr>
        <w:rFonts w:cs="Times New Roman" w:eastAsiaTheme="majorEastAsia"/>
        <w:spacing w:val="20"/>
        <w:sz w:val="21"/>
        <w:szCs w:val="21"/>
      </w:rPr>
      <w:fldChar w:fldCharType="begin"/>
    </w:r>
    <w:r>
      <w:rPr>
        <w:rFonts w:cs="Times New Roman" w:eastAsiaTheme="majorEastAsia"/>
        <w:spacing w:val="20"/>
        <w:sz w:val="21"/>
        <w:szCs w:val="21"/>
      </w:rPr>
      <w:instrText xml:space="preserve">PAGE   \* MERGEFORMAT</w:instrText>
    </w:r>
    <w:r>
      <w:rPr>
        <w:rFonts w:cs="Times New Roman" w:eastAsiaTheme="majorEastAsia"/>
        <w:spacing w:val="20"/>
        <w:sz w:val="21"/>
        <w:szCs w:val="21"/>
      </w:rPr>
      <w:fldChar w:fldCharType="separate"/>
    </w:r>
    <w:r>
      <w:rPr>
        <w:rFonts w:cs="Times New Roman" w:eastAsiaTheme="majorEastAsia"/>
        <w:spacing w:val="20"/>
        <w:sz w:val="21"/>
        <w:szCs w:val="21"/>
        <w:lang w:val="zh-CN"/>
      </w:rPr>
      <w:t>III</w:t>
    </w:r>
    <w:r>
      <w:rPr>
        <w:rFonts w:cs="Times New Roman" w:eastAsiaTheme="majorEastAsia"/>
        <w:spacing w:val="20"/>
        <w:sz w:val="21"/>
        <w:szCs w:val="21"/>
      </w:rPr>
      <w:fldChar w:fldCharType="end"/>
    </w:r>
    <w:r>
      <w:rPr>
        <w:rFonts w:hint="eastAsia" w:cs="Times New Roman" w:eastAsiaTheme="majorEastAsia"/>
        <w:spacing w:val="20"/>
        <w:sz w:val="21"/>
        <w:szCs w:val="21"/>
      </w:rPr>
      <w:t xml:space="preserve"> </w:t>
    </w:r>
    <w:r>
      <w:rPr>
        <w:rFonts w:hint="eastAsia" w:asciiTheme="majorEastAsia" w:hAnsiTheme="majorEastAsia" w:eastAsiaTheme="majorEastAsia"/>
        <w:spacing w:val="20"/>
        <w:sz w:val="21"/>
        <w:szCs w:val="21"/>
      </w:rPr>
      <w:t>页</w:t>
    </w:r>
  </w:p>
  <w:p>
    <w:pPr>
      <w:pStyle w:val="8"/>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single" w:color="auto" w:sz="6" w:space="0"/>
      </w:pBdr>
      <w:ind w:firstLine="360"/>
      <w:jc w:val="left"/>
    </w:pPr>
    <w:r>
      <w:rPr>
        <w:rFonts w:hint="eastAsia"/>
      </w:rPr>
      <w:drawing>
        <wp:anchor distT="0" distB="0" distL="114300" distR="114300" simplePos="0" relativeHeight="251661312" behindDoc="0" locked="0" layoutInCell="1" allowOverlap="1">
          <wp:simplePos x="0" y="0"/>
          <wp:positionH relativeFrom="column">
            <wp:posOffset>138430</wp:posOffset>
          </wp:positionH>
          <wp:positionV relativeFrom="paragraph">
            <wp:posOffset>-165735</wp:posOffset>
          </wp:positionV>
          <wp:extent cx="457200" cy="457200"/>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
                  <a:srcRect/>
                  <a:stretch>
                    <a:fillRect/>
                  </a:stretch>
                </pic:blipFill>
                <pic:spPr>
                  <a:xfrm>
                    <a:off x="0" y="0"/>
                    <a:ext cx="457200" cy="457200"/>
                  </a:xfrm>
                  <a:prstGeom prst="rect">
                    <a:avLst/>
                  </a:prstGeom>
                  <a:noFill/>
                  <a:ln w="9525">
                    <a:noFill/>
                    <a:miter lim="800000"/>
                    <a:headEnd/>
                    <a:tailEnd/>
                  </a:ln>
                </pic:spPr>
              </pic:pic>
            </a:graphicData>
          </a:graphic>
        </wp:anchor>
      </w:drawing>
    </w:r>
    <w:r>
      <w:rPr>
        <w:rFonts w:hint="eastAsia" w:eastAsia="黑体"/>
        <w:spacing w:val="20"/>
        <w:sz w:val="28"/>
        <w:szCs w:val="28"/>
      </w:rPr>
      <w:tab/>
    </w:r>
    <w:r>
      <w:rPr>
        <w:rFonts w:hint="eastAsia" w:eastAsia="黑体"/>
        <w:spacing w:val="20"/>
        <w:sz w:val="28"/>
        <w:szCs w:val="28"/>
      </w:rPr>
      <w:t>论文题目</w:t>
    </w:r>
    <w:r>
      <w:rPr>
        <w:rFonts w:hint="eastAsia" w:eastAsia="黑体"/>
        <w:spacing w:val="20"/>
        <w:sz w:val="28"/>
        <w:szCs w:val="28"/>
      </w:rPr>
      <w:tab/>
    </w:r>
    <w:r>
      <w:rPr>
        <w:rFonts w:asciiTheme="majorEastAsia" w:hAnsiTheme="majorEastAsia" w:eastAsiaTheme="majorEastAsia"/>
        <w:spacing w:val="20"/>
        <w:sz w:val="21"/>
        <w:szCs w:val="21"/>
      </w:rPr>
      <w:t>第</w:t>
    </w:r>
    <w:r>
      <w:rPr>
        <w:rFonts w:hint="eastAsia" w:cs="Times New Roman" w:eastAsiaTheme="majorEastAsia"/>
        <w:spacing w:val="20"/>
        <w:sz w:val="21"/>
        <w:szCs w:val="21"/>
      </w:rPr>
      <w:t xml:space="preserve"> </w:t>
    </w:r>
    <w:r>
      <w:rPr>
        <w:rFonts w:cs="Times New Roman" w:eastAsiaTheme="majorEastAsia"/>
        <w:spacing w:val="20"/>
        <w:sz w:val="21"/>
        <w:szCs w:val="21"/>
      </w:rPr>
      <w:fldChar w:fldCharType="begin"/>
    </w:r>
    <w:r>
      <w:rPr>
        <w:rFonts w:cs="Times New Roman" w:eastAsiaTheme="majorEastAsia"/>
        <w:spacing w:val="20"/>
        <w:sz w:val="21"/>
        <w:szCs w:val="21"/>
      </w:rPr>
      <w:instrText xml:space="preserve">PAGE   \* MERGEFORMAT</w:instrText>
    </w:r>
    <w:r>
      <w:rPr>
        <w:rFonts w:cs="Times New Roman" w:eastAsiaTheme="majorEastAsia"/>
        <w:spacing w:val="20"/>
        <w:sz w:val="21"/>
        <w:szCs w:val="21"/>
      </w:rPr>
      <w:fldChar w:fldCharType="separate"/>
    </w:r>
    <w:r>
      <w:rPr>
        <w:rFonts w:cs="Times New Roman" w:eastAsiaTheme="majorEastAsia"/>
        <w:spacing w:val="20"/>
        <w:sz w:val="21"/>
        <w:szCs w:val="21"/>
        <w:lang w:val="zh-CN"/>
      </w:rPr>
      <w:t>4</w:t>
    </w:r>
    <w:r>
      <w:rPr>
        <w:rFonts w:cs="Times New Roman" w:eastAsiaTheme="majorEastAsia"/>
        <w:spacing w:val="20"/>
        <w:sz w:val="21"/>
        <w:szCs w:val="21"/>
      </w:rPr>
      <w:fldChar w:fldCharType="end"/>
    </w:r>
    <w:r>
      <w:rPr>
        <w:rFonts w:hint="eastAsia" w:cs="Times New Roman" w:eastAsiaTheme="majorEastAsia"/>
        <w:spacing w:val="20"/>
        <w:sz w:val="21"/>
        <w:szCs w:val="21"/>
      </w:rPr>
      <w:t xml:space="preserve"> </w:t>
    </w:r>
    <w:r>
      <w:rPr>
        <w:rFonts w:hint="eastAsia" w:asciiTheme="majorEastAsia" w:hAnsiTheme="majorEastAsia" w:eastAsiaTheme="majorEastAsia"/>
        <w:spacing w:val="20"/>
        <w:sz w:val="21"/>
        <w:szCs w:val="21"/>
      </w:rPr>
      <w:t>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E8745C"/>
    <w:multiLevelType w:val="multilevel"/>
    <w:tmpl w:val="1AE8745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YzMzBhM2FmNDUzNmMzODUxZDUyOTc2MGU4MjViMzgifQ=="/>
    <w:docVar w:name="EN.InstantFormat" w:val="&lt;ENInstantFormat&gt;&lt;Enabled&gt;1&lt;/Enabled&gt;&lt;ScanUnformatted&gt;1&lt;/ScanUnformatted&gt;&lt;ScanChanges&gt;1&lt;/ScanChanges&gt;&lt;Suspended&gt;1&lt;/Suspended&gt;&lt;/ENInstantFormat&gt;"/>
    <w:docVar w:name="EN.Layout" w:val="&lt;ENLayout&gt;&lt;Style&gt;Physics Reports&lt;/Style&gt;&lt;LeftDelim&gt;{&lt;/LeftDelim&gt;&lt;RightDelim&gt;}&lt;/RightDelim&gt;&lt;FontName&gt;Times New Roman&lt;/FontName&gt;&lt;FontSize&gt;16&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50dzee6t0xzyedrv2v0rzzzf0022r5ftdz&quot;&gt;My EndNote Library&lt;record-ids&gt;&lt;item&gt;4&lt;/item&gt;&lt;item&gt;10&lt;/item&gt;&lt;item&gt;12&lt;/item&gt;&lt;item&gt;14&lt;/item&gt;&lt;item&gt;20&lt;/item&gt;&lt;item&gt;23&lt;/item&gt;&lt;item&gt;24&lt;/item&gt;&lt;item&gt;27&lt;/item&gt;&lt;item&gt;52&lt;/item&gt;&lt;item&gt;110&lt;/item&gt;&lt;/record-ids&gt;&lt;/item&gt;&lt;/Libraries&gt;"/>
    <w:docVar w:name="KSO_WPS_MARK_KEY" w:val="10b49671-ca84-484f-8017-3bfaa02b1425"/>
  </w:docVars>
  <w:rsids>
    <w:rsidRoot w:val="006B3E54"/>
    <w:rsid w:val="00000F05"/>
    <w:rsid w:val="00005487"/>
    <w:rsid w:val="00027E3A"/>
    <w:rsid w:val="000356C3"/>
    <w:rsid w:val="000449F8"/>
    <w:rsid w:val="0005636A"/>
    <w:rsid w:val="00067FA8"/>
    <w:rsid w:val="00071535"/>
    <w:rsid w:val="000802E4"/>
    <w:rsid w:val="000868C5"/>
    <w:rsid w:val="00087B0E"/>
    <w:rsid w:val="00090D20"/>
    <w:rsid w:val="00096965"/>
    <w:rsid w:val="000A0C46"/>
    <w:rsid w:val="000A12F7"/>
    <w:rsid w:val="000A2043"/>
    <w:rsid w:val="000A5D1D"/>
    <w:rsid w:val="000D443B"/>
    <w:rsid w:val="000E2BF9"/>
    <w:rsid w:val="000F1C83"/>
    <w:rsid w:val="000F7063"/>
    <w:rsid w:val="0010340E"/>
    <w:rsid w:val="00105488"/>
    <w:rsid w:val="0011380E"/>
    <w:rsid w:val="0012255E"/>
    <w:rsid w:val="001275E7"/>
    <w:rsid w:val="00142492"/>
    <w:rsid w:val="0014503C"/>
    <w:rsid w:val="00145102"/>
    <w:rsid w:val="001505A7"/>
    <w:rsid w:val="0015573F"/>
    <w:rsid w:val="00165972"/>
    <w:rsid w:val="00167871"/>
    <w:rsid w:val="00171BEC"/>
    <w:rsid w:val="00184FA3"/>
    <w:rsid w:val="00190809"/>
    <w:rsid w:val="001B0748"/>
    <w:rsid w:val="001B514F"/>
    <w:rsid w:val="001D0749"/>
    <w:rsid w:val="001D66C0"/>
    <w:rsid w:val="001E0E42"/>
    <w:rsid w:val="001F0316"/>
    <w:rsid w:val="001F2E93"/>
    <w:rsid w:val="00207169"/>
    <w:rsid w:val="00213B0A"/>
    <w:rsid w:val="002168C8"/>
    <w:rsid w:val="00236F88"/>
    <w:rsid w:val="00252322"/>
    <w:rsid w:val="002620EF"/>
    <w:rsid w:val="002634E7"/>
    <w:rsid w:val="00267B31"/>
    <w:rsid w:val="00267F7F"/>
    <w:rsid w:val="00270BBD"/>
    <w:rsid w:val="00271EA0"/>
    <w:rsid w:val="00275F7B"/>
    <w:rsid w:val="0027651B"/>
    <w:rsid w:val="0028236C"/>
    <w:rsid w:val="00284390"/>
    <w:rsid w:val="00290B99"/>
    <w:rsid w:val="002A0C8E"/>
    <w:rsid w:val="002A19F6"/>
    <w:rsid w:val="002A25E0"/>
    <w:rsid w:val="002C1AD5"/>
    <w:rsid w:val="002C3A07"/>
    <w:rsid w:val="002C3B9D"/>
    <w:rsid w:val="002C3D10"/>
    <w:rsid w:val="002C44AE"/>
    <w:rsid w:val="002D384F"/>
    <w:rsid w:val="002D4E6F"/>
    <w:rsid w:val="002E3DAC"/>
    <w:rsid w:val="002E40A3"/>
    <w:rsid w:val="002E6B3E"/>
    <w:rsid w:val="002F1F18"/>
    <w:rsid w:val="002F78AE"/>
    <w:rsid w:val="003122D2"/>
    <w:rsid w:val="003129E2"/>
    <w:rsid w:val="00312CA1"/>
    <w:rsid w:val="003218A3"/>
    <w:rsid w:val="00324D8C"/>
    <w:rsid w:val="003320E2"/>
    <w:rsid w:val="003411EB"/>
    <w:rsid w:val="00345600"/>
    <w:rsid w:val="00347F61"/>
    <w:rsid w:val="00353DE4"/>
    <w:rsid w:val="003750B9"/>
    <w:rsid w:val="003914F0"/>
    <w:rsid w:val="00393DAE"/>
    <w:rsid w:val="003A03E3"/>
    <w:rsid w:val="003A39B1"/>
    <w:rsid w:val="003B1A3E"/>
    <w:rsid w:val="003B72FC"/>
    <w:rsid w:val="003D4028"/>
    <w:rsid w:val="003F7000"/>
    <w:rsid w:val="00401903"/>
    <w:rsid w:val="004030CA"/>
    <w:rsid w:val="00404DC6"/>
    <w:rsid w:val="00414A2F"/>
    <w:rsid w:val="00417BB1"/>
    <w:rsid w:val="0044464E"/>
    <w:rsid w:val="00446853"/>
    <w:rsid w:val="0046155C"/>
    <w:rsid w:val="00471226"/>
    <w:rsid w:val="00476A40"/>
    <w:rsid w:val="004832A9"/>
    <w:rsid w:val="00484D1A"/>
    <w:rsid w:val="00491098"/>
    <w:rsid w:val="00491587"/>
    <w:rsid w:val="004A59D5"/>
    <w:rsid w:val="004B5725"/>
    <w:rsid w:val="004B5F19"/>
    <w:rsid w:val="004C325B"/>
    <w:rsid w:val="004D4D4F"/>
    <w:rsid w:val="004D4E06"/>
    <w:rsid w:val="004F523E"/>
    <w:rsid w:val="00500471"/>
    <w:rsid w:val="00504750"/>
    <w:rsid w:val="0051484A"/>
    <w:rsid w:val="00524205"/>
    <w:rsid w:val="0053428F"/>
    <w:rsid w:val="00545E69"/>
    <w:rsid w:val="00553C73"/>
    <w:rsid w:val="00554990"/>
    <w:rsid w:val="0058250E"/>
    <w:rsid w:val="00584608"/>
    <w:rsid w:val="00585E59"/>
    <w:rsid w:val="0059099D"/>
    <w:rsid w:val="005A1499"/>
    <w:rsid w:val="005B79DE"/>
    <w:rsid w:val="005C42C3"/>
    <w:rsid w:val="005D285C"/>
    <w:rsid w:val="005F1B72"/>
    <w:rsid w:val="005F1E84"/>
    <w:rsid w:val="0060384D"/>
    <w:rsid w:val="006078D4"/>
    <w:rsid w:val="00616F77"/>
    <w:rsid w:val="00626D20"/>
    <w:rsid w:val="00630D37"/>
    <w:rsid w:val="006354FE"/>
    <w:rsid w:val="00637E42"/>
    <w:rsid w:val="0065412F"/>
    <w:rsid w:val="00656670"/>
    <w:rsid w:val="006648EC"/>
    <w:rsid w:val="00672A6E"/>
    <w:rsid w:val="006763AC"/>
    <w:rsid w:val="00676885"/>
    <w:rsid w:val="006A7A11"/>
    <w:rsid w:val="006B313A"/>
    <w:rsid w:val="006B3E54"/>
    <w:rsid w:val="006B5515"/>
    <w:rsid w:val="006C3538"/>
    <w:rsid w:val="006C5E38"/>
    <w:rsid w:val="006E1CD8"/>
    <w:rsid w:val="006E38D4"/>
    <w:rsid w:val="006F2506"/>
    <w:rsid w:val="006F33AA"/>
    <w:rsid w:val="00720347"/>
    <w:rsid w:val="00741DDC"/>
    <w:rsid w:val="007710B0"/>
    <w:rsid w:val="00784DC9"/>
    <w:rsid w:val="00790CB9"/>
    <w:rsid w:val="007926AF"/>
    <w:rsid w:val="007A5091"/>
    <w:rsid w:val="007A6ECF"/>
    <w:rsid w:val="007B76A4"/>
    <w:rsid w:val="007D2EC8"/>
    <w:rsid w:val="007D5557"/>
    <w:rsid w:val="007D7DB8"/>
    <w:rsid w:val="00815329"/>
    <w:rsid w:val="00816564"/>
    <w:rsid w:val="00817953"/>
    <w:rsid w:val="008224D1"/>
    <w:rsid w:val="00824B4D"/>
    <w:rsid w:val="00831656"/>
    <w:rsid w:val="00832177"/>
    <w:rsid w:val="0083500D"/>
    <w:rsid w:val="00874A1A"/>
    <w:rsid w:val="00875EED"/>
    <w:rsid w:val="00876D28"/>
    <w:rsid w:val="008879C3"/>
    <w:rsid w:val="0089775E"/>
    <w:rsid w:val="008A05BA"/>
    <w:rsid w:val="008B0DDC"/>
    <w:rsid w:val="008B20C3"/>
    <w:rsid w:val="008B3A0B"/>
    <w:rsid w:val="008B6C26"/>
    <w:rsid w:val="008C2BEC"/>
    <w:rsid w:val="008C348A"/>
    <w:rsid w:val="008C651F"/>
    <w:rsid w:val="008C7A53"/>
    <w:rsid w:val="008D6B55"/>
    <w:rsid w:val="008D6DA7"/>
    <w:rsid w:val="008D7FF3"/>
    <w:rsid w:val="008E1369"/>
    <w:rsid w:val="008E3B12"/>
    <w:rsid w:val="008F6124"/>
    <w:rsid w:val="008F7438"/>
    <w:rsid w:val="009029E8"/>
    <w:rsid w:val="00903871"/>
    <w:rsid w:val="009112D1"/>
    <w:rsid w:val="0091403E"/>
    <w:rsid w:val="00923ECF"/>
    <w:rsid w:val="00924058"/>
    <w:rsid w:val="00926557"/>
    <w:rsid w:val="00926D76"/>
    <w:rsid w:val="0092749C"/>
    <w:rsid w:val="00931F16"/>
    <w:rsid w:val="00942920"/>
    <w:rsid w:val="00951466"/>
    <w:rsid w:val="00952B6F"/>
    <w:rsid w:val="00965B85"/>
    <w:rsid w:val="009747E6"/>
    <w:rsid w:val="00983638"/>
    <w:rsid w:val="009A159B"/>
    <w:rsid w:val="009B6E41"/>
    <w:rsid w:val="009C0C3B"/>
    <w:rsid w:val="009D2971"/>
    <w:rsid w:val="009D2A52"/>
    <w:rsid w:val="009E5327"/>
    <w:rsid w:val="009E5405"/>
    <w:rsid w:val="009E6112"/>
    <w:rsid w:val="009F493C"/>
    <w:rsid w:val="00A028F1"/>
    <w:rsid w:val="00A15FA1"/>
    <w:rsid w:val="00A16DA8"/>
    <w:rsid w:val="00A16F6D"/>
    <w:rsid w:val="00A2132B"/>
    <w:rsid w:val="00A22DA4"/>
    <w:rsid w:val="00A3371C"/>
    <w:rsid w:val="00A33C5F"/>
    <w:rsid w:val="00A36A53"/>
    <w:rsid w:val="00A37ED1"/>
    <w:rsid w:val="00A40B36"/>
    <w:rsid w:val="00A43B83"/>
    <w:rsid w:val="00A44E00"/>
    <w:rsid w:val="00A45610"/>
    <w:rsid w:val="00A54BE3"/>
    <w:rsid w:val="00A64F80"/>
    <w:rsid w:val="00A85723"/>
    <w:rsid w:val="00AB50DA"/>
    <w:rsid w:val="00AB66DC"/>
    <w:rsid w:val="00AB70BD"/>
    <w:rsid w:val="00AB7B81"/>
    <w:rsid w:val="00AE5AFB"/>
    <w:rsid w:val="00B005E0"/>
    <w:rsid w:val="00B0434A"/>
    <w:rsid w:val="00B134CE"/>
    <w:rsid w:val="00B50A0E"/>
    <w:rsid w:val="00B55469"/>
    <w:rsid w:val="00B57776"/>
    <w:rsid w:val="00B60344"/>
    <w:rsid w:val="00B6079A"/>
    <w:rsid w:val="00B83841"/>
    <w:rsid w:val="00B878C8"/>
    <w:rsid w:val="00B87BC5"/>
    <w:rsid w:val="00B97D77"/>
    <w:rsid w:val="00BA26D4"/>
    <w:rsid w:val="00BB3A98"/>
    <w:rsid w:val="00BC10E0"/>
    <w:rsid w:val="00BD0025"/>
    <w:rsid w:val="00BD1200"/>
    <w:rsid w:val="00BE1B62"/>
    <w:rsid w:val="00BE624F"/>
    <w:rsid w:val="00C008E9"/>
    <w:rsid w:val="00C05B0F"/>
    <w:rsid w:val="00C1208D"/>
    <w:rsid w:val="00C140C4"/>
    <w:rsid w:val="00C266C4"/>
    <w:rsid w:val="00C42F59"/>
    <w:rsid w:val="00C44561"/>
    <w:rsid w:val="00C54578"/>
    <w:rsid w:val="00C556EE"/>
    <w:rsid w:val="00C607D4"/>
    <w:rsid w:val="00C63018"/>
    <w:rsid w:val="00C71FD2"/>
    <w:rsid w:val="00C805DB"/>
    <w:rsid w:val="00C93E67"/>
    <w:rsid w:val="00CB33B0"/>
    <w:rsid w:val="00CB6284"/>
    <w:rsid w:val="00CC7D19"/>
    <w:rsid w:val="00CD6131"/>
    <w:rsid w:val="00CF3CA2"/>
    <w:rsid w:val="00CF6317"/>
    <w:rsid w:val="00D01380"/>
    <w:rsid w:val="00D05917"/>
    <w:rsid w:val="00D16511"/>
    <w:rsid w:val="00D22C10"/>
    <w:rsid w:val="00D2667D"/>
    <w:rsid w:val="00D30474"/>
    <w:rsid w:val="00D5131B"/>
    <w:rsid w:val="00D625E4"/>
    <w:rsid w:val="00D7214C"/>
    <w:rsid w:val="00D8798B"/>
    <w:rsid w:val="00D91E4D"/>
    <w:rsid w:val="00DC04FA"/>
    <w:rsid w:val="00DD04DC"/>
    <w:rsid w:val="00DE7D8A"/>
    <w:rsid w:val="00DF2656"/>
    <w:rsid w:val="00DF2E00"/>
    <w:rsid w:val="00DF3919"/>
    <w:rsid w:val="00E1407F"/>
    <w:rsid w:val="00E23BD4"/>
    <w:rsid w:val="00E30640"/>
    <w:rsid w:val="00E37E32"/>
    <w:rsid w:val="00E4593C"/>
    <w:rsid w:val="00E551F2"/>
    <w:rsid w:val="00E65E08"/>
    <w:rsid w:val="00E67385"/>
    <w:rsid w:val="00E7544C"/>
    <w:rsid w:val="00E82F51"/>
    <w:rsid w:val="00E8731B"/>
    <w:rsid w:val="00E8756F"/>
    <w:rsid w:val="00E87E7B"/>
    <w:rsid w:val="00E93350"/>
    <w:rsid w:val="00EA20CA"/>
    <w:rsid w:val="00EA3D7D"/>
    <w:rsid w:val="00EB6C27"/>
    <w:rsid w:val="00EB70DF"/>
    <w:rsid w:val="00EB7724"/>
    <w:rsid w:val="00EB7925"/>
    <w:rsid w:val="00EC7A81"/>
    <w:rsid w:val="00ED05FB"/>
    <w:rsid w:val="00ED29D0"/>
    <w:rsid w:val="00EE01EF"/>
    <w:rsid w:val="00EE038D"/>
    <w:rsid w:val="00EE0FD6"/>
    <w:rsid w:val="00EF5C3A"/>
    <w:rsid w:val="00EF61B3"/>
    <w:rsid w:val="00F13D2F"/>
    <w:rsid w:val="00F14534"/>
    <w:rsid w:val="00F1680B"/>
    <w:rsid w:val="00F34916"/>
    <w:rsid w:val="00F43AE2"/>
    <w:rsid w:val="00F5003A"/>
    <w:rsid w:val="00F552C6"/>
    <w:rsid w:val="00F56951"/>
    <w:rsid w:val="00F64C2B"/>
    <w:rsid w:val="00F82F7F"/>
    <w:rsid w:val="00F90788"/>
    <w:rsid w:val="00F909DF"/>
    <w:rsid w:val="00F928D4"/>
    <w:rsid w:val="00F9451E"/>
    <w:rsid w:val="00F9755B"/>
    <w:rsid w:val="00F97CA3"/>
    <w:rsid w:val="00FA15FF"/>
    <w:rsid w:val="00FA2D8A"/>
    <w:rsid w:val="00FB1CFB"/>
    <w:rsid w:val="00FC2000"/>
    <w:rsid w:val="00FC6DED"/>
    <w:rsid w:val="00FD10FF"/>
    <w:rsid w:val="00FD5C41"/>
    <w:rsid w:val="00FD6DEE"/>
    <w:rsid w:val="00FE5D29"/>
    <w:rsid w:val="00FE6DB6"/>
    <w:rsid w:val="00FF4EEC"/>
    <w:rsid w:val="14180E00"/>
    <w:rsid w:val="17892069"/>
    <w:rsid w:val="1F9A11BA"/>
    <w:rsid w:val="29514722"/>
    <w:rsid w:val="3357092C"/>
    <w:rsid w:val="4C2C656B"/>
    <w:rsid w:val="4E9105B8"/>
    <w:rsid w:val="51771C86"/>
    <w:rsid w:val="54602B66"/>
    <w:rsid w:val="577B076B"/>
    <w:rsid w:val="60876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Theme="minorEastAsia" w:cstheme="minorBidi"/>
      <w:kern w:val="2"/>
      <w:sz w:val="24"/>
      <w:szCs w:val="22"/>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9"/>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0"/>
    <w:semiHidden/>
    <w:unhideWhenUsed/>
    <w:qFormat/>
    <w:uiPriority w:val="9"/>
    <w:pPr>
      <w:keepNext/>
      <w:keepLines/>
      <w:spacing w:before="260" w:after="260" w:line="416" w:lineRule="auto"/>
      <w:outlineLvl w:val="2"/>
    </w:pPr>
    <w:rPr>
      <w:b/>
      <w:bCs/>
      <w:sz w:val="32"/>
      <w:szCs w:val="32"/>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link w:val="32"/>
    <w:unhideWhenUsed/>
    <w:qFormat/>
    <w:uiPriority w:val="35"/>
    <w:rPr>
      <w:rFonts w:eastAsia="黑体" w:asciiTheme="majorHAnsi" w:hAnsiTheme="majorHAnsi" w:cstheme="majorBidi"/>
      <w:sz w:val="20"/>
      <w:szCs w:val="20"/>
    </w:rPr>
  </w:style>
  <w:style w:type="paragraph" w:styleId="6">
    <w:name w:val="toc 3"/>
    <w:basedOn w:val="1"/>
    <w:next w:val="1"/>
    <w:unhideWhenUsed/>
    <w:qFormat/>
    <w:uiPriority w:val="39"/>
    <w:pPr>
      <w:ind w:left="840" w:leftChars="400"/>
    </w:pPr>
  </w:style>
  <w:style w:type="paragraph" w:styleId="7">
    <w:name w:val="footer"/>
    <w:basedOn w:val="1"/>
    <w:link w:val="17"/>
    <w:unhideWhenUsed/>
    <w:qFormat/>
    <w:uiPriority w:val="99"/>
    <w:pPr>
      <w:tabs>
        <w:tab w:val="center" w:pos="4153"/>
        <w:tab w:val="right" w:pos="8306"/>
      </w:tabs>
      <w:snapToGrid w:val="0"/>
      <w:jc w:val="left"/>
    </w:pPr>
    <w:rPr>
      <w:sz w:val="18"/>
      <w:szCs w:val="18"/>
    </w:rPr>
  </w:style>
  <w:style w:type="paragraph" w:styleId="8">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pPr>
      <w:tabs>
        <w:tab w:val="right" w:leader="dot" w:pos="8296"/>
      </w:tabs>
      <w:ind w:firstLine="480"/>
    </w:pPr>
    <w:rPr>
      <w:rFonts w:ascii="黑体" w:hAnsi="黑体" w:eastAsia="黑体"/>
    </w:rPr>
  </w:style>
  <w:style w:type="paragraph" w:styleId="10">
    <w:name w:val="toc 2"/>
    <w:basedOn w:val="1"/>
    <w:next w:val="1"/>
    <w:unhideWhenUsed/>
    <w:qFormat/>
    <w:uiPriority w:val="39"/>
    <w:pPr>
      <w:ind w:left="420" w:leftChars="200"/>
    </w:pPr>
  </w:style>
  <w:style w:type="paragraph" w:styleId="11">
    <w:name w:val="Normal (Web)"/>
    <w:basedOn w:val="1"/>
    <w:semiHidden/>
    <w:unhideWhenUsed/>
    <w:qFormat/>
    <w:uiPriority w:val="99"/>
    <w:pPr>
      <w:widowControl/>
      <w:spacing w:before="100" w:beforeAutospacing="1" w:after="100" w:afterAutospacing="1" w:line="240" w:lineRule="auto"/>
      <w:ind w:firstLine="0" w:firstLineChars="0"/>
      <w:jc w:val="left"/>
    </w:pPr>
    <w:rPr>
      <w:rFonts w:ascii="宋体" w:hAnsi="宋体" w:eastAsia="宋体" w:cs="宋体"/>
      <w:kern w:val="0"/>
      <w:szCs w:val="24"/>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qFormat/>
    <w:uiPriority w:val="99"/>
    <w:rPr>
      <w:color w:val="0563C1" w:themeColor="hyperlink"/>
      <w:u w:val="single"/>
      <w14:textFill>
        <w14:solidFill>
          <w14:schemeClr w14:val="hlink"/>
        </w14:solidFill>
      </w14:textFill>
    </w:rPr>
  </w:style>
  <w:style w:type="character" w:customStyle="1" w:styleId="16">
    <w:name w:val="页眉 字符"/>
    <w:basedOn w:val="14"/>
    <w:link w:val="8"/>
    <w:qFormat/>
    <w:uiPriority w:val="99"/>
    <w:rPr>
      <w:sz w:val="18"/>
      <w:szCs w:val="18"/>
    </w:rPr>
  </w:style>
  <w:style w:type="character" w:customStyle="1" w:styleId="17">
    <w:name w:val="页脚 字符"/>
    <w:basedOn w:val="14"/>
    <w:link w:val="7"/>
    <w:qFormat/>
    <w:uiPriority w:val="99"/>
    <w:rPr>
      <w:sz w:val="18"/>
      <w:szCs w:val="18"/>
    </w:rPr>
  </w:style>
  <w:style w:type="character" w:styleId="18">
    <w:name w:val="Placeholder Text"/>
    <w:basedOn w:val="14"/>
    <w:semiHidden/>
    <w:qFormat/>
    <w:uiPriority w:val="99"/>
    <w:rPr>
      <w:color w:val="808080"/>
    </w:rPr>
  </w:style>
  <w:style w:type="table" w:customStyle="1" w:styleId="19">
    <w:name w:val="Plain Table 2"/>
    <w:basedOn w:val="12"/>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styleId="20">
    <w:name w:val="List Paragraph"/>
    <w:basedOn w:val="1"/>
    <w:qFormat/>
    <w:uiPriority w:val="34"/>
    <w:pPr>
      <w:ind w:firstLine="420"/>
    </w:pPr>
  </w:style>
  <w:style w:type="character" w:customStyle="1" w:styleId="21">
    <w:name w:val="标题 1 字符"/>
    <w:basedOn w:val="14"/>
    <w:link w:val="2"/>
    <w:qFormat/>
    <w:uiPriority w:val="9"/>
    <w:rPr>
      <w:b/>
      <w:bCs/>
      <w:kern w:val="44"/>
      <w:sz w:val="44"/>
      <w:szCs w:val="44"/>
    </w:rPr>
  </w:style>
  <w:style w:type="paragraph" w:customStyle="1" w:styleId="2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23">
    <w:name w:val="章"/>
    <w:basedOn w:val="2"/>
    <w:link w:val="25"/>
    <w:qFormat/>
    <w:uiPriority w:val="0"/>
    <w:pPr>
      <w:widowControl/>
      <w:spacing w:before="100" w:beforeLines="100" w:after="100" w:afterLines="100" w:line="240" w:lineRule="auto"/>
      <w:ind w:firstLine="0" w:firstLineChars="0"/>
      <w:jc w:val="center"/>
    </w:pPr>
    <w:rPr>
      <w:rFonts w:eastAsia="黑体"/>
      <w:b w:val="0"/>
      <w:sz w:val="32"/>
    </w:rPr>
  </w:style>
  <w:style w:type="paragraph" w:customStyle="1" w:styleId="24">
    <w:name w:val="节"/>
    <w:basedOn w:val="4"/>
    <w:link w:val="27"/>
    <w:qFormat/>
    <w:uiPriority w:val="0"/>
    <w:pPr>
      <w:spacing w:before="50" w:beforeLines="50" w:after="50" w:afterLines="50" w:line="415" w:lineRule="auto"/>
      <w:jc w:val="left"/>
    </w:pPr>
    <w:rPr>
      <w:rFonts w:eastAsia="黑体"/>
      <w:b w:val="0"/>
      <w:sz w:val="24"/>
    </w:rPr>
  </w:style>
  <w:style w:type="character" w:customStyle="1" w:styleId="25">
    <w:name w:val="章 Char"/>
    <w:basedOn w:val="14"/>
    <w:link w:val="23"/>
    <w:qFormat/>
    <w:uiPriority w:val="0"/>
    <w:rPr>
      <w:rFonts w:ascii="Times New Roman" w:hAnsi="Times New Roman" w:eastAsia="黑体"/>
      <w:bCs/>
      <w:kern w:val="44"/>
      <w:sz w:val="32"/>
      <w:szCs w:val="44"/>
    </w:rPr>
  </w:style>
  <w:style w:type="paragraph" w:customStyle="1" w:styleId="26">
    <w:name w:val="条"/>
    <w:basedOn w:val="3"/>
    <w:next w:val="1"/>
    <w:link w:val="28"/>
    <w:qFormat/>
    <w:uiPriority w:val="0"/>
    <w:pPr>
      <w:spacing w:before="50" w:beforeLines="50" w:after="50" w:afterLines="50" w:line="415" w:lineRule="auto"/>
    </w:pPr>
    <w:rPr>
      <w:rFonts w:ascii="Times New Roman" w:hAnsi="Times New Roman" w:eastAsia="黑体"/>
      <w:b w:val="0"/>
      <w:sz w:val="24"/>
    </w:rPr>
  </w:style>
  <w:style w:type="character" w:customStyle="1" w:styleId="27">
    <w:name w:val="节 Char"/>
    <w:basedOn w:val="25"/>
    <w:link w:val="24"/>
    <w:qFormat/>
    <w:uiPriority w:val="0"/>
    <w:rPr>
      <w:rFonts w:ascii="Times New Roman" w:hAnsi="Times New Roman" w:eastAsia="黑体"/>
      <w:kern w:val="44"/>
      <w:sz w:val="24"/>
      <w:szCs w:val="32"/>
    </w:rPr>
  </w:style>
  <w:style w:type="character" w:customStyle="1" w:styleId="28">
    <w:name w:val="条 Char"/>
    <w:basedOn w:val="27"/>
    <w:link w:val="26"/>
    <w:qFormat/>
    <w:uiPriority w:val="0"/>
    <w:rPr>
      <w:rFonts w:ascii="Times New Roman" w:hAnsi="Times New Roman" w:eastAsia="黑体" w:cstheme="majorBidi"/>
      <w:kern w:val="44"/>
      <w:sz w:val="24"/>
      <w:szCs w:val="32"/>
    </w:rPr>
  </w:style>
  <w:style w:type="character" w:customStyle="1" w:styleId="29">
    <w:name w:val="标题 2 字符"/>
    <w:basedOn w:val="14"/>
    <w:link w:val="3"/>
    <w:semiHidden/>
    <w:qFormat/>
    <w:uiPriority w:val="9"/>
    <w:rPr>
      <w:rFonts w:asciiTheme="majorHAnsi" w:hAnsiTheme="majorHAnsi" w:eastAsiaTheme="majorEastAsia" w:cstheme="majorBidi"/>
      <w:b/>
      <w:bCs/>
      <w:sz w:val="32"/>
      <w:szCs w:val="32"/>
    </w:rPr>
  </w:style>
  <w:style w:type="character" w:customStyle="1" w:styleId="30">
    <w:name w:val="标题 3 字符"/>
    <w:basedOn w:val="14"/>
    <w:link w:val="4"/>
    <w:semiHidden/>
    <w:qFormat/>
    <w:uiPriority w:val="9"/>
    <w:rPr>
      <w:rFonts w:ascii="Times New Roman" w:hAnsi="Times New Roman"/>
      <w:b/>
      <w:bCs/>
      <w:sz w:val="32"/>
      <w:szCs w:val="32"/>
    </w:rPr>
  </w:style>
  <w:style w:type="paragraph" w:customStyle="1" w:styleId="31">
    <w:name w:val="样式1"/>
    <w:basedOn w:val="5"/>
    <w:link w:val="33"/>
    <w:qFormat/>
    <w:uiPriority w:val="0"/>
    <w:pPr>
      <w:keepNext/>
      <w:ind w:firstLine="0" w:firstLineChars="0"/>
      <w:jc w:val="center"/>
    </w:pPr>
    <w:rPr>
      <w:rFonts w:ascii="Times New Roman" w:hAnsi="Times New Roman" w:eastAsia="宋体"/>
      <w:sz w:val="21"/>
    </w:rPr>
  </w:style>
  <w:style w:type="character" w:customStyle="1" w:styleId="32">
    <w:name w:val="题注 字符"/>
    <w:basedOn w:val="14"/>
    <w:link w:val="5"/>
    <w:qFormat/>
    <w:uiPriority w:val="35"/>
    <w:rPr>
      <w:rFonts w:eastAsia="黑体" w:asciiTheme="majorHAnsi" w:hAnsiTheme="majorHAnsi" w:cstheme="majorBidi"/>
      <w:sz w:val="20"/>
      <w:szCs w:val="20"/>
    </w:rPr>
  </w:style>
  <w:style w:type="character" w:customStyle="1" w:styleId="33">
    <w:name w:val="样式1 Char"/>
    <w:basedOn w:val="32"/>
    <w:link w:val="31"/>
    <w:qFormat/>
    <w:uiPriority w:val="0"/>
    <w:rPr>
      <w:rFonts w:ascii="Times New Roman" w:hAnsi="Times New Roman" w:eastAsia="宋体" w:cstheme="majorBidi"/>
      <w:sz w:val="20"/>
      <w:szCs w:val="20"/>
    </w:rPr>
  </w:style>
  <w:style w:type="paragraph" w:customStyle="1" w:styleId="34">
    <w:name w:val="标题4"/>
    <w:basedOn w:val="1"/>
    <w:qFormat/>
    <w:uiPriority w:val="0"/>
    <w:pPr>
      <w:ind w:firstLine="0" w:firstLineChars="0"/>
    </w:pPr>
    <w:rPr>
      <w:rFonts w:eastAsia="宋体" w:asciiTheme="minorHAnsi" w:hAnsiTheme="minorHAnsi"/>
      <w:b/>
      <w:szCs w:val="24"/>
    </w:rPr>
  </w:style>
  <w:style w:type="paragraph" w:customStyle="1" w:styleId="35">
    <w:name w:val="EndNote Bibliography Title"/>
    <w:basedOn w:val="1"/>
    <w:link w:val="36"/>
    <w:qFormat/>
    <w:uiPriority w:val="0"/>
    <w:pPr>
      <w:jc w:val="center"/>
    </w:pPr>
    <w:rPr>
      <w:rFonts w:cs="Times New Roman"/>
      <w:sz w:val="32"/>
    </w:rPr>
  </w:style>
  <w:style w:type="character" w:customStyle="1" w:styleId="36">
    <w:name w:val="EndNote Bibliography Title Char"/>
    <w:basedOn w:val="14"/>
    <w:link w:val="35"/>
    <w:qFormat/>
    <w:uiPriority w:val="0"/>
    <w:rPr>
      <w:rFonts w:ascii="Times New Roman" w:hAnsi="Times New Roman" w:cs="Times New Roman"/>
      <w:sz w:val="32"/>
    </w:rPr>
  </w:style>
  <w:style w:type="paragraph" w:customStyle="1" w:styleId="37">
    <w:name w:val="EndNote Bibliography"/>
    <w:basedOn w:val="1"/>
    <w:link w:val="38"/>
    <w:qFormat/>
    <w:uiPriority w:val="0"/>
    <w:pPr>
      <w:spacing w:line="240" w:lineRule="auto"/>
      <w:jc w:val="center"/>
    </w:pPr>
    <w:rPr>
      <w:rFonts w:cs="Times New Roman"/>
      <w:sz w:val="32"/>
    </w:rPr>
  </w:style>
  <w:style w:type="character" w:customStyle="1" w:styleId="38">
    <w:name w:val="EndNote Bibliography Char"/>
    <w:basedOn w:val="14"/>
    <w:link w:val="37"/>
    <w:qFormat/>
    <w:uiPriority w:val="0"/>
    <w:rPr>
      <w:rFonts w:ascii="Times New Roman" w:hAnsi="Times New Roman" w:cs="Times New Roman"/>
      <w:sz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2.png"/><Relationship Id="rId12" Type="http://schemas.openxmlformats.org/officeDocument/2006/relationships/theme" Target="theme/theme1.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753E3E-1381-A640-8DEE-399E892EF6D8}">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5118</Words>
  <Characters>5961</Characters>
  <Lines>9</Lines>
  <Paragraphs>2</Paragraphs>
  <TotalTime>1</TotalTime>
  <ScaleCrop>false</ScaleCrop>
  <LinksUpToDate>false</LinksUpToDate>
  <CharactersWithSpaces>6123</CharactersWithSpaces>
  <Application>WPS Office_11.1.0.12173_F1E327BC-269C-435d-A152-05C5408002CA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2023-11-11T04:37:00Z</dcterms:created>
  <dc:creator>Administrator</dc:creator>
  <cp:lastModifiedBy>16219</cp:lastModifiedBy>
  <cp:lastPrinted>2017-06-01T12:24:00Z</cp:lastPrinted>
  <dcterms:modified xsi:type="dcterms:W3CDTF">2024-12-26T06:30:56Z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2052-11.1.0.12173</vt:lpwstr>
  </property>
  <property fmtid="{D5CDD505-2E9C-101B-9397-08002B2CF9AE}" pid="3" name="ICV">
    <vt:lpwstr>0D0849FDDA884166A65F83DA9C6AA246</vt:lpwstr>
  </property>
</Properties>
</file>