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before="2400"/>
      </w:pPr>
    </w:p>
    <w:p>
      <w:pPr>
        <w:spacing w:after="120" w:before="0"/>
        <w:jc w:val="center"/>
      </w:pPr>
      <w:r>
        <w:rPr>
          <w:rFonts w:ascii="Arial" w:eastAsia="Microsoft YaHei"/>
          <w:b/>
          <w:bCs/>
          <w:color w:val="1F4E79"/>
          <w:sz w:val="44"/>
          <w:szCs w:val="44"/>
        </w:rPr>
        <w:t xml:space="preserve">梅州平远至福建武平高速公路项目</w:t>
      </w:r>
    </w:p>
    <w:p>
      <w:pPr>
        <w:spacing w:after="400" w:before="0"/>
        <w:jc w:val="center"/>
      </w:pPr>
      <w:r>
        <w:rPr>
          <w:rFonts w:ascii="Arial" w:eastAsia="Microsoft YaHei"/>
          <w:b/>
          <w:bCs/>
          <w:color w:val="1F4E79"/>
          <w:sz w:val="40"/>
          <w:szCs w:val="40"/>
        </w:rPr>
        <w:t xml:space="preserve">TJ4合同段</w:t>
      </w:r>
    </w:p>
    <w:p>
      <w:pPr>
        <w:spacing w:before="200"/>
      </w:pPr>
    </w:p>
    <w:p>
      <w:pPr>
        <w:spacing w:after="600" w:before="0"/>
        <w:jc w:val="center"/>
      </w:pPr>
      <w:r>
        <w:rPr>
          <w:rFonts w:ascii="Arial" w:eastAsia="Microsoft YaHei"/>
          <w:b/>
          <w:bCs/>
          <w:color w:val="1F4E79"/>
          <w:sz w:val="52"/>
          <w:szCs w:val="52"/>
        </w:rPr>
        <w:t xml:space="preserve">0#变更修编报告</w:t>
      </w:r>
    </w:p>
    <w:p>
      <w:pPr>
        <w:spacing w:before="1200"/>
      </w:pPr>
    </w:p>
    <w:p>
      <w:pPr>
        <w:spacing w:after="120" w:before="0"/>
        <w:jc w:val="center"/>
      </w:pPr>
      <w:r>
        <w:rPr>
          <w:rFonts w:ascii="Arial" w:eastAsia="Microsoft YaHei"/>
          <w:b/>
          <w:bCs/>
          <w:color w:val="1F4E79"/>
          <w:sz w:val="28"/>
          <w:szCs w:val="28"/>
        </w:rPr>
        <w:t xml:space="preserve">江苏交通工程投资咨询有限公司</w:t>
      </w:r>
    </w:p>
    <w:p>
      <w:pPr>
        <w:spacing w:after="0" w:before="0"/>
        <w:jc w:val="center"/>
      </w:pPr>
      <w:r>
        <w:rPr>
          <w:rFonts w:ascii="Arial" w:eastAsia="Microsoft YaHei"/>
          <w:b/>
          <w:bCs/>
          <w:color w:val="1F4E79"/>
          <w:sz w:val="28"/>
          <w:szCs w:val="28"/>
        </w:rPr>
        <w:t xml:space="preserve">2026年09月</w:t>
      </w:r>
    </w:p>
    <w:p>
      <w:r>
        <w:br w:type="page"/>
      </w:r>
    </w:p>
    <w:p>
      <w:pPr>
        <w:spacing w:after="60" w:before="0"/>
        <w:jc w:val="center"/>
      </w:pPr>
      <w:r>
        <w:rPr>
          <w:rFonts w:ascii="Arial" w:eastAsia="Microsoft YaHei"/>
          <w:b/>
          <w:bCs/>
          <w:color w:val="1F4E79"/>
          <w:sz w:val="32"/>
          <w:szCs w:val="32"/>
        </w:rPr>
        <w:t xml:space="preserve">梅州平远至福建武平高速公路项目</w:t>
      </w:r>
    </w:p>
    <w:p>
      <w:pPr>
        <w:spacing w:after="200" w:before="0"/>
        <w:jc w:val="center"/>
      </w:pPr>
      <w:r>
        <w:rPr>
          <w:rFonts w:ascii="Arial" w:eastAsia="Microsoft YaHei"/>
          <w:b/>
          <w:bCs/>
          <w:color w:val="1F4E79"/>
          <w:sz w:val="28"/>
          <w:szCs w:val="28"/>
        </w:rPr>
        <w:t xml:space="preserve">TJ4合同段</w:t>
      </w:r>
    </w:p>
    <w:p>
      <w:pPr>
        <w:spacing w:after="300" w:before="0"/>
        <w:jc w:val="center"/>
      </w:pPr>
      <w:r>
        <w:rPr>
          <w:rFonts w:ascii="Arial" w:eastAsia="Microsoft YaHei"/>
          <w:b/>
          <w:bCs/>
          <w:color w:val="1F4E79"/>
          <w:sz w:val="32"/>
          <w:szCs w:val="32"/>
        </w:rPr>
        <w:t xml:space="preserve">0#变更修编报告</w:t>
      </w:r>
    </w:p>
    <w:p>
      <w:pPr>
        <w:spacing w:before="200"/>
      </w:pPr>
    </w:p>
    <w:p>
      <w:pPr>
        <w:spacing w:after="60" w:before="60"/>
        <w:jc w:val="center"/>
      </w:pPr>
      <w:r>
        <w:rPr>
          <w:rFonts w:ascii="Arial" w:eastAsia="Microsoft YaHei"/>
          <w:sz w:val="24"/>
          <w:szCs w:val="24"/>
        </w:rPr>
        <w:t xml:space="preserve">编制：</w:t>
      </w:r>
      <w:r>
        <w:rPr>
          <w:rFonts w:ascii="Arial" w:eastAsia="Microsoft YaHei"/>
          <w:sz w:val="24"/>
          <w:szCs w:val="24"/>
        </w:rPr>
        <w:t xml:space="preserve">____________</w:t>
      </w:r>
    </w:p>
    <w:p>
      <w:pPr>
        <w:spacing w:after="60" w:before="60"/>
        <w:jc w:val="center"/>
      </w:pPr>
      <w:r>
        <w:rPr>
          <w:rFonts w:ascii="Arial" w:eastAsia="Microsoft YaHei"/>
          <w:sz w:val="24"/>
          <w:szCs w:val="24"/>
        </w:rPr>
        <w:t xml:space="preserve">复核：</w:t>
      </w:r>
      <w:r>
        <w:rPr>
          <w:rFonts w:ascii="Arial" w:eastAsia="Microsoft YaHei"/>
          <w:sz w:val="24"/>
          <w:szCs w:val="24"/>
        </w:rPr>
        <w:t xml:space="preserve">____________</w:t>
      </w:r>
    </w:p>
    <w:p>
      <w:pPr>
        <w:spacing w:after="60" w:before="60"/>
        <w:jc w:val="center"/>
      </w:pPr>
      <w:r>
        <w:rPr>
          <w:rFonts w:ascii="Arial" w:eastAsia="Microsoft YaHei"/>
          <w:sz w:val="24"/>
          <w:szCs w:val="24"/>
        </w:rPr>
        <w:t xml:space="preserve">审核：</w:t>
      </w:r>
      <w:r>
        <w:rPr>
          <w:rFonts w:ascii="Arial" w:eastAsia="Microsoft YaHei"/>
          <w:sz w:val="24"/>
          <w:szCs w:val="24"/>
        </w:rPr>
        <w:t xml:space="preserve">____________</w:t>
      </w:r>
    </w:p>
    <w:p>
      <w:pPr>
        <w:spacing w:before="300"/>
      </w:pPr>
    </w:p>
    <w:p>
      <w:pPr>
        <w:spacing w:after="60" w:before="60"/>
        <w:jc w:val="center"/>
      </w:pPr>
      <w:r>
        <w:rPr>
          <w:rFonts w:ascii="Arial" w:eastAsia="Microsoft YaHei"/>
          <w:sz w:val="24"/>
          <w:szCs w:val="24"/>
        </w:rPr>
        <w:t xml:space="preserve">编制单位：</w:t>
      </w:r>
      <w:r>
        <w:rPr>
          <w:rFonts w:ascii="Arial" w:eastAsia="Microsoft YaHei"/>
          <w:b/>
          <w:bCs/>
          <w:sz w:val="24"/>
          <w:szCs w:val="24"/>
        </w:rPr>
        <w:t xml:space="preserve">江苏交通工程投资咨询有限公司</w:t>
      </w:r>
    </w:p>
    <w:p>
      <w:pPr>
        <w:spacing w:after="60" w:before="60"/>
        <w:jc w:val="center"/>
      </w:pPr>
      <w:r>
        <w:rPr>
          <w:rFonts w:ascii="Arial" w:eastAsia="Microsoft YaHei"/>
          <w:sz w:val="24"/>
          <w:szCs w:val="24"/>
        </w:rPr>
        <w:t xml:space="preserve">编制日期：</w:t>
      </w:r>
      <w:r>
        <w:rPr>
          <w:rFonts w:ascii="Arial" w:eastAsia="Microsoft YaHei"/>
          <w:b/>
          <w:bCs/>
          <w:sz w:val="24"/>
          <w:szCs w:val="24"/>
        </w:rPr>
        <w:t xml:space="preserve">2026年09月</w:t>
      </w:r>
    </w:p>
    <w:p>
      <w:r>
        <w:br w:type="page"/>
      </w:r>
    </w:p>
    <w:p>
      <w:pPr>
        <w:spacing w:after="300" w:before="120"/>
        <w:jc w:val="center"/>
      </w:pPr>
      <w:r>
        <w:rPr>
          <w:rFonts w:ascii="Arial" w:eastAsia="Microsoft YaHei"/>
          <w:b/>
          <w:bCs/>
          <w:color w:val="1F4E79"/>
          <w:sz w:val="32"/>
          <w:szCs w:val="32"/>
        </w:rPr>
        <w:t xml:space="preserve">TJ4合同段施工图阶段0#变更清单修编报告</w:t>
      </w:r>
    </w:p>
    <w:p>
      <w:pPr>
        <w:spacing w:after="60" w:before="60" w:line="360"/>
        <w:ind/>
      </w:pPr>
      <w:r>
        <w:rPr>
          <w:rFonts w:ascii="Arial" w:eastAsia="Microsoft YaHei"/>
          <w:color w:val="333333"/>
          <w:sz w:val="22"/>
          <w:szCs w:val="22"/>
        </w:rPr>
        <w:t xml:space="preserve">广东省南粤交通平武高速公路管理处：</w:t>
      </w:r>
    </w:p>
    <w:p>
      <w:pPr>
        <w:spacing w:after="60" w:before="60" w:line="360"/>
        <w:ind w:firstLine="480"/>
      </w:pPr>
      <w:r>
        <w:rPr>
          <w:rFonts w:ascii="Arial" w:eastAsia="Microsoft YaHei"/>
          <w:color w:val="333333"/>
          <w:sz w:val="22"/>
          <w:szCs w:val="22"/>
        </w:rPr>
        <w:t xml:space="preserve">受贵公司委托，根据合同约定，我司安排专业造价技术人员对贵公司建设的梅州平远至福建武平高速公路项目TJ4合同段的施工图工程量清单进行了0#变更修编，依据贵公司提供的施工合同文件、技术规范、设计文件及设计服务函等相关资料，我司进行了核算、询问、与设计单位、业主单位沟通等必要的修编工作，现已完成TJ4合同段的0#变更工程量清单修编，现将修编报告如下：</w:t>
      </w:r>
    </w:p>
    <w:p>
      <w:pPr>
        <w:pStyle w:val="Heading1"/>
        <w:spacing w:after="180" w:before="360"/>
      </w:pPr>
      <w:r>
        <w:rPr>
          <w:rFonts w:ascii="Arial" w:eastAsia="Microsoft YaHei"/>
          <w:b/>
          <w:bCs/>
          <w:color w:val="1F4E79"/>
          <w:sz w:val="28"/>
          <w:szCs w:val="28"/>
        </w:rPr>
        <w:t xml:space="preserve">一、工程概况</w:t>
      </w:r>
    </w:p>
    <w:p>
      <w:pPr>
        <w:pStyle w:val="Heading2"/>
        <w:spacing w:after="120" w:before="240"/>
      </w:pPr>
      <w:r>
        <w:rPr>
          <w:rFonts w:ascii="Arial" w:eastAsia="Microsoft YaHei"/>
          <w:b/>
          <w:bCs/>
          <w:color w:val="2E75B6"/>
          <w:sz w:val="24"/>
          <w:szCs w:val="24"/>
        </w:rPr>
        <w:t xml:space="preserve">1. 基本情况</w:t>
      </w:r>
    </w:p>
    <w:p>
      <w:pPr>
        <w:spacing w:after="60" w:before="60" w:line="360"/>
        <w:ind w:firstLine="480"/>
      </w:pPr>
      <w:r>
        <w:rPr>
          <w:rFonts w:ascii="Arial" w:eastAsia="Microsoft YaHei"/>
          <w:color w:val="333333"/>
          <w:sz w:val="22"/>
          <w:szCs w:val="22"/>
        </w:rPr>
        <w:t xml:space="preserve">梅州平远至福建武平高速公路（广东段）位于原中央苏区梅州市平远县，连接广东省梅州市和福建省龙岩市。</w:t>
      </w:r>
    </w:p>
    <w:p>
      <w:pPr>
        <w:spacing w:after="60" w:before="60" w:line="360"/>
        <w:ind w:firstLine="480"/>
      </w:pPr>
      <w:r>
        <w:rPr>
          <w:rFonts w:ascii="Arial" w:eastAsia="Microsoft YaHei"/>
          <w:color w:val="333333"/>
          <w:sz w:val="22"/>
          <w:szCs w:val="22"/>
        </w:rPr>
        <w:t xml:space="preserve">本项目路线起于梅州市平远县大柘镇径门口，接济广高速公路（设径门口枢纽互通立交），沿国道G206线布线，向东经墩背村、河岭村，终于程西村，顺接拟建潮南高速平远至武平（粤闽界）段，并与规划潮南高速公路大埔至平远段呈T形交叉（设平远北枢纽互通立交）。</w:t>
      </w:r>
    </w:p>
    <w:p>
      <w:pPr>
        <w:spacing w:after="60" w:before="60" w:line="360"/>
        <w:ind w:firstLine="480"/>
      </w:pPr>
      <w:r>
        <w:rPr>
          <w:rFonts w:ascii="Arial" w:eastAsia="Microsoft YaHei"/>
          <w:color w:val="333333"/>
          <w:sz w:val="22"/>
          <w:szCs w:val="22"/>
        </w:rPr>
        <w:t xml:space="preserve">TJ4标段（K32+250～K38+500）由广东省交通规划设计研究院集团股份有限公司进行设计。本标段主线设大桥多座，主要包括阳济大桥、正化1号大桥、正化2号大桥、坡子岭1号大桥、坡子岭2号大桥、乳子石大桥等。</w:t>
      </w:r>
    </w:p>
    <w:p>
      <w:pPr>
        <w:pStyle w:val="Heading1"/>
        <w:spacing w:after="180" w:before="360"/>
      </w:pPr>
      <w:r>
        <w:rPr>
          <w:rFonts w:ascii="Arial" w:eastAsia="Microsoft YaHei"/>
          <w:b/>
          <w:bCs/>
          <w:color w:val="1F4E79"/>
          <w:sz w:val="28"/>
          <w:szCs w:val="28"/>
        </w:rPr>
        <w:t xml:space="preserve">二、修编依据</w:t>
      </w:r>
    </w:p>
    <w:p>
      <w:pPr>
        <w:spacing w:after="60" w:before="60" w:line="360"/>
        <w:ind w:firstLine="480"/>
      </w:pPr>
      <w:r>
        <w:rPr>
          <w:rFonts w:ascii="Arial" w:eastAsia="Microsoft YaHei"/>
          <w:color w:val="333333"/>
          <w:sz w:val="22"/>
          <w:szCs w:val="22"/>
        </w:rPr>
        <w:t xml:space="preserve">1、梅州平远至福建武平高速公路项目TJ4合同段施工合同；</w:t>
      </w:r>
    </w:p>
    <w:p>
      <w:pPr>
        <w:spacing w:after="60" w:before="60" w:line="360"/>
        <w:ind w:firstLine="480"/>
      </w:pPr>
      <w:r>
        <w:rPr>
          <w:rFonts w:ascii="Arial" w:eastAsia="Microsoft YaHei"/>
          <w:color w:val="333333"/>
          <w:sz w:val="22"/>
          <w:szCs w:val="22"/>
        </w:rPr>
        <w:t xml:space="preserve">2、梅州平远至福建武平高速公路项目TJ4合同段招标文件、投标文件、中标通知书；</w:t>
      </w:r>
    </w:p>
    <w:p>
      <w:pPr>
        <w:spacing w:after="60" w:before="60" w:line="360"/>
        <w:ind w:firstLine="480"/>
      </w:pPr>
      <w:r>
        <w:rPr>
          <w:rFonts w:ascii="Arial" w:eastAsia="Microsoft YaHei"/>
          <w:color w:val="333333"/>
          <w:sz w:val="22"/>
          <w:szCs w:val="22"/>
        </w:rPr>
        <w:t xml:space="preserve">3、由广东省交通规划设计研究院集团股份有限公司于2026年1月出具的《梅州平远至福建武平高速公路（广东段）TJ4标段（K32+250~K38+500）两阶段施工图设计》文件；</w:t>
      </w:r>
    </w:p>
    <w:p>
      <w:pPr>
        <w:spacing w:after="60" w:before="60" w:line="360"/>
        <w:ind w:firstLine="480"/>
      </w:pPr>
      <w:r>
        <w:rPr>
          <w:rFonts w:ascii="Arial" w:eastAsia="Microsoft YaHei"/>
          <w:color w:val="333333"/>
          <w:sz w:val="22"/>
          <w:szCs w:val="22"/>
        </w:rPr>
        <w:t xml:space="preserve">4、《中华人民共和国交通运输部公路工程标准施工招标文件（2018年版）》；</w:t>
      </w:r>
    </w:p>
    <w:p>
      <w:pPr>
        <w:spacing w:after="60" w:before="60" w:line="360"/>
        <w:ind w:firstLine="480"/>
      </w:pPr>
      <w:r>
        <w:rPr>
          <w:rFonts w:ascii="Arial" w:eastAsia="Microsoft YaHei"/>
          <w:color w:val="333333"/>
          <w:sz w:val="22"/>
          <w:szCs w:val="22"/>
        </w:rPr>
        <w:t xml:space="preserve">5、广东省交通运输厅关于《公路工程建设项目投资估算编制办法》《公路工程建设项目概算预算编制办法》及配套指标定额补充规定的通知（粤交基〔2018〕544号）；</w:t>
      </w:r>
    </w:p>
    <w:p>
      <w:pPr>
        <w:spacing w:after="60" w:before="60" w:line="360"/>
        <w:ind w:firstLine="480"/>
      </w:pPr>
      <w:r>
        <w:rPr>
          <w:rFonts w:ascii="Arial" w:eastAsia="Microsoft YaHei"/>
          <w:color w:val="333333"/>
          <w:sz w:val="22"/>
          <w:szCs w:val="22"/>
        </w:rPr>
        <w:t xml:space="preserve">6、设计后服务函（PW-2026-TJ4-003、PW-2026-TJ4-008）及相关勘误回复文件；</w:t>
      </w:r>
    </w:p>
    <w:p>
      <w:pPr>
        <w:spacing w:after="60" w:before="60" w:line="360"/>
        <w:ind w:firstLine="480"/>
      </w:pPr>
      <w:r>
        <w:rPr>
          <w:rFonts w:ascii="Arial" w:eastAsia="Microsoft YaHei"/>
          <w:color w:val="333333"/>
          <w:sz w:val="22"/>
          <w:szCs w:val="22"/>
        </w:rPr>
        <w:t xml:space="preserve">7、工程量核查勘误回复函及各方确认的相关资料。</w:t>
      </w:r>
    </w:p>
    <w:p>
      <w:pPr>
        <w:pStyle w:val="Heading1"/>
        <w:spacing w:after="180" w:before="360"/>
      </w:pPr>
      <w:r>
        <w:rPr>
          <w:rFonts w:ascii="Arial" w:eastAsia="Microsoft YaHei"/>
          <w:b/>
          <w:bCs/>
          <w:color w:val="1F4E79"/>
          <w:sz w:val="28"/>
          <w:szCs w:val="28"/>
        </w:rPr>
        <w:t xml:space="preserve">三、修编过程</w:t>
      </w:r>
    </w:p>
    <w:p>
      <w:pPr>
        <w:spacing w:after="60" w:before="60" w:line="360"/>
        <w:ind w:firstLine="480"/>
      </w:pPr>
      <w:r>
        <w:rPr>
          <w:rFonts w:ascii="Arial" w:eastAsia="Microsoft YaHei"/>
          <w:color w:val="333333"/>
          <w:sz w:val="22"/>
          <w:szCs w:val="22"/>
        </w:rPr>
        <w:t xml:space="preserve">TJ4合同段采用的设计文件为广东省交通规划设计研究院集团股份有限公司2026年1月出版的施工图图纸，并据此编制形成了施工图阶段分项工程量清单。由于施工图存在工程数量缺漏、错误等问题，为确保项目工程质量，我司依据施工合同及设计图纸对施工图阶段分项工程量清单进行了审核并提供相关审核意见，经设计单位出具设计服务函进行0#变更后，形成施工图修编清单。</w:t>
      </w:r>
    </w:p>
    <w:p>
      <w:pPr>
        <w:pStyle w:val="Heading2"/>
        <w:spacing w:after="120" w:before="240"/>
      </w:pPr>
      <w:r>
        <w:rPr>
          <w:rFonts w:ascii="Arial" w:eastAsia="Microsoft YaHei"/>
          <w:b/>
          <w:bCs/>
          <w:color w:val="2E75B6"/>
          <w:sz w:val="24"/>
          <w:szCs w:val="24"/>
        </w:rPr>
        <w:t xml:space="preserve">1. 数量确定原则</w:t>
      </w:r>
    </w:p>
    <w:p>
      <w:pPr>
        <w:spacing w:after="60" w:before="60" w:line="360"/>
        <w:ind w:firstLine="480"/>
      </w:pPr>
      <w:r>
        <w:rPr>
          <w:rFonts w:ascii="Arial" w:eastAsia="Microsoft YaHei"/>
          <w:color w:val="333333"/>
          <w:sz w:val="22"/>
          <w:szCs w:val="22"/>
        </w:rPr>
        <w:t xml:space="preserve">以2026年1月份施工图纸及设计服务函（PW-2026-TJ4-003、PW-2026-TJ4-008）作为修编依据，修编数量经施工单位、设计单位、业主单位三方确定。</w:t>
      </w:r>
    </w:p>
    <w:p>
      <w:pPr>
        <w:pStyle w:val="Heading2"/>
        <w:spacing w:after="120" w:before="240"/>
      </w:pPr>
      <w:r>
        <w:rPr>
          <w:rFonts w:ascii="Arial" w:eastAsia="Microsoft YaHei"/>
          <w:b/>
          <w:bCs/>
          <w:color w:val="2E75B6"/>
          <w:sz w:val="24"/>
          <w:szCs w:val="24"/>
        </w:rPr>
        <w:t xml:space="preserve">2. 新增单价原则</w:t>
      </w:r>
    </w:p>
    <w:p>
      <w:pPr>
        <w:spacing w:after="60" w:before="60" w:line="360"/>
        <w:ind w:firstLine="480"/>
      </w:pPr>
      <w:r>
        <w:rPr>
          <w:rFonts w:ascii="Arial" w:eastAsia="Microsoft YaHei"/>
          <w:color w:val="333333"/>
          <w:sz w:val="22"/>
          <w:szCs w:val="22"/>
        </w:rPr>
        <w:t xml:space="preserve">按施工合同专用条款15.4变更估价原则，新增单价确定应按以下优先顺序所列原则进行处理：</w:t>
      </w:r>
    </w:p>
    <w:p>
      <w:pPr>
        <w:spacing w:after="60" w:before="60" w:line="360"/>
        <w:ind w:firstLine="480"/>
      </w:pPr>
      <w:r>
        <w:rPr>
          <w:rFonts w:ascii="Arial" w:eastAsia="Microsoft YaHei"/>
          <w:color w:val="333333"/>
          <w:sz w:val="22"/>
          <w:szCs w:val="22"/>
        </w:rPr>
        <w:t xml:space="preserve">（1）本合同段工程量清单中有相同或相似工程细目单价的，经发包人与承包人协商一致同意可直接套用该单价；</w:t>
      </w:r>
    </w:p>
    <w:p>
      <w:pPr>
        <w:spacing w:after="60" w:before="60" w:line="360"/>
        <w:ind w:firstLine="480"/>
      </w:pPr>
      <w:r>
        <w:rPr>
          <w:rFonts w:ascii="Arial" w:eastAsia="Microsoft YaHei"/>
          <w:color w:val="333333"/>
          <w:sz w:val="22"/>
          <w:szCs w:val="22"/>
        </w:rPr>
        <w:t xml:space="preserve">（2）本合同段内没有相同或适用合同单价的，原则上应套用同类合同段相应单价的算术平均值/加权平均值；</w:t>
      </w:r>
    </w:p>
    <w:p>
      <w:pPr>
        <w:spacing w:after="60" w:before="60" w:line="360"/>
        <w:ind w:firstLine="480"/>
      </w:pPr>
      <w:r>
        <w:rPr>
          <w:rFonts w:ascii="Arial" w:eastAsia="Microsoft YaHei"/>
          <w:color w:val="333333"/>
          <w:sz w:val="22"/>
          <w:szCs w:val="22"/>
        </w:rPr>
        <w:t xml:space="preserve">（3）如上述价格调整原则不适用，参照招标人公布的最高投标限价编制时选用的有关定额，人工、材料、机械单价按最高投标限价采用月份信息价编制预算，并按中标下浮比例下浮确定。</w:t>
      </w:r>
    </w:p>
    <w:p>
      <w:pPr>
        <w:pStyle w:val="Heading1"/>
        <w:spacing w:after="180" w:before="360"/>
      </w:pPr>
      <w:r>
        <w:rPr>
          <w:rFonts w:ascii="Arial" w:eastAsia="Microsoft YaHei"/>
          <w:b/>
          <w:bCs/>
          <w:color w:val="1F4E79"/>
          <w:sz w:val="28"/>
          <w:szCs w:val="28"/>
        </w:rPr>
        <w:t xml:space="preserve">四、修编结果</w:t>
      </w:r>
    </w:p>
    <w:p>
      <w:pPr>
        <w:spacing w:after="60" w:before="60" w:line="360"/>
        <w:ind w:firstLine="480"/>
      </w:pPr>
      <w:r>
        <w:rPr>
          <w:rFonts w:ascii="Arial" w:eastAsia="Microsoft YaHei"/>
          <w:color w:val="333333"/>
          <w:sz w:val="22"/>
          <w:szCs w:val="22"/>
        </w:rPr>
        <w:t xml:space="preserve">TJ4合同段合同工程量清单第100章～1000章费用总额为41,638.93万元，修编核减费用约173.74万元，修编后清单第100章～1000章费用总额为41,465.20万元。</w:t>
      </w:r>
    </w:p>
    <w:p>
      <w:pPr>
        <w:spacing w:after="60" w:before="60" w:line="360"/>
        <w:ind w:firstLine="480"/>
      </w:pPr>
      <w:r>
        <w:rPr>
          <w:rFonts w:ascii="Arial" w:eastAsia="Microsoft YaHei"/>
          <w:color w:val="333333"/>
          <w:sz w:val="22"/>
          <w:szCs w:val="22"/>
        </w:rPr>
        <w:t xml:space="preserve">具体各章节修编情况详见下表：</w:t>
      </w:r>
    </w:p>
    <w:p>
      <w:pPr>
        <w:spacing w:after="12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000"/>
        <w:gridCol w:w="1600"/>
        <w:gridCol w:w="1600"/>
        <w:gridCol w:w="1400"/>
        <w:gridCol w:w="800"/>
      </w:tblGrid>
      <w:tr>
        <w:trPr>
          <w:cantSplit/>
        </w:trPr>
        <w:tc>
          <w:tcPr>
            <w:tcW w:type="dxa" w:w="6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序号</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章节</w:t>
            </w:r>
          </w:p>
        </w:tc>
        <w:tc>
          <w:tcPr>
            <w:tcW w:type="dxa" w:w="20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章节名称</w:t>
            </w:r>
          </w:p>
        </w:tc>
        <w:tc>
          <w:tcPr>
            <w:tcW w:type="dxa" w:w="16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金额(元)</w:t>
            </w:r>
          </w:p>
        </w:tc>
        <w:tc>
          <w:tcPr>
            <w:tcW w:type="dxa" w:w="16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修编后金额(元)</w:t>
            </w:r>
          </w:p>
        </w:tc>
        <w:tc>
          <w:tcPr>
            <w:tcW w:type="dxa" w:w="1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增减金额(元)</w:t>
            </w:r>
          </w:p>
        </w:tc>
        <w:tc>
          <w:tcPr>
            <w:tcW w:type="dxa" w:w="8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备注</w:t>
            </w:r>
          </w:p>
        </w:tc>
      </w:tr>
      <w:tr>
        <w:trPr>
          <w:cantSplit/>
        </w:trPr>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100章</w:t>
            </w:r>
          </w:p>
        </w:tc>
        <w:tc>
          <w:tcPr>
            <w:tcW w:type="dxa" w:w="20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总则</w:t>
            </w:r>
          </w:p>
        </w:tc>
        <w:tc>
          <w:tcPr>
            <w:tcW w:type="dxa" w:w="1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38,828,697</w:t>
            </w:r>
          </w:p>
        </w:tc>
        <w:tc>
          <w:tcPr>
            <w:tcW w:type="dxa" w:w="1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38,828,697</w:t>
            </w:r>
          </w:p>
        </w:tc>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20"/>
                <w:szCs w:val="20"/>
              </w:rPr>
              <w:t xml:space="preserve">0</w:t>
            </w:r>
          </w:p>
        </w:tc>
        <w:tc>
          <w:tcPr>
            <w:tcW w:type="dxa" w:w="8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w:t>
            </w:r>
          </w:p>
        </w:tc>
      </w:tr>
      <w:tr>
        <w:trPr>
          <w:cantSplit/>
        </w:trPr>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2</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200章</w:t>
            </w:r>
          </w:p>
        </w:tc>
        <w:tc>
          <w:tcPr>
            <w:tcW w:type="dxa" w:w="20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路基工程</w:t>
            </w:r>
          </w:p>
        </w:tc>
        <w:tc>
          <w:tcPr>
            <w:tcW w:type="dxa" w:w="1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86,228,951</w:t>
            </w:r>
          </w:p>
        </w:tc>
        <w:tc>
          <w:tcPr>
            <w:tcW w:type="dxa" w:w="1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84,685,258</w:t>
            </w:r>
          </w:p>
        </w:tc>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C00000"/>
                <w:sz w:val="20"/>
                <w:szCs w:val="20"/>
              </w:rPr>
              <w:t xml:space="preserve">-1,543,693</w:t>
            </w:r>
          </w:p>
        </w:tc>
        <w:tc>
          <w:tcPr>
            <w:tcW w:type="dxa" w:w="8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核减</w:t>
            </w:r>
          </w:p>
        </w:tc>
      </w:tr>
      <w:tr>
        <w:trPr>
          <w:cantSplit/>
        </w:trPr>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300章</w:t>
            </w:r>
          </w:p>
        </w:tc>
        <w:tc>
          <w:tcPr>
            <w:tcW w:type="dxa" w:w="20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路面工程</w:t>
            </w:r>
          </w:p>
        </w:tc>
        <w:tc>
          <w:tcPr>
            <w:tcW w:type="dxa" w:w="1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982,306</w:t>
            </w:r>
          </w:p>
        </w:tc>
        <w:tc>
          <w:tcPr>
            <w:tcW w:type="dxa" w:w="1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958,222</w:t>
            </w:r>
          </w:p>
        </w:tc>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C00000"/>
                <w:sz w:val="20"/>
                <w:szCs w:val="20"/>
              </w:rPr>
              <w:t xml:space="preserve">-24,084</w:t>
            </w:r>
          </w:p>
        </w:tc>
        <w:tc>
          <w:tcPr>
            <w:tcW w:type="dxa" w:w="8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核减</w:t>
            </w:r>
          </w:p>
        </w:tc>
      </w:tr>
      <w:tr>
        <w:trPr>
          <w:cantSplit/>
        </w:trPr>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4</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400章</w:t>
            </w:r>
          </w:p>
        </w:tc>
        <w:tc>
          <w:tcPr>
            <w:tcW w:type="dxa" w:w="20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桥梁、涵洞工程</w:t>
            </w:r>
          </w:p>
        </w:tc>
        <w:tc>
          <w:tcPr>
            <w:tcW w:type="dxa" w:w="1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287,453,220</w:t>
            </w:r>
          </w:p>
        </w:tc>
        <w:tc>
          <w:tcPr>
            <w:tcW w:type="dxa" w:w="1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287,207,966</w:t>
            </w:r>
          </w:p>
        </w:tc>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C00000"/>
                <w:sz w:val="20"/>
                <w:szCs w:val="20"/>
              </w:rPr>
              <w:t xml:space="preserve">-245,254</w:t>
            </w:r>
          </w:p>
        </w:tc>
        <w:tc>
          <w:tcPr>
            <w:tcW w:type="dxa" w:w="8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核减</w:t>
            </w:r>
          </w:p>
        </w:tc>
      </w:tr>
      <w:tr>
        <w:trPr>
          <w:cantSplit/>
        </w:trPr>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5</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500章</w:t>
            </w:r>
          </w:p>
        </w:tc>
        <w:tc>
          <w:tcPr>
            <w:tcW w:type="dxa" w:w="20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隧道工程</w:t>
            </w:r>
          </w:p>
        </w:tc>
        <w:tc>
          <w:tcPr>
            <w:tcW w:type="dxa" w:w="1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20"/>
                <w:szCs w:val="20"/>
              </w:rPr>
              <w:t xml:space="preserve">0</w:t>
            </w:r>
          </w:p>
        </w:tc>
        <w:tc>
          <w:tcPr>
            <w:tcW w:type="dxa" w:w="8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w:t>
            </w:r>
          </w:p>
        </w:tc>
      </w:tr>
      <w:tr>
        <w:trPr>
          <w:cantSplit/>
        </w:trPr>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6</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600章</w:t>
            </w:r>
          </w:p>
        </w:tc>
        <w:tc>
          <w:tcPr>
            <w:tcW w:type="dxa" w:w="20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交通安全设施</w:t>
            </w:r>
          </w:p>
        </w:tc>
        <w:tc>
          <w:tcPr>
            <w:tcW w:type="dxa" w:w="1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2,718,324</w:t>
            </w:r>
          </w:p>
        </w:tc>
        <w:tc>
          <w:tcPr>
            <w:tcW w:type="dxa" w:w="1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2,565,971</w:t>
            </w:r>
          </w:p>
        </w:tc>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C00000"/>
                <w:sz w:val="20"/>
                <w:szCs w:val="20"/>
              </w:rPr>
              <w:t xml:space="preserve">-152,353</w:t>
            </w:r>
          </w:p>
        </w:tc>
        <w:tc>
          <w:tcPr>
            <w:tcW w:type="dxa" w:w="8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核减</w:t>
            </w:r>
          </w:p>
        </w:tc>
      </w:tr>
      <w:tr>
        <w:trPr>
          <w:cantSplit/>
        </w:trPr>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7</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700章</w:t>
            </w:r>
          </w:p>
        </w:tc>
        <w:tc>
          <w:tcPr>
            <w:tcW w:type="dxa" w:w="20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绿化及环境保护工程</w:t>
            </w:r>
          </w:p>
        </w:tc>
        <w:tc>
          <w:tcPr>
            <w:tcW w:type="dxa" w:w="1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20"/>
                <w:szCs w:val="20"/>
              </w:rPr>
              <w:t xml:space="preserve">0</w:t>
            </w:r>
          </w:p>
        </w:tc>
        <w:tc>
          <w:tcPr>
            <w:tcW w:type="dxa" w:w="8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w:t>
            </w:r>
          </w:p>
        </w:tc>
      </w:tr>
      <w:tr>
        <w:trPr>
          <w:cantSplit/>
        </w:trPr>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8</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800章</w:t>
            </w:r>
          </w:p>
        </w:tc>
        <w:tc>
          <w:tcPr>
            <w:tcW w:type="dxa" w:w="20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机电工程</w:t>
            </w:r>
          </w:p>
        </w:tc>
        <w:tc>
          <w:tcPr>
            <w:tcW w:type="dxa" w:w="1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4,645</w:t>
            </w:r>
          </w:p>
        </w:tc>
        <w:tc>
          <w:tcPr>
            <w:tcW w:type="dxa" w:w="1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4,645</w:t>
            </w:r>
          </w:p>
        </w:tc>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20"/>
                <w:szCs w:val="20"/>
              </w:rPr>
              <w:t xml:space="preserve">0</w:t>
            </w:r>
          </w:p>
        </w:tc>
        <w:tc>
          <w:tcPr>
            <w:tcW w:type="dxa" w:w="8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w:t>
            </w:r>
          </w:p>
        </w:tc>
      </w:tr>
      <w:tr>
        <w:trPr>
          <w:cantSplit/>
        </w:trPr>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9</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900章</w:t>
            </w:r>
          </w:p>
        </w:tc>
        <w:tc>
          <w:tcPr>
            <w:tcW w:type="dxa" w:w="20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管理、养护及服务房屋</w:t>
            </w:r>
          </w:p>
        </w:tc>
        <w:tc>
          <w:tcPr>
            <w:tcW w:type="dxa" w:w="1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20"/>
                <w:szCs w:val="20"/>
              </w:rPr>
              <w:t xml:space="preserve">0</w:t>
            </w:r>
          </w:p>
        </w:tc>
        <w:tc>
          <w:tcPr>
            <w:tcW w:type="dxa" w:w="8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w:t>
            </w:r>
          </w:p>
        </w:tc>
      </w:tr>
      <w:tr>
        <w:trPr>
          <w:cantSplit/>
        </w:trPr>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10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1000章</w:t>
            </w:r>
          </w:p>
        </w:tc>
        <w:tc>
          <w:tcPr>
            <w:tcW w:type="dxa" w:w="20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交通组织维护</w:t>
            </w:r>
          </w:p>
        </w:tc>
        <w:tc>
          <w:tcPr>
            <w:tcW w:type="dxa" w:w="1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173,193</w:t>
            </w:r>
          </w:p>
        </w:tc>
        <w:tc>
          <w:tcPr>
            <w:tcW w:type="dxa" w:w="1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401,208</w:t>
            </w:r>
          </w:p>
        </w:tc>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20"/>
                <w:szCs w:val="20"/>
              </w:rPr>
              <w:t xml:space="preserve">+228,015</w:t>
            </w:r>
          </w:p>
        </w:tc>
        <w:tc>
          <w:tcPr>
            <w:tcW w:type="dxa" w:w="8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核增</w:t>
            </w:r>
          </w:p>
        </w:tc>
      </w:tr>
      <w:tr>
        <w:trPr>
          <w:cantSplit/>
        </w:trPr>
        <w:tc>
          <w:tcPr>
            <w:tcW w:type="dxa" w:w="6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center"/>
            </w:pPr>
            <w:r>
              <w:rPr>
                <w:rFonts w:ascii="Arial" w:eastAsia="Microsoft YaHei"/>
                <w:b/>
                <w:bCs/>
                <w:color w:val="000000"/>
                <w:sz w:val="20"/>
                <w:szCs w:val="20"/>
              </w:rPr>
              <w:t xml:space="preserve">11</w:t>
            </w:r>
          </w:p>
        </w:tc>
        <w:tc>
          <w:tcPr>
            <w:tcW w:type="dxa" w:w="12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left"/>
            </w:pPr>
            <w:r>
              <w:rPr>
                <w:rFonts w:ascii="Arial" w:eastAsia="Microsoft YaHei"/>
                <w:b/>
                <w:bCs/>
                <w:color w:val="000000"/>
                <w:sz w:val="20"/>
                <w:szCs w:val="20"/>
              </w:rPr>
              <w:t xml:space="preserve">第100章至1000章清单合计</w:t>
            </w:r>
          </w:p>
        </w:tc>
        <w:tc>
          <w:tcPr>
            <w:tcW w:type="dxa" w:w="20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center"/>
            </w:pPr>
            <w:r>
              <w:rPr>
                <w:rFonts w:ascii="Arial" w:eastAsia="Microsoft YaHei"/>
                <w:b/>
                <w:bCs/>
                <w:color w:val="000000"/>
                <w:sz w:val="20"/>
                <w:szCs w:val="20"/>
              </w:rPr>
              <w:t xml:space="preserve"/>
            </w:r>
          </w:p>
        </w:tc>
        <w:tc>
          <w:tcPr>
            <w:tcW w:type="dxa" w:w="16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right"/>
            </w:pPr>
            <w:r>
              <w:rPr>
                <w:rFonts w:ascii="Arial" w:eastAsia="Microsoft YaHei"/>
                <w:b/>
                <w:bCs/>
                <w:color w:val="000000"/>
                <w:sz w:val="20"/>
                <w:szCs w:val="20"/>
              </w:rPr>
              <w:t xml:space="preserve">416,389,336</w:t>
            </w:r>
          </w:p>
        </w:tc>
        <w:tc>
          <w:tcPr>
            <w:tcW w:type="dxa" w:w="16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right"/>
            </w:pPr>
            <w:r>
              <w:rPr>
                <w:rFonts w:ascii="Arial" w:eastAsia="Microsoft YaHei"/>
                <w:b/>
                <w:bCs/>
                <w:color w:val="000000"/>
                <w:sz w:val="20"/>
                <w:szCs w:val="20"/>
              </w:rPr>
              <w:t xml:space="preserve">414,651,967</w:t>
            </w:r>
          </w:p>
        </w:tc>
        <w:tc>
          <w:tcPr>
            <w:tcW w:type="dxa" w:w="14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right"/>
            </w:pPr>
            <w:r>
              <w:rPr>
                <w:rFonts w:ascii="Arial" w:eastAsia="Microsoft YaHei"/>
                <w:b/>
                <w:bCs/>
                <w:color w:val="C00000"/>
                <w:sz w:val="20"/>
                <w:szCs w:val="20"/>
              </w:rPr>
              <w:t xml:space="preserve">-1,737,369</w:t>
            </w:r>
          </w:p>
        </w:tc>
        <w:tc>
          <w:tcPr>
            <w:tcW w:type="dxa" w:w="8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center"/>
            </w:pPr>
            <w:r>
              <w:rPr>
                <w:rFonts w:ascii="Arial" w:eastAsia="Microsoft YaHei"/>
                <w:b/>
                <w:bCs/>
                <w:color w:val="000000"/>
                <w:sz w:val="20"/>
                <w:szCs w:val="20"/>
              </w:rPr>
              <w:t xml:space="preserve">核减</w:t>
            </w:r>
          </w:p>
        </w:tc>
      </w:tr>
      <w:tr>
        <w:trPr>
          <w:cantSplit/>
        </w:trPr>
        <w:tc>
          <w:tcPr>
            <w:tcW w:type="dxa" w:w="6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12</w:t>
            </w:r>
          </w:p>
        </w:tc>
        <w:tc>
          <w:tcPr>
            <w:tcW w:type="dxa" w:w="12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left"/>
            </w:pPr>
            <w:r>
              <w:rPr>
                <w:rFonts w:ascii="Arial" w:eastAsia="Microsoft YaHei"/>
                <w:b w:val="false"/>
                <w:bCs w:val="false"/>
                <w:color w:val="000000"/>
                <w:sz w:val="20"/>
                <w:szCs w:val="20"/>
              </w:rPr>
              <w:t xml:space="preserve">暂列金额（200章至900章合计价的3%）</w:t>
            </w:r>
          </w:p>
        </w:tc>
        <w:tc>
          <w:tcPr>
            <w:tcW w:type="dxa" w:w="20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
            </w:r>
          </w:p>
        </w:tc>
        <w:tc>
          <w:tcPr>
            <w:tcW w:type="dxa" w:w="16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11,321,623</w:t>
            </w:r>
          </w:p>
        </w:tc>
        <w:tc>
          <w:tcPr>
            <w:tcW w:type="dxa" w:w="16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11,321,623</w:t>
            </w:r>
          </w:p>
        </w:tc>
        <w:tc>
          <w:tcPr>
            <w:tcW w:type="dxa" w:w="14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right"/>
            </w:pPr>
            <w:r>
              <w:rPr>
                <w:rFonts w:ascii="Arial" w:eastAsia="Microsoft YaHei"/>
                <w:b w:val="false"/>
                <w:bCs w:val="false"/>
                <w:color w:val="000000"/>
                <w:sz w:val="20"/>
                <w:szCs w:val="20"/>
              </w:rPr>
              <w:t xml:space="preserve">0</w:t>
            </w:r>
          </w:p>
        </w:tc>
        <w:tc>
          <w:tcPr>
            <w:tcW w:type="dxa" w:w="8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center"/>
            </w:pPr>
            <w:r>
              <w:rPr>
                <w:rFonts w:ascii="Arial" w:eastAsia="Microsoft YaHei"/>
                <w:b w:val="false"/>
                <w:bCs w:val="false"/>
                <w:color w:val="000000"/>
                <w:sz w:val="20"/>
                <w:szCs w:val="20"/>
              </w:rPr>
              <w:t xml:space="preserve">-</w:t>
            </w:r>
          </w:p>
        </w:tc>
      </w:tr>
      <w:tr>
        <w:trPr>
          <w:cantSplit/>
        </w:trPr>
        <w:tc>
          <w:tcPr>
            <w:tcW w:type="dxa" w:w="6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center"/>
            </w:pPr>
            <w:r>
              <w:rPr>
                <w:rFonts w:ascii="Arial" w:eastAsia="Microsoft YaHei"/>
                <w:b/>
                <w:bCs/>
                <w:color w:val="000000"/>
                <w:sz w:val="20"/>
                <w:szCs w:val="20"/>
              </w:rPr>
              <w:t xml:space="preserve">13</w:t>
            </w:r>
          </w:p>
        </w:tc>
        <w:tc>
          <w:tcPr>
            <w:tcW w:type="dxa" w:w="12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left"/>
            </w:pPr>
            <w:r>
              <w:rPr>
                <w:rFonts w:ascii="Arial" w:eastAsia="Microsoft YaHei"/>
                <w:b/>
                <w:bCs/>
                <w:color w:val="000000"/>
                <w:sz w:val="20"/>
                <w:szCs w:val="20"/>
              </w:rPr>
              <w:t xml:space="preserve">合同金额（已含安全生产费）</w:t>
            </w:r>
          </w:p>
        </w:tc>
        <w:tc>
          <w:tcPr>
            <w:tcW w:type="dxa" w:w="20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center"/>
            </w:pPr>
            <w:r>
              <w:rPr>
                <w:rFonts w:ascii="Arial" w:eastAsia="Microsoft YaHei"/>
                <w:b/>
                <w:bCs/>
                <w:color w:val="000000"/>
                <w:sz w:val="20"/>
                <w:szCs w:val="20"/>
              </w:rPr>
              <w:t xml:space="preserve"/>
            </w:r>
          </w:p>
        </w:tc>
        <w:tc>
          <w:tcPr>
            <w:tcW w:type="dxa" w:w="16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right"/>
            </w:pPr>
            <w:r>
              <w:rPr>
                <w:rFonts w:ascii="Arial" w:eastAsia="Microsoft YaHei"/>
                <w:b/>
                <w:bCs/>
                <w:color w:val="000000"/>
                <w:sz w:val="20"/>
                <w:szCs w:val="20"/>
              </w:rPr>
              <w:t xml:space="preserve">427,710,959</w:t>
            </w:r>
          </w:p>
        </w:tc>
        <w:tc>
          <w:tcPr>
            <w:tcW w:type="dxa" w:w="16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right"/>
            </w:pPr>
            <w:r>
              <w:rPr>
                <w:rFonts w:ascii="Arial" w:eastAsia="Microsoft YaHei"/>
                <w:b/>
                <w:bCs/>
                <w:color w:val="000000"/>
                <w:sz w:val="20"/>
                <w:szCs w:val="20"/>
              </w:rPr>
              <w:t xml:space="preserve">425,973,590</w:t>
            </w:r>
          </w:p>
        </w:tc>
        <w:tc>
          <w:tcPr>
            <w:tcW w:type="dxa" w:w="14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right"/>
            </w:pPr>
            <w:r>
              <w:rPr>
                <w:rFonts w:ascii="Arial" w:eastAsia="Microsoft YaHei"/>
                <w:b/>
                <w:bCs/>
                <w:color w:val="C00000"/>
                <w:sz w:val="20"/>
                <w:szCs w:val="20"/>
              </w:rPr>
              <w:t xml:space="preserve">-1,737,369</w:t>
            </w:r>
          </w:p>
        </w:tc>
        <w:tc>
          <w:tcPr>
            <w:tcW w:type="dxa" w:w="800"/>
            <w:tcBorders>
              <w:top w:val="single" w:color="999999" w:sz="1"/>
              <w:left w:val="single" w:color="999999" w:sz="1"/>
              <w:bottom w:val="single" w:color="999999" w:sz="1"/>
              <w:right w:val="single" w:color="999999" w:sz="1"/>
            </w:tcBorders>
            <w:shd w:fill="FFF2CC" w:val="clear"/>
            <w:tcMar>
              <w:top w:type="dxa" w:w="80"/>
              <w:left w:type="dxa" w:w="100"/>
              <w:bottom w:type="dxa" w:w="80"/>
              <w:right w:type="dxa" w:w="100"/>
            </w:tcMar>
            <w:vAlign w:val="center"/>
          </w:tcPr>
          <w:p>
            <w:pPr>
              <w:jc w:val="center"/>
            </w:pPr>
            <w:r>
              <w:rPr>
                <w:rFonts w:ascii="Arial" w:eastAsia="Microsoft YaHei"/>
                <w:b/>
                <w:bCs/>
                <w:color w:val="000000"/>
                <w:sz w:val="20"/>
                <w:szCs w:val="20"/>
              </w:rPr>
              <w:t xml:space="preserve">核减</w:t>
            </w:r>
          </w:p>
        </w:tc>
      </w:tr>
    </w:tbl>
    <w:p>
      <w:pPr>
        <w:spacing w:after="120" w:before="120"/>
      </w:pPr>
    </w:p>
    <w:p>
      <w:pPr>
        <w:spacing w:after="60" w:before="60" w:line="360"/>
        <w:ind w:firstLine="480"/>
      </w:pPr>
      <w:r>
        <w:rPr>
          <w:rFonts w:ascii="Arial" w:eastAsia="Microsoft YaHei"/>
          <w:color w:val="333333"/>
          <w:sz w:val="22"/>
          <w:szCs w:val="22"/>
        </w:rPr>
        <w:t xml:space="preserve">注：合同金额含暂列金额1,132.16万元，原合同总金额42,771.10万元，修编后总金额42,597.36万元，核减173.74万元。</w:t>
      </w:r>
    </w:p>
    <w:p>
      <w:pPr>
        <w:pStyle w:val="Heading1"/>
        <w:spacing w:after="180" w:before="360"/>
      </w:pPr>
      <w:r>
        <w:rPr>
          <w:rFonts w:ascii="Arial" w:eastAsia="Microsoft YaHei"/>
          <w:b/>
          <w:bCs/>
          <w:color w:val="1F4E79"/>
          <w:sz w:val="28"/>
          <w:szCs w:val="28"/>
        </w:rPr>
        <w:t xml:space="preserve">五、差异性分析</w:t>
      </w:r>
    </w:p>
    <w:p>
      <w:pPr>
        <w:pStyle w:val="Heading2"/>
        <w:spacing w:after="120" w:before="240"/>
      </w:pPr>
      <w:r>
        <w:rPr>
          <w:rFonts w:ascii="Arial" w:eastAsia="Microsoft YaHei"/>
          <w:b/>
          <w:bCs/>
          <w:color w:val="2E75B6"/>
          <w:sz w:val="24"/>
          <w:szCs w:val="24"/>
        </w:rPr>
        <w:t xml:space="preserve">（一）200章 路基工程</w:t>
      </w:r>
    </w:p>
    <w:p>
      <w:pPr>
        <w:spacing w:after="60" w:before="60" w:line="360"/>
        <w:ind w:firstLine="480"/>
      </w:pPr>
      <w:r>
        <w:rPr>
          <w:rFonts w:ascii="Arial" w:eastAsia="Microsoft YaHei"/>
          <w:color w:val="333333"/>
          <w:sz w:val="22"/>
          <w:szCs w:val="22"/>
        </w:rPr>
        <w:t xml:space="preserve">路基工程原合同价8,622.90万元，修编后8,468.53万元，核减154.37万元。主要变更如下：</w:t>
      </w:r>
    </w:p>
    <w:p>
      <w:pPr>
        <w:spacing w:after="100" w:before="100"/>
      </w:pP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1200"/>
        <w:gridCol w:w="1200"/>
        <w:gridCol w:w="1200"/>
        <w:gridCol w:w="1200"/>
        <w:gridCol w:w="3400"/>
      </w:tblGrid>
      <w:tr>
        <w:trPr>
          <w:cantSplit/>
        </w:trPr>
        <w:tc>
          <w:tcPr>
            <w:tcW w:type="dxa" w:w="1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清单子目号</w:t>
            </w:r>
          </w:p>
        </w:tc>
        <w:tc>
          <w:tcPr>
            <w:tcW w:type="dxa" w:w="2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子目名称</w:t>
            </w:r>
          </w:p>
        </w:tc>
        <w:tc>
          <w:tcPr>
            <w:tcW w:type="dxa" w:w="6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单位</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原数量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修编后数量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增减金额(元)</w:t>
            </w:r>
          </w:p>
        </w:tc>
        <w:tc>
          <w:tcPr>
            <w:tcW w:type="dxa" w:w="3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变更原因</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203-1-2-2-1</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挖利用石方（爆破开挖）</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185,727.520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268,812.986</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+83,085.466</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+1,771,382</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核增：石方利用量增加，根据土石方调配优化调整</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203-1-2-1-1</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挖弃石方（爆破开挖）</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307,708.200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254,573.744</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-53,134.456</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-1,186,492</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核减：弃方量扣减石渣利用部分</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207-7-6-4</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φ150-200mm塑料硬式透水管</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15,000.000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7,680.000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-7,320.000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-718,663</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核减：根据设计变更调整排水工程数量</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203-1-2-2-2</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挖利用石方（机械凿岩）</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17,491.000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29,835.777</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+12,344.777</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+662,174</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核增：机械凿岩利用方数量调整</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203-1-2-1-2</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挖弃石方（机械凿岩）</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44,128.600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34,754.997</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-9,373.603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-472,711</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核减：机械凿岩弃方量调整</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208-1-7-3</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客土8-10cm厚</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m2</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74,984.000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61,833.000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-13,151.000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-450,927</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核减：挖方边坡防护工程量调整</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207-4-1</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碎石料盲（渗）沟</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7,830.000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6,222.000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-1,608.000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-420,329</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核减：根据咨询意见核减盲沟等与断面方重叠部分工程量</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205-1-25</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补强压实</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m2</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88,479.000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74,898.000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-13,581.000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-403,522</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核减：特殊路基处理工程量调整</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207-7-6-6</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φ250-300mm塑料硬式透水管</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7,286.000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4,956.000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-2,330.000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-325,903</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核减：排水工程透水管数量调整</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207-1-5-2-2</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C25混凝土</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6,438.500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6,015.600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-422.900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-289,180</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核减：挡土墙混凝土工程量调整</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204-1-2</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利用石方</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220,891.000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249,526.921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+28,635.921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+204,746</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核增：石方填筑利用量增加</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204-1-1</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利用土方</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508,603.800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475,621.125</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-32,982.675</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-202,184</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核减：土方填筑利用量减少</w:t>
            </w:r>
          </w:p>
        </w:tc>
      </w:tr>
    </w:tbl>
    <w:p>
      <w:pPr>
        <w:spacing w:after="100" w:before="100"/>
      </w:pPr>
    </w:p>
    <w:p>
      <w:pPr>
        <w:spacing w:after="60" w:before="60" w:line="360"/>
        <w:ind w:firstLine="480"/>
      </w:pPr>
      <w:r>
        <w:rPr>
          <w:rFonts w:ascii="Arial" w:eastAsia="Microsoft YaHei"/>
          <w:color w:val="333333"/>
          <w:sz w:val="22"/>
          <w:szCs w:val="22"/>
        </w:rPr>
        <w:t xml:space="preserve">变更原因说明：</w:t>
      </w:r>
    </w:p>
    <w:p>
      <w:pPr>
        <w:spacing w:after="60" w:before="60" w:line="360"/>
        <w:ind w:firstLine="480"/>
      </w:pPr>
      <w:r>
        <w:rPr>
          <w:rFonts w:ascii="Arial" w:eastAsia="Microsoft YaHei"/>
          <w:color w:val="333333"/>
          <w:sz w:val="22"/>
          <w:szCs w:val="22"/>
        </w:rPr>
        <w:t xml:space="preserve">1、土石方调配优化：根据路基土石方数量计算表重新核算，调整挖利用石方、挖弃石方及利用方填筑数量，弃方核减、利用方核增；</w:t>
      </w:r>
    </w:p>
    <w:p>
      <w:pPr>
        <w:spacing w:after="60" w:before="60" w:line="360"/>
        <w:ind w:firstLine="480"/>
      </w:pPr>
      <w:r>
        <w:rPr>
          <w:rFonts w:ascii="Arial" w:eastAsia="Microsoft YaHei"/>
          <w:color w:val="333333"/>
          <w:sz w:val="22"/>
          <w:szCs w:val="22"/>
        </w:rPr>
        <w:t xml:space="preserve">2、排水工程调整：根据设计服务函（PW-2026-TJ4-003），路堑专业设计工程量核查后调整塑料硬式透水管等排水设施数量；</w:t>
      </w:r>
    </w:p>
    <w:p>
      <w:pPr>
        <w:spacing w:after="60" w:before="60" w:line="360"/>
        <w:ind w:firstLine="480"/>
      </w:pPr>
      <w:r>
        <w:rPr>
          <w:rFonts w:ascii="Arial" w:eastAsia="Microsoft YaHei"/>
          <w:color w:val="333333"/>
          <w:sz w:val="22"/>
          <w:szCs w:val="22"/>
        </w:rPr>
        <w:t xml:space="preserve">3、边坡防护调整：根据勘误回复意见，挂网客土喷播等防护工程量核实调整；</w:t>
      </w:r>
    </w:p>
    <w:p>
      <w:pPr>
        <w:spacing w:after="60" w:before="60" w:line="360"/>
        <w:ind w:firstLine="480"/>
      </w:pPr>
      <w:r>
        <w:rPr>
          <w:rFonts w:ascii="Arial" w:eastAsia="Microsoft YaHei"/>
          <w:color w:val="333333"/>
          <w:sz w:val="22"/>
          <w:szCs w:val="22"/>
        </w:rPr>
        <w:t xml:space="preserve">4、特殊路基处理：根据咨询意见核减盲沟等与断面方重叠部分工程量；</w:t>
      </w:r>
    </w:p>
    <w:p>
      <w:pPr>
        <w:spacing w:after="60" w:before="60" w:line="360"/>
        <w:ind w:firstLine="480"/>
      </w:pPr>
      <w:r>
        <w:rPr>
          <w:rFonts w:ascii="Arial" w:eastAsia="Microsoft YaHei"/>
          <w:color w:val="333333"/>
          <w:sz w:val="22"/>
          <w:szCs w:val="22"/>
        </w:rPr>
        <w:t xml:space="preserve">5、挡土墙工程：修改护脚墙挖基、回填工程量公式后调整混凝土数量。</w:t>
      </w:r>
    </w:p>
    <w:p>
      <w:pPr>
        <w:pStyle w:val="Heading2"/>
        <w:spacing w:after="120" w:before="240"/>
      </w:pPr>
      <w:r>
        <w:rPr>
          <w:rFonts w:ascii="Arial" w:eastAsia="Microsoft YaHei"/>
          <w:b/>
          <w:bCs/>
          <w:color w:val="2E75B6"/>
          <w:sz w:val="24"/>
          <w:szCs w:val="24"/>
        </w:rPr>
        <w:t xml:space="preserve">（二）300章 路面工程</w:t>
      </w:r>
    </w:p>
    <w:p>
      <w:pPr>
        <w:spacing w:after="60" w:before="60" w:line="360"/>
        <w:ind w:firstLine="480"/>
      </w:pPr>
      <w:r>
        <w:rPr>
          <w:rFonts w:ascii="Arial" w:eastAsia="Microsoft YaHei"/>
          <w:color w:val="333333"/>
          <w:sz w:val="22"/>
          <w:szCs w:val="22"/>
        </w:rPr>
        <w:t xml:space="preserve">路面工程原合同价98.23万元，修编后95.82万元，核减2.41万元。主要变更为碎石垫层工程量调整，根据设计服务函相关意见调整路面垫层数量。</w:t>
      </w:r>
    </w:p>
    <w:p>
      <w:pPr>
        <w:spacing w:after="100" w:before="100"/>
      </w:pP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1200"/>
        <w:gridCol w:w="1200"/>
        <w:gridCol w:w="1200"/>
        <w:gridCol w:w="1200"/>
        <w:gridCol w:w="3400"/>
      </w:tblGrid>
      <w:tr>
        <w:trPr>
          <w:cantSplit/>
        </w:trPr>
        <w:tc>
          <w:tcPr>
            <w:tcW w:type="dxa" w:w="1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清单子目号</w:t>
            </w:r>
          </w:p>
        </w:tc>
        <w:tc>
          <w:tcPr>
            <w:tcW w:type="dxa" w:w="2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子目名称</w:t>
            </w:r>
          </w:p>
        </w:tc>
        <w:tc>
          <w:tcPr>
            <w:tcW w:type="dxa" w:w="6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单位</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原数量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修编后数量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增减金额(元)</w:t>
            </w:r>
          </w:p>
        </w:tc>
        <w:tc>
          <w:tcPr>
            <w:tcW w:type="dxa" w:w="3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变更原因</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302-1-2-1-2</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碎石垫层（利用废（旧）材料加工碎石）</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2,723.000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2,334.000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-389.000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-24,090</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核减：路面垫层工程量调整</w:t>
            </w:r>
          </w:p>
        </w:tc>
      </w:tr>
    </w:tbl>
    <w:p>
      <w:pPr>
        <w:pStyle w:val="Heading2"/>
        <w:spacing w:after="120" w:before="240"/>
      </w:pPr>
      <w:r>
        <w:rPr>
          <w:rFonts w:ascii="Arial" w:eastAsia="Microsoft YaHei"/>
          <w:b/>
          <w:bCs/>
          <w:color w:val="2E75B6"/>
          <w:sz w:val="24"/>
          <w:szCs w:val="24"/>
        </w:rPr>
        <w:t xml:space="preserve">（三）400章 桥梁、涵洞工程</w:t>
      </w:r>
    </w:p>
    <w:p>
      <w:pPr>
        <w:spacing w:after="60" w:before="60" w:line="360"/>
        <w:ind w:firstLine="480"/>
      </w:pPr>
      <w:r>
        <w:rPr>
          <w:rFonts w:ascii="Arial" w:eastAsia="Microsoft YaHei"/>
          <w:color w:val="333333"/>
          <w:sz w:val="22"/>
          <w:szCs w:val="22"/>
        </w:rPr>
        <w:t xml:space="preserve">桥梁涵洞工程原合同价28,745.32万元，修编后28,720.80万元，核减24.53万元。主要变更涉及多座桥梁的结构工程数量调整，具体如下：</w:t>
      </w:r>
    </w:p>
    <w:p>
      <w:pPr>
        <w:spacing w:after="100" w:before="100"/>
      </w:pP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1200"/>
        <w:gridCol w:w="1200"/>
        <w:gridCol w:w="1200"/>
        <w:gridCol w:w="1200"/>
        <w:gridCol w:w="3400"/>
      </w:tblGrid>
      <w:tr>
        <w:trPr>
          <w:cantSplit/>
        </w:trPr>
        <w:tc>
          <w:tcPr>
            <w:tcW w:type="dxa" w:w="1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清单子目号</w:t>
            </w:r>
          </w:p>
        </w:tc>
        <w:tc>
          <w:tcPr>
            <w:tcW w:type="dxa" w:w="2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子目名称</w:t>
            </w:r>
          </w:p>
        </w:tc>
        <w:tc>
          <w:tcPr>
            <w:tcW w:type="dxa" w:w="6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单位</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原数量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修编后数量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增减金额(元)</w:t>
            </w:r>
          </w:p>
        </w:tc>
        <w:tc>
          <w:tcPr>
            <w:tcW w:type="dxa" w:w="3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变更原因</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410-3-1-5</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C50混凝土</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4,213.400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5,093.900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+880.500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+281,463</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核增：现浇混凝土上部结构工程量调整</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416-1-2-15</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GBZJ600×600×130(CR)型矩形板式橡胶支座</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个</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240.000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120.000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-120.000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-236,094</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核减：桥梁支座数量调整</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403-2-2</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带肋钢筋</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kg</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5,288,451.000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5,261,251.000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-27,200.000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-145,581</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核减：下部结构钢筋数量调整</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410-5-1-1</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C20混凝土</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583.000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680.400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+97.400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+90,251</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核增：附属结构混凝土调整</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403-1-2</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带肋钢筋</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kg</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2,729,668.000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2,719,460.000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-10,208.000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-54,002</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核减：基础钢筋数量调整</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411-1-5</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后张法预应力钢绞线</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kg</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1,687,605.300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1,683,255.300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C00000"/>
                <w:sz w:val="18"/>
                <w:szCs w:val="18"/>
              </w:rPr>
              <w:t xml:space="preserve">-4,350.000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-29,269</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核减：预应力钢绞线数量调整</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410-2-1-2</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C35混凝土</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31,272.200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31,343.200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+71.000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+26,412</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核增：下部结构混凝土工程量调整</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418-1-2-4</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直径φ150-200mmPVC-U管</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7,707.000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8,992.000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+1,285.000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+24,661</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核增：桥梁防排水系统数量调整</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417-2-1</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伸缩量80mm以内</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760.200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886.900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+126.700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-13,274</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伸缩缝数量根据更新后通用图调整</w:t>
            </w:r>
          </w:p>
        </w:tc>
      </w:tr>
      <w:tr>
        <w:trPr>
          <w:cantSplit/>
        </w:trPr>
        <w:tc>
          <w:tcPr>
            <w:tcW w:type="dxa" w:w="1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403-3-2</w:t>
            </w:r>
          </w:p>
        </w:tc>
        <w:tc>
          <w:tcPr>
            <w:tcW w:type="dxa" w:w="2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带肋钢筋</w:t>
            </w:r>
          </w:p>
        </w:tc>
        <w:tc>
          <w:tcPr>
            <w:tcW w:type="dxa" w:w="6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kg</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8,925,776.000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8,937,776.000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+12,000.000</w:t>
            </w:r>
          </w:p>
        </w:tc>
        <w:tc>
          <w:tcPr>
            <w:tcW w:type="dxa" w:w="12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+17,637</w:t>
            </w:r>
          </w:p>
        </w:tc>
        <w:tc>
          <w:tcPr>
            <w:tcW w:type="dxa" w:w="3400"/>
            <w:tcBorders>
              <w:top w:val="single" w:color="999999" w:sz="1"/>
              <w:left w:val="single" w:color="999999" w:sz="1"/>
              <w:bottom w:val="single" w:color="999999" w:sz="1"/>
              <w:right w:val="single" w:color="999999" w:sz="1"/>
            </w:tcBorders>
            <w:shd w:fill="F5F8FA"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核增：上部结构钢筋数量调整</w:t>
            </w:r>
          </w:p>
        </w:tc>
      </w:tr>
    </w:tbl>
    <w:p>
      <w:pPr>
        <w:spacing w:after="100" w:before="100"/>
      </w:pPr>
    </w:p>
    <w:p>
      <w:pPr>
        <w:spacing w:after="60" w:before="60" w:line="360"/>
        <w:ind w:firstLine="480"/>
      </w:pPr>
      <w:r>
        <w:rPr>
          <w:rFonts w:ascii="Arial" w:eastAsia="Microsoft YaHei"/>
          <w:color w:val="333333"/>
          <w:sz w:val="22"/>
          <w:szCs w:val="22"/>
        </w:rPr>
        <w:t xml:space="preserve">变更原因说明：</w:t>
      </w:r>
    </w:p>
    <w:p>
      <w:pPr>
        <w:spacing w:after="60" w:before="60" w:line="360"/>
        <w:ind w:firstLine="480"/>
      </w:pPr>
      <w:r>
        <w:rPr>
          <w:rFonts w:ascii="Arial" w:eastAsia="Microsoft YaHei"/>
          <w:color w:val="333333"/>
          <w:sz w:val="22"/>
          <w:szCs w:val="22"/>
        </w:rPr>
        <w:t xml:space="preserve">1、方柱墩墩身钢筋数量更新：根据设计服务函（PW-2026-TJ4-008），阳济大桥、正化1号大桥、正化2号大桥、坡子岭2号大桥、乳子石大桥等方柱墩2、3号钢筋根数及长度修正，C12、C16钢筋核减，C28钢筋核增；</w:t>
      </w:r>
    </w:p>
    <w:p>
      <w:pPr>
        <w:spacing w:after="60" w:before="60" w:line="360"/>
        <w:ind w:firstLine="480"/>
      </w:pPr>
      <w:r>
        <w:rPr>
          <w:rFonts w:ascii="Arial" w:eastAsia="Microsoft YaHei"/>
          <w:color w:val="333333"/>
          <w:sz w:val="22"/>
          <w:szCs w:val="22"/>
        </w:rPr>
        <w:t xml:space="preserve">2、40m连续T梁数量更新：根据更新后通用图，40mT梁预制部分钢筋、定位钢筋、锚具、钢绞线等数量调整，涉及正化1号大桥、坡子岭1号大桥（非标T梁）、坡子岭2号大桥等；</w:t>
      </w:r>
    </w:p>
    <w:p>
      <w:pPr>
        <w:spacing w:after="60" w:before="60" w:line="360"/>
        <w:ind w:firstLine="480"/>
      </w:pPr>
      <w:r>
        <w:rPr>
          <w:rFonts w:ascii="Arial" w:eastAsia="Microsoft YaHei"/>
          <w:color w:val="333333"/>
          <w:sz w:val="22"/>
          <w:szCs w:val="22"/>
        </w:rPr>
        <w:t xml:space="preserve">3、预应力盖梁锚下及封锚钢筋数量更新：N3钢筋数量修正，核减部分钢筋数量；</w:t>
      </w:r>
    </w:p>
    <w:p>
      <w:pPr>
        <w:spacing w:after="60" w:before="60" w:line="360"/>
        <w:ind w:firstLine="480"/>
      </w:pPr>
      <w:r>
        <w:rPr>
          <w:rFonts w:ascii="Arial" w:eastAsia="Microsoft YaHei"/>
          <w:color w:val="333333"/>
          <w:sz w:val="22"/>
          <w:szCs w:val="22"/>
        </w:rPr>
        <w:t xml:space="preserve">4、桥梁支座数量调整：矩形板式橡胶支座数量核实后核减；</w:t>
      </w:r>
    </w:p>
    <w:p>
      <w:pPr>
        <w:spacing w:after="60" w:before="60" w:line="360"/>
        <w:ind w:firstLine="480"/>
      </w:pPr>
      <w:r>
        <w:rPr>
          <w:rFonts w:ascii="Arial" w:eastAsia="Microsoft YaHei"/>
          <w:color w:val="333333"/>
          <w:sz w:val="22"/>
          <w:szCs w:val="22"/>
        </w:rPr>
        <w:t xml:space="preserve">5、防排水系统调整：桥面泄水管数量根据设计服务函更新，部分桥梁泄水管数量核增，部分核减；</w:t>
      </w:r>
    </w:p>
    <w:p>
      <w:pPr>
        <w:spacing w:after="60" w:before="60" w:line="360"/>
        <w:ind w:firstLine="480"/>
      </w:pPr>
      <w:r>
        <w:rPr>
          <w:rFonts w:ascii="Arial" w:eastAsia="Microsoft YaHei"/>
          <w:color w:val="333333"/>
          <w:sz w:val="22"/>
          <w:szCs w:val="22"/>
        </w:rPr>
        <w:t xml:space="preserve">6、伸缩缝数量更新：根据更新后通用图调整伸缩缝预埋钢筋及钢板数量；</w:t>
      </w:r>
    </w:p>
    <w:p>
      <w:pPr>
        <w:spacing w:after="60" w:before="60" w:line="360"/>
        <w:ind w:firstLine="480"/>
      </w:pPr>
      <w:r>
        <w:rPr>
          <w:rFonts w:ascii="Arial" w:eastAsia="Microsoft YaHei"/>
          <w:color w:val="333333"/>
          <w:sz w:val="22"/>
          <w:szCs w:val="22"/>
        </w:rPr>
        <w:t xml:space="preserve">7、桥台挡土块数量更新：挡土块N4钢筋根数修改（16根修改为18根），数量核增；</w:t>
      </w:r>
    </w:p>
    <w:p>
      <w:pPr>
        <w:spacing w:after="60" w:before="60" w:line="360"/>
        <w:ind w:firstLine="480"/>
      </w:pPr>
      <w:r>
        <w:rPr>
          <w:rFonts w:ascii="Arial" w:eastAsia="Microsoft YaHei"/>
          <w:color w:val="333333"/>
          <w:sz w:val="22"/>
          <w:szCs w:val="22"/>
        </w:rPr>
        <w:t xml:space="preserve">8、调平块及加高块钢筋修正：根据勘误回复意见修正调平块和加高块钢筋数量。</w:t>
      </w:r>
    </w:p>
    <w:p>
      <w:pPr>
        <w:pStyle w:val="Heading2"/>
        <w:spacing w:after="120" w:before="240"/>
      </w:pPr>
      <w:r>
        <w:rPr>
          <w:rFonts w:ascii="Arial" w:eastAsia="Microsoft YaHei"/>
          <w:b/>
          <w:bCs/>
          <w:color w:val="2E75B6"/>
          <w:sz w:val="24"/>
          <w:szCs w:val="24"/>
        </w:rPr>
        <w:t xml:space="preserve">（四）600章 交通安全设施</w:t>
      </w:r>
    </w:p>
    <w:p>
      <w:pPr>
        <w:spacing w:after="60" w:before="60" w:line="360"/>
        <w:ind w:firstLine="480"/>
      </w:pPr>
      <w:r>
        <w:rPr>
          <w:rFonts w:ascii="Arial" w:eastAsia="Microsoft YaHei"/>
          <w:color w:val="333333"/>
          <w:sz w:val="22"/>
          <w:szCs w:val="22"/>
        </w:rPr>
        <w:t xml:space="preserve">交通安全设施原合同价271.83万元，修编后256.60万元，核减15.24万元。主要为护栏混凝土工程量调整，涉及SS级墙式护栏等构造的修正。</w:t>
      </w:r>
    </w:p>
    <w:p>
      <w:pPr>
        <w:spacing w:after="100" w:before="100"/>
      </w:pP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1200"/>
        <w:gridCol w:w="1200"/>
        <w:gridCol w:w="1200"/>
        <w:gridCol w:w="1200"/>
        <w:gridCol w:w="3400"/>
      </w:tblGrid>
      <w:tr>
        <w:trPr>
          <w:cantSplit/>
        </w:trPr>
        <w:tc>
          <w:tcPr>
            <w:tcW w:type="dxa" w:w="1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清单子目号</w:t>
            </w:r>
          </w:p>
        </w:tc>
        <w:tc>
          <w:tcPr>
            <w:tcW w:type="dxa" w:w="2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子目名称</w:t>
            </w:r>
          </w:p>
        </w:tc>
        <w:tc>
          <w:tcPr>
            <w:tcW w:type="dxa" w:w="6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单位</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原数量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修编后数量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增减金额(元)</w:t>
            </w:r>
          </w:p>
        </w:tc>
        <w:tc>
          <w:tcPr>
            <w:tcW w:type="dxa" w:w="3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变更原因</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602-1-4</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C30现浇混凝土</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1,239.300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1,402.260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+162.960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-152,209</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核减：护栏混凝土工程量调整</w:t>
            </w:r>
          </w:p>
        </w:tc>
      </w:tr>
    </w:tbl>
    <w:p>
      <w:pPr>
        <w:pStyle w:val="Heading2"/>
        <w:spacing w:after="120" w:before="240"/>
      </w:pPr>
      <w:r>
        <w:rPr>
          <w:rFonts w:ascii="Arial" w:eastAsia="Microsoft YaHei"/>
          <w:b/>
          <w:bCs/>
          <w:color w:val="2E75B6"/>
          <w:sz w:val="24"/>
          <w:szCs w:val="24"/>
        </w:rPr>
        <w:t xml:space="preserve">（五）1000章 交通组织维护</w:t>
      </w:r>
    </w:p>
    <w:p>
      <w:pPr>
        <w:spacing w:after="60" w:before="60" w:line="360"/>
        <w:ind w:firstLine="480"/>
      </w:pPr>
      <w:r>
        <w:rPr>
          <w:rFonts w:ascii="Arial" w:eastAsia="Microsoft YaHei"/>
          <w:color w:val="333333"/>
          <w:sz w:val="22"/>
          <w:szCs w:val="22"/>
        </w:rPr>
        <w:t xml:space="preserve">交通组织维护原合同价17.32万元，修编后40.12万元，核增22.80万元。主要为新增钢管支架防护棚，新增单价采用2标和3标的算术平均值确定。</w:t>
      </w:r>
    </w:p>
    <w:p>
      <w:pPr>
        <w:spacing w:after="100" w:before="100"/>
      </w:pP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1200"/>
        <w:gridCol w:w="1200"/>
        <w:gridCol w:w="1200"/>
        <w:gridCol w:w="1200"/>
        <w:gridCol w:w="3400"/>
      </w:tblGrid>
      <w:tr>
        <w:trPr>
          <w:cantSplit/>
        </w:trPr>
        <w:tc>
          <w:tcPr>
            <w:tcW w:type="dxa" w:w="1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清单子目号</w:t>
            </w:r>
          </w:p>
        </w:tc>
        <w:tc>
          <w:tcPr>
            <w:tcW w:type="dxa" w:w="2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子目名称</w:t>
            </w:r>
          </w:p>
        </w:tc>
        <w:tc>
          <w:tcPr>
            <w:tcW w:type="dxa" w:w="6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单位</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原数量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修编后数量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增减数量</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增减金额(元)</w:t>
            </w:r>
          </w:p>
        </w:tc>
        <w:tc>
          <w:tcPr>
            <w:tcW w:type="dxa" w:w="3400"/>
            <w:tcBorders>
              <w:top w:val="single" w:color="999999" w:sz="1"/>
              <w:left w:val="single" w:color="999999" w:sz="1"/>
              <w:bottom w:val="single" w:color="999999" w:sz="1"/>
              <w:right w:val="single" w:color="999999" w:sz="1"/>
            </w:tcBorders>
            <w:shd w:fill="1F4E79" w:val="clear"/>
            <w:tcMar>
              <w:top w:type="dxa" w:w="100"/>
              <w:left w:type="dxa" w:w="120"/>
              <w:bottom w:type="dxa" w:w="100"/>
              <w:right w:type="dxa" w:w="120"/>
            </w:tcMar>
            <w:vAlign w:val="center"/>
          </w:tcPr>
          <w:p>
            <w:pPr>
              <w:jc w:val="center"/>
            </w:pPr>
            <w:r>
              <w:rPr>
                <w:rFonts w:ascii="Arial" w:eastAsia="Microsoft YaHei"/>
                <w:b/>
                <w:bCs/>
                <w:color w:val="FFFFFF"/>
                <w:sz w:val="20"/>
                <w:szCs w:val="20"/>
              </w:rPr>
              <w:t xml:space="preserve">变更原因</w:t>
            </w:r>
          </w:p>
        </w:tc>
      </w:tr>
      <w:tr>
        <w:trPr>
          <w:cantSplit/>
        </w:trPr>
        <w:tc>
          <w:tcPr>
            <w:tcW w:type="dxa" w:w="1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1001-2-3-4-1</w:t>
            </w:r>
          </w:p>
        </w:tc>
        <w:tc>
          <w:tcPr>
            <w:tcW w:type="dxa" w:w="2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钢管支架防护棚</w:t>
            </w:r>
          </w:p>
        </w:tc>
        <w:tc>
          <w:tcPr>
            <w:tcW w:type="dxa" w:w="6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center"/>
            </w:pPr>
            <w:r>
              <w:rPr>
                <w:rFonts w:ascii="Arial" w:eastAsia="Microsoft YaHei"/>
                <w:b w:val="false"/>
                <w:bCs w:val="false"/>
                <w:color w:val="000000"/>
                <w:sz w:val="18"/>
                <w:szCs w:val="18"/>
              </w:rPr>
              <w:t xml:space="preserve">m2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0000"/>
                <w:sz w:val="18"/>
                <w:szCs w:val="18"/>
              </w:rPr>
              <w:t xml:space="preserve">585.000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+585.000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right"/>
            </w:pPr>
            <w:r>
              <w:rPr>
                <w:rFonts w:ascii="Arial" w:eastAsia="Microsoft YaHei"/>
                <w:b w:val="false"/>
                <w:bCs w:val="false"/>
                <w:color w:val="00B050"/>
                <w:sz w:val="18"/>
                <w:szCs w:val="18"/>
              </w:rPr>
              <w:t xml:space="preserve">+228,015</w:t>
            </w:r>
          </w:p>
        </w:tc>
        <w:tc>
          <w:tcPr>
            <w:tcW w:type="dxa" w:w="34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vAlign w:val="center"/>
          </w:tcPr>
          <w:p>
            <w:pPr>
              <w:jc w:val="left"/>
            </w:pPr>
            <w:r>
              <w:rPr>
                <w:rFonts w:ascii="Arial" w:eastAsia="Microsoft YaHei"/>
                <w:b w:val="false"/>
                <w:bCs w:val="false"/>
                <w:color w:val="000000"/>
                <w:sz w:val="18"/>
                <w:szCs w:val="18"/>
              </w:rPr>
              <w:t xml:space="preserve">核增：新增钢管支架防护棚，采用2标和3标的算术平均值</w:t>
            </w:r>
          </w:p>
        </w:tc>
      </w:tr>
    </w:tbl>
    <w:p>
      <w:pPr>
        <w:pStyle w:val="Heading1"/>
        <w:spacing w:after="180" w:before="360"/>
      </w:pPr>
      <w:r>
        <w:rPr>
          <w:rFonts w:ascii="Arial" w:eastAsia="Microsoft YaHei"/>
          <w:b/>
          <w:bCs/>
          <w:color w:val="1F4E79"/>
          <w:sz w:val="28"/>
          <w:szCs w:val="28"/>
        </w:rPr>
        <w:t xml:space="preserve">六、其他说明</w:t>
      </w:r>
    </w:p>
    <w:p>
      <w:pPr>
        <w:spacing w:after="60" w:before="60" w:line="360"/>
        <w:ind w:firstLine="480"/>
      </w:pPr>
      <w:r>
        <w:rPr>
          <w:rFonts w:ascii="Arial" w:eastAsia="Microsoft YaHei"/>
          <w:color w:val="333333"/>
          <w:sz w:val="22"/>
          <w:szCs w:val="22"/>
        </w:rPr>
        <w:t xml:space="preserve">1、本修编报告基于设计单位出具的设计服务函（PW-2026-TJ4-003、PW-2026-TJ4-008）及工程量核查勘误回复文件编制；</w:t>
      </w:r>
    </w:p>
    <w:p>
      <w:pPr>
        <w:spacing w:after="60" w:before="60" w:line="360"/>
        <w:ind w:firstLine="480"/>
      </w:pPr>
      <w:r>
        <w:rPr>
          <w:rFonts w:ascii="Arial" w:eastAsia="Microsoft YaHei"/>
          <w:color w:val="333333"/>
          <w:sz w:val="22"/>
          <w:szCs w:val="22"/>
        </w:rPr>
        <w:t xml:space="preserve">2、新增单价项目按合同约定的变更估价原则确定，本次新增钢管支架防护棚单价参考相邻合同段单价平均值；</w:t>
      </w:r>
    </w:p>
    <w:p>
      <w:pPr>
        <w:spacing w:after="60" w:before="60" w:line="360"/>
        <w:ind w:firstLine="480"/>
      </w:pPr>
      <w:r>
        <w:rPr>
          <w:rFonts w:ascii="Arial" w:eastAsia="Microsoft YaHei"/>
          <w:color w:val="333333"/>
          <w:sz w:val="22"/>
          <w:szCs w:val="22"/>
        </w:rPr>
        <w:t xml:space="preserve">3、安全生产费按计量支付条款，随第100章至第1000章清单费用变化相应调整；</w:t>
      </w:r>
    </w:p>
    <w:p>
      <w:pPr>
        <w:spacing w:after="60" w:before="60" w:line="360"/>
        <w:ind w:firstLine="480"/>
      </w:pPr>
      <w:r>
        <w:rPr>
          <w:rFonts w:ascii="Arial" w:eastAsia="Microsoft YaHei"/>
          <w:color w:val="333333"/>
          <w:sz w:val="22"/>
          <w:szCs w:val="22"/>
        </w:rPr>
        <w:t xml:space="preserve">4、暂列金额按200章至900章合计价的3%计列，本次修编暂列金额保持不变；</w:t>
      </w:r>
    </w:p>
    <w:p>
      <w:pPr>
        <w:spacing w:after="60" w:before="60" w:line="360"/>
        <w:ind w:firstLine="480"/>
      </w:pPr>
      <w:r>
        <w:rPr>
          <w:rFonts w:ascii="Arial" w:eastAsia="Microsoft YaHei"/>
          <w:color w:val="333333"/>
          <w:sz w:val="22"/>
          <w:szCs w:val="22"/>
        </w:rPr>
        <w:t xml:space="preserve">5、以上修编数量及金额经施工单位、设计单位、业主单位三方确认，作为后续工程计量支付的依据。</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80" w:before="360"/>
      <w:outlineLvl w:val="0"/>
    </w:pPr>
    <w:rPr>
      <w:rFonts w:ascii="Arial" w:eastAsia="Microsoft YaHei" w:hAnsi="Arial"/>
      <w:b/>
      <w:bCs/>
      <w:color w:val="1F4E79"/>
      <w:sz w:val="28"/>
      <w:szCs w:val="28"/>
    </w:rPr>
  </w:style>
  <w:style w:type="paragraph" w:styleId="Heading2">
    <w:name w:val="Heading 2"/>
    <w:basedOn w:val="Normal"/>
    <w:next w:val="Normal"/>
    <w:qFormat/>
    <w:pPr>
      <w:keepNext w:val="false"/>
      <w:keepLines w:val="false"/>
      <w:spacing w:after="120" w:before="240"/>
      <w:outlineLvl w:val="1"/>
    </w:pPr>
    <w:rPr>
      <w:rFonts w:ascii="Arial" w:eastAsia="Microsoft YaHei" w:hAnsi="Arial"/>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2026-10-17T09:48:03.617Z</dcterms:created>
  <dcterms:modified xsi:type="dcterms:W3CDTF">2026-10-17T09:48:03.617Z</dcterms:modified>
</cp:coreProperties>
</file>

<file path=docProps/custom.xml><?xml version="1.0" encoding="utf-8"?>
<Properties xmlns="http://schemas.openxmlformats.org/officeDocument/2006/custom-properties" xmlns:vt="http://schemas.openxmlformats.org/officeDocument/2006/docPropsVTypes"/>
</file>