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eastAsia="宋体" w:cs="宋体"/>
          <w:b/>
          <w:sz w:val="52"/>
          <w:szCs w:val="52"/>
          <w:highlight w:val="none"/>
          <w:lang w:val="en-US" w:eastAsia="zh-CN"/>
        </w:rPr>
      </w:pPr>
      <w:r>
        <w:rPr>
          <w:rFonts w:eastAsia="宋体" w:cs="宋体" w:ascii="宋体" w:hAnsi="宋体"/>
          <w:b/>
          <w:sz w:val="52"/>
          <w:szCs w:val="52"/>
          <w:lang w:val="en-US" w:eastAsia="zh-CN"/>
        </w:rPr>
      </w:r>
    </w:p>
    <w:p>
      <w:pPr>
        <w:pStyle w:val="Normal"/>
        <w:jc w:val="center"/>
        <w:rPr>
          <w:rFonts w:ascii="宋体" w:hAnsi="宋体" w:eastAsia="宋体" w:cs="宋体"/>
          <w:b/>
          <w:sz w:val="52"/>
          <w:szCs w:val="52"/>
          <w:highlight w:val="none"/>
          <w:lang w:val="en-US" w:eastAsia="zh-CN"/>
        </w:rPr>
      </w:pPr>
      <w:r>
        <w:rPr>
          <w:rFonts w:ascii="宋体" w:hAnsi="宋体" w:cs="宋体"/>
          <w:b/>
          <w:sz w:val="52"/>
          <w:szCs w:val="52"/>
          <w:lang w:val="en-US" w:eastAsia="zh-CN"/>
        </w:rPr>
        <w:t>梅州平远至福建武平高速公路项目</w:t>
      </w:r>
    </w:p>
    <w:p>
      <w:pPr>
        <w:pStyle w:val="Normal"/>
        <w:jc w:val="center"/>
        <w:rPr>
          <w:rFonts w:ascii="黑体" w:hAnsi="黑体" w:eastAsia="黑体"/>
          <w:sz w:val="52"/>
          <w:szCs w:val="52"/>
        </w:rPr>
      </w:pPr>
      <w:r>
        <w:rPr>
          <w:rFonts w:eastAsia="宋体" w:cs="宋体" w:ascii="宋体" w:hAnsi="宋体"/>
          <w:b/>
          <w:sz w:val="52"/>
          <w:szCs w:val="52"/>
          <w:lang w:val="en-US" w:eastAsia="zh-CN"/>
        </w:rPr>
        <w:t>TJ4</w:t>
      </w:r>
      <w:r>
        <w:rPr>
          <w:rFonts w:ascii="宋体" w:hAnsi="宋体" w:cs="宋体"/>
          <w:b/>
          <w:sz w:val="52"/>
          <w:szCs w:val="52"/>
          <w:lang w:val="en-US" w:eastAsia="zh-CN"/>
        </w:rPr>
        <w:t>合同段</w:t>
      </w:r>
    </w:p>
    <w:p>
      <w:pPr>
        <w:pStyle w:val="Style16"/>
        <w:jc w:val="center"/>
        <w:rPr>
          <w:rFonts w:ascii="黑体" w:hAnsi="黑体" w:eastAsia="黑体" w:cs="宋体"/>
          <w:spacing w:val="20"/>
          <w:kern w:val="2"/>
          <w:sz w:val="72"/>
          <w:szCs w:val="52"/>
        </w:rPr>
      </w:pPr>
      <w:r>
        <w:rPr>
          <w:rFonts w:eastAsia="黑体" w:cs="宋体" w:ascii="黑体" w:hAnsi="黑体"/>
          <w:spacing w:val="20"/>
          <w:kern w:val="2"/>
          <w:sz w:val="72"/>
          <w:szCs w:val="52"/>
        </w:rPr>
      </w:r>
    </w:p>
    <w:p>
      <w:pPr>
        <w:pStyle w:val="Style16"/>
        <w:jc w:val="center"/>
        <w:rPr>
          <w:rFonts w:cs="宋体"/>
          <w:spacing w:val="20"/>
          <w:kern w:val="2"/>
          <w:sz w:val="72"/>
        </w:rPr>
      </w:pPr>
      <w:r>
        <w:rPr>
          <w:rFonts w:cs="宋体"/>
          <w:spacing w:val="20"/>
          <w:kern w:val="2"/>
          <w:sz w:val="72"/>
        </w:rPr>
      </w:r>
    </w:p>
    <w:p>
      <w:pPr>
        <w:pStyle w:val="Style16"/>
        <w:tabs>
          <w:tab w:val="clear" w:pos="420"/>
          <w:tab w:val="left" w:pos="1914" w:leader="none"/>
        </w:tabs>
        <w:jc w:val="both"/>
        <w:rPr>
          <w:rFonts w:cs="宋体"/>
          <w:spacing w:val="20"/>
          <w:kern w:val="2"/>
          <w:sz w:val="72"/>
        </w:rPr>
      </w:pPr>
      <w:r>
        <w:rPr>
          <w:rFonts w:cs="宋体"/>
          <w:spacing w:val="20"/>
          <w:kern w:val="2"/>
          <w:sz w:val="72"/>
        </w:rPr>
      </w:r>
    </w:p>
    <w:p>
      <w:pPr>
        <w:pStyle w:val="Style16"/>
        <w:tabs>
          <w:tab w:val="clear" w:pos="420"/>
          <w:tab w:val="left" w:pos="1914" w:leader="none"/>
        </w:tabs>
        <w:jc w:val="both"/>
        <w:rPr>
          <w:rFonts w:cs="宋体"/>
          <w:spacing w:val="20"/>
          <w:kern w:val="2"/>
          <w:sz w:val="72"/>
        </w:rPr>
      </w:pPr>
      <w:r>
        <w:rPr>
          <w:rFonts w:cs="宋体"/>
          <w:spacing w:val="20"/>
          <w:kern w:val="2"/>
          <w:sz w:val="72"/>
        </w:rPr>
      </w:r>
    </w:p>
    <w:p>
      <w:pPr>
        <w:pStyle w:val="Normal"/>
        <w:jc w:val="center"/>
        <w:rPr>
          <w:rFonts w:ascii="宋体" w:hAnsi="宋体" w:eastAsia="宋体" w:cs="宋体"/>
          <w:b/>
          <w:sz w:val="52"/>
          <w:szCs w:val="52"/>
          <w:lang w:val="en-US" w:eastAsia="zh-CN"/>
        </w:rPr>
      </w:pPr>
      <w:r>
        <w:rPr>
          <w:rFonts w:eastAsia="宋体" w:cs="宋体" w:ascii="宋体" w:hAnsi="宋体"/>
          <w:b/>
          <w:sz w:val="52"/>
          <w:szCs w:val="52"/>
          <w:lang w:val="en-US" w:eastAsia="zh-CN"/>
        </w:rPr>
        <w:t>0#</w:t>
      </w:r>
      <w:r>
        <w:rPr>
          <w:rFonts w:ascii="宋体" w:hAnsi="宋体" w:cs="宋体"/>
          <w:b/>
          <w:sz w:val="52"/>
          <w:szCs w:val="52"/>
          <w:lang w:val="en-US" w:eastAsia="zh-CN"/>
        </w:rPr>
        <w:t>变更修编报告</w:t>
      </w:r>
    </w:p>
    <w:p>
      <w:pPr>
        <w:pStyle w:val="Style16"/>
        <w:jc w:val="both"/>
        <w:rPr>
          <w:rFonts w:ascii="宋体" w:hAnsi="宋体" w:eastAsia="宋体" w:cs="宋体"/>
          <w:b/>
          <w:spacing w:val="20"/>
          <w:kern w:val="2"/>
          <w:sz w:val="72"/>
          <w:szCs w:val="52"/>
          <w:lang w:val="en-US" w:eastAsia="zh-CN"/>
        </w:rPr>
      </w:pPr>
      <w:r>
        <w:rPr>
          <w:rFonts w:eastAsia="宋体" w:cs="宋体"/>
          <w:b/>
          <w:spacing w:val="20"/>
          <w:kern w:val="2"/>
          <w:sz w:val="72"/>
          <w:szCs w:val="52"/>
          <w:lang w:val="en-US" w:eastAsia="zh-CN"/>
        </w:rPr>
      </w:r>
    </w:p>
    <w:p>
      <w:pPr>
        <w:pStyle w:val="Style16"/>
        <w:jc w:val="start"/>
        <w:rPr>
          <w:rFonts w:ascii="仿宋" w:hAnsi="仿宋" w:eastAsia="仿宋" w:cs="仿宋"/>
          <w:b/>
          <w:bCs/>
          <w:spacing w:val="20"/>
          <w:kern w:val="2"/>
          <w:sz w:val="36"/>
          <w:szCs w:val="36"/>
          <w:highlight w:val="none"/>
          <w:lang w:val="en-US" w:eastAsia="zh-CN"/>
        </w:rPr>
      </w:pPr>
      <w:r>
        <w:rPr>
          <w:rFonts w:eastAsia="仿宋" w:cs="仿宋" w:ascii="仿宋" w:hAnsi="仿宋"/>
          <w:b/>
          <w:bCs/>
          <w:spacing w:val="20"/>
          <w:kern w:val="2"/>
          <w:sz w:val="36"/>
          <w:szCs w:val="36"/>
          <w:lang w:val="en-US" w:eastAsia="zh-CN"/>
        </w:rPr>
      </w:r>
    </w:p>
    <w:p>
      <w:pPr>
        <w:pStyle w:val="Normal"/>
        <w:spacing w:lineRule="auto" w:line="360"/>
        <w:ind w:end="-92"/>
        <w:rPr>
          <w:rFonts w:ascii="黑体" w:hAnsi="黑体" w:eastAsia="黑体" w:cs="宋体"/>
          <w:b/>
          <w:bCs/>
          <w:color w:val="0070C0"/>
          <w:sz w:val="36"/>
          <w:szCs w:val="44"/>
          <w:highlight w:val="none"/>
          <w:lang w:val="en-US" w:eastAsia="zh-CN"/>
        </w:rPr>
      </w:pPr>
      <w:r>
        <w:rPr>
          <w:rFonts w:eastAsia="黑体" w:cs="宋体" w:ascii="黑体" w:hAnsi="黑体"/>
          <w:b/>
          <w:bCs/>
          <w:color w:val="0070C0"/>
          <w:sz w:val="36"/>
          <w:szCs w:val="44"/>
          <w:lang w:val="en-US" w:eastAsia="zh-CN"/>
        </w:rPr>
      </w:r>
    </w:p>
    <w:p>
      <w:pPr>
        <w:pStyle w:val="Normal"/>
        <w:spacing w:lineRule="auto" w:line="240"/>
        <w:jc w:val="center"/>
        <w:rPr>
          <w:rFonts w:ascii="宋体" w:hAnsi="宋体" w:eastAsia="宋体" w:cs="宋体"/>
          <w:b/>
          <w:bCs/>
          <w:color w:val="0070C0"/>
          <w:sz w:val="36"/>
          <w:szCs w:val="36"/>
        </w:rPr>
      </w:pPr>
      <w:r>
        <w:rPr>
          <w:rFonts w:eastAsia="宋体" w:cs="宋体" w:ascii="宋体" w:hAnsi="宋体"/>
          <w:b/>
          <w:bCs/>
          <w:color w:val="0070C0"/>
          <w:sz w:val="36"/>
          <w:szCs w:val="36"/>
        </w:rPr>
      </w:r>
    </w:p>
    <w:p>
      <w:pPr>
        <w:pStyle w:val="BodyTextIndent"/>
        <w:ind w:start="0" w:end="0"/>
        <w:rPr>
          <w:rFonts w:ascii="宋体" w:hAnsi="宋体" w:eastAsia="宋体" w:cs="宋体"/>
          <w:b/>
          <w:sz w:val="36"/>
          <w:szCs w:val="36"/>
        </w:rPr>
      </w:pPr>
      <w:r>
        <w:rPr>
          <w:rFonts w:eastAsia="宋体" w:cs="宋体" w:ascii="宋体" w:hAnsi="宋体"/>
          <w:b/>
          <w:sz w:val="36"/>
          <w:szCs w:val="36"/>
        </w:rPr>
      </w:r>
    </w:p>
    <w:p>
      <w:pPr>
        <w:pStyle w:val="BodyTextIndent"/>
        <w:rPr>
          <w:rFonts w:ascii="宋体" w:hAnsi="宋体" w:eastAsia="宋体" w:cs="宋体"/>
          <w:b/>
          <w:sz w:val="36"/>
          <w:szCs w:val="36"/>
        </w:rPr>
      </w:pPr>
      <w:r>
        <w:rPr>
          <w:rFonts w:eastAsia="宋体" w:cs="宋体" w:ascii="宋体" w:hAnsi="宋体"/>
          <w:b/>
          <w:sz w:val="36"/>
          <w:szCs w:val="36"/>
        </w:rPr>
      </w:r>
    </w:p>
    <w:p>
      <w:pPr>
        <w:pStyle w:val="BodyTextIndent"/>
        <w:ind w:start="0" w:end="0"/>
        <w:rPr>
          <w:rFonts w:ascii="宋体" w:hAnsi="宋体" w:eastAsia="宋体" w:cs="宋体"/>
          <w:b/>
          <w:sz w:val="36"/>
          <w:szCs w:val="36"/>
        </w:rPr>
      </w:pPr>
      <w:r>
        <w:rPr>
          <w:rFonts w:eastAsia="宋体" w:cs="宋体" w:ascii="宋体" w:hAnsi="宋体"/>
          <w:b/>
          <w:sz w:val="36"/>
          <w:szCs w:val="36"/>
        </w:rPr>
      </w:r>
    </w:p>
    <w:p>
      <w:pPr>
        <w:pStyle w:val="BodyTextIndent"/>
        <w:rPr>
          <w:rFonts w:ascii="宋体" w:hAnsi="宋体" w:eastAsia="宋体" w:cs="宋体"/>
          <w:b/>
          <w:sz w:val="36"/>
          <w:szCs w:val="36"/>
        </w:rPr>
      </w:pPr>
      <w:r>
        <w:rPr>
          <w:rFonts w:eastAsia="宋体" w:cs="宋体" w:ascii="宋体" w:hAnsi="宋体"/>
          <w:b/>
          <w:sz w:val="36"/>
          <w:szCs w:val="36"/>
        </w:rPr>
      </w:r>
    </w:p>
    <w:p>
      <w:pPr>
        <w:pStyle w:val="Normal"/>
        <w:spacing w:lineRule="auto" w:line="240"/>
        <w:jc w:val="center"/>
        <w:rPr>
          <w:rFonts w:ascii="宋体" w:hAnsi="宋体" w:eastAsia="宋体" w:cs="宋体"/>
          <w:b/>
          <w:sz w:val="36"/>
          <w:szCs w:val="36"/>
        </w:rPr>
      </w:pPr>
      <w:r>
        <w:rPr>
          <w:rFonts w:ascii="宋体" w:hAnsi="宋体" w:cs="宋体"/>
          <w:b/>
          <w:sz w:val="36"/>
          <w:szCs w:val="36"/>
        </w:rPr>
        <w:t>江苏交通工程投资咨询有限公司</w:t>
      </w:r>
    </w:p>
    <w:p>
      <w:pPr>
        <w:pStyle w:val="Normal"/>
        <w:spacing w:before="0" w:after="143"/>
        <w:jc w:val="center"/>
        <w:rPr>
          <w:rFonts w:ascii="宋体" w:hAnsi="宋体" w:eastAsia="宋体" w:cs="宋体"/>
          <w:b/>
          <w:sz w:val="36"/>
          <w:szCs w:val="36"/>
        </w:rPr>
      </w:pPr>
      <w:r>
        <w:rPr>
          <w:rFonts w:eastAsia="宋体" w:cs="宋体" w:ascii="宋体" w:hAnsi="宋体"/>
          <w:b/>
          <w:sz w:val="36"/>
          <w:szCs w:val="36"/>
        </w:rPr>
        <w:t>2026年09月</w:t>
      </w:r>
    </w:p>
    <w:p>
      <w:pPr>
        <w:pStyle w:val="Normal"/>
        <w:rPr>
          <w:rFonts w:ascii="宋体" w:hAnsi="宋体" w:eastAsia="宋体" w:cs="宋体"/>
          <w:b/>
          <w:sz w:val="48"/>
          <w:szCs w:val="48"/>
          <w:highlight w:val="none"/>
          <w:lang w:val="en-US"/>
        </w:rPr>
      </w:pPr>
      <w:r>
        <w:rPr>
          <w:rFonts w:eastAsia="宋体" w:cs="宋体" w:ascii="宋体" w:hAnsi="宋体"/>
          <w:b/>
          <w:sz w:val="48"/>
          <w:szCs w:val="48"/>
          <w:lang w:val="en-US"/>
        </w:rPr>
      </w:r>
    </w:p>
    <w:p>
      <w:pPr>
        <w:pStyle w:val="Normal"/>
        <w:jc w:val="center"/>
        <w:rPr>
          <w:rFonts w:ascii="宋体" w:hAnsi="宋体" w:eastAsia="宋体" w:cs="宋体"/>
          <w:b/>
          <w:sz w:val="52"/>
          <w:szCs w:val="52"/>
          <w:highlight w:val="none"/>
          <w:lang w:val="en-US" w:eastAsia="zh-CN"/>
        </w:rPr>
      </w:pPr>
      <w:r>
        <w:rPr>
          <w:rFonts w:ascii="宋体" w:hAnsi="宋体" w:cs="宋体"/>
          <w:b/>
          <w:sz w:val="52"/>
          <w:szCs w:val="52"/>
          <w:lang w:val="en-US" w:eastAsia="zh-CN"/>
        </w:rPr>
        <w:t>梅州平远至福建武平高速公路项目</w:t>
      </w:r>
    </w:p>
    <w:p>
      <w:pPr>
        <w:pStyle w:val="Normal"/>
        <w:jc w:val="center"/>
        <w:rPr>
          <w:rFonts w:ascii="黑体" w:hAnsi="黑体" w:eastAsia="黑体"/>
          <w:sz w:val="52"/>
          <w:szCs w:val="52"/>
        </w:rPr>
      </w:pPr>
      <w:r>
        <w:rPr>
          <w:rFonts w:eastAsia="宋体" w:cs="宋体" w:ascii="宋体" w:hAnsi="宋体"/>
          <w:b/>
          <w:sz w:val="52"/>
          <w:szCs w:val="52"/>
          <w:lang w:val="en-US" w:eastAsia="zh-CN"/>
        </w:rPr>
        <w:t>TJ4</w:t>
      </w:r>
      <w:r>
        <w:rPr>
          <w:rFonts w:ascii="宋体" w:hAnsi="宋体" w:cs="宋体"/>
          <w:b/>
          <w:sz w:val="52"/>
          <w:szCs w:val="52"/>
          <w:lang w:val="en-US" w:eastAsia="zh-CN"/>
        </w:rPr>
        <w:t>合同段</w:t>
      </w:r>
    </w:p>
    <w:p>
      <w:pPr>
        <w:pStyle w:val="Style16"/>
        <w:jc w:val="center"/>
        <w:rPr>
          <w:rFonts w:ascii="黑体" w:hAnsi="黑体" w:eastAsia="黑体" w:cs="宋体"/>
          <w:spacing w:val="20"/>
          <w:kern w:val="2"/>
          <w:sz w:val="72"/>
          <w:szCs w:val="52"/>
        </w:rPr>
      </w:pPr>
      <w:r>
        <w:rPr>
          <w:rFonts w:eastAsia="黑体" w:cs="宋体" w:ascii="黑体" w:hAnsi="黑体"/>
          <w:spacing w:val="20"/>
          <w:kern w:val="2"/>
          <w:sz w:val="72"/>
          <w:szCs w:val="52"/>
        </w:rPr>
      </w:r>
    </w:p>
    <w:p>
      <w:pPr>
        <w:pStyle w:val="Style16"/>
        <w:jc w:val="center"/>
        <w:rPr>
          <w:rFonts w:cs="宋体"/>
          <w:spacing w:val="20"/>
          <w:kern w:val="2"/>
          <w:sz w:val="72"/>
        </w:rPr>
      </w:pPr>
      <w:r>
        <w:rPr>
          <w:rFonts w:cs="宋体"/>
          <w:spacing w:val="20"/>
          <w:kern w:val="2"/>
          <w:sz w:val="72"/>
        </w:rPr>
      </w:r>
    </w:p>
    <w:p>
      <w:pPr>
        <w:pStyle w:val="Style16"/>
        <w:tabs>
          <w:tab w:val="clear" w:pos="420"/>
          <w:tab w:val="left" w:pos="1914" w:leader="none"/>
        </w:tabs>
        <w:jc w:val="center"/>
        <w:rPr>
          <w:rFonts w:cs="宋体"/>
          <w:spacing w:val="20"/>
          <w:kern w:val="2"/>
          <w:sz w:val="72"/>
        </w:rPr>
      </w:pPr>
      <w:r>
        <w:rPr>
          <w:rFonts w:cs="宋体"/>
          <w:spacing w:val="20"/>
          <w:kern w:val="2"/>
          <w:sz w:val="72"/>
        </w:rPr>
      </w:r>
    </w:p>
    <w:p>
      <w:pPr>
        <w:pStyle w:val="Style16"/>
        <w:tabs>
          <w:tab w:val="clear" w:pos="420"/>
          <w:tab w:val="left" w:pos="1914" w:leader="none"/>
        </w:tabs>
        <w:jc w:val="center"/>
        <w:rPr>
          <w:rFonts w:cs="宋体"/>
          <w:spacing w:val="20"/>
          <w:kern w:val="2"/>
          <w:sz w:val="72"/>
        </w:rPr>
      </w:pPr>
      <w:r>
        <w:rPr>
          <w:rFonts w:cs="宋体"/>
          <w:spacing w:val="20"/>
          <w:kern w:val="2"/>
          <w:sz w:val="72"/>
        </w:rPr>
      </w:r>
    </w:p>
    <w:p>
      <w:pPr>
        <w:pStyle w:val="Style16"/>
        <w:jc w:val="center"/>
        <w:rPr>
          <w:rFonts w:ascii="黑体" w:hAnsi="黑体" w:eastAsia="黑体" w:cs="宋体"/>
          <w:b/>
          <w:spacing w:val="20"/>
          <w:kern w:val="2"/>
          <w:sz w:val="84"/>
        </w:rPr>
      </w:pPr>
      <w:r>
        <w:rPr>
          <w:rFonts w:eastAsia="宋体" w:cs="宋体"/>
          <w:b/>
          <w:sz w:val="52"/>
          <w:szCs w:val="52"/>
          <w:lang w:val="en-US" w:eastAsia="zh-CN"/>
        </w:rPr>
        <w:t>0#</w:t>
      </w:r>
      <w:r>
        <w:rPr>
          <w:rFonts w:ascii="宋体" w:hAnsi="宋体" w:cs="宋体"/>
          <w:b/>
          <w:sz w:val="52"/>
          <w:szCs w:val="52"/>
          <w:lang w:val="en-US" w:eastAsia="zh-CN"/>
        </w:rPr>
        <w:t>变更修编报告</w:t>
      </w:r>
    </w:p>
    <w:p>
      <w:pPr>
        <w:pStyle w:val="Style16"/>
        <w:jc w:val="center"/>
        <w:rPr>
          <w:rFonts w:ascii="黑体" w:hAnsi="黑体" w:eastAsia="黑体" w:cs="宋体"/>
          <w:b/>
          <w:spacing w:val="20"/>
          <w:kern w:val="2"/>
          <w:sz w:val="44"/>
          <w:szCs w:val="44"/>
        </w:rPr>
      </w:pPr>
      <w:r>
        <w:rPr>
          <w:rFonts w:eastAsia="黑体" w:cs="宋体" w:ascii="黑体" w:hAnsi="黑体"/>
          <w:b/>
          <w:spacing w:val="20"/>
          <w:kern w:val="2"/>
          <w:sz w:val="44"/>
          <w:szCs w:val="44"/>
        </w:rPr>
      </w:r>
    </w:p>
    <w:p>
      <w:pPr>
        <w:pStyle w:val="Style16"/>
        <w:jc w:val="center"/>
        <w:rPr>
          <w:rFonts w:ascii="黑体" w:hAnsi="黑体" w:eastAsia="黑体" w:cs="宋体"/>
          <w:b/>
          <w:spacing w:val="20"/>
          <w:kern w:val="2"/>
          <w:sz w:val="44"/>
          <w:szCs w:val="44"/>
        </w:rPr>
      </w:pPr>
      <w:r>
        <w:rPr>
          <w:rFonts w:eastAsia="黑体" w:cs="宋体" w:ascii="黑体" w:hAnsi="黑体"/>
          <w:b/>
          <w:spacing w:val="20"/>
          <w:kern w:val="2"/>
          <w:sz w:val="44"/>
          <w:szCs w:val="44"/>
        </w:rPr>
      </w:r>
    </w:p>
    <w:p>
      <w:pPr>
        <w:pStyle w:val="Style16"/>
        <w:jc w:val="center"/>
        <w:rPr>
          <w:rFonts w:ascii="黑体" w:hAnsi="黑体" w:eastAsia="黑体" w:cs="宋体"/>
          <w:b/>
          <w:spacing w:val="20"/>
          <w:kern w:val="2"/>
          <w:sz w:val="44"/>
          <w:szCs w:val="44"/>
        </w:rPr>
      </w:pPr>
      <w:r>
        <w:rPr>
          <w:rFonts w:eastAsia="黑体" w:cs="宋体" w:ascii="黑体" w:hAnsi="黑体"/>
          <w:b/>
          <w:spacing w:val="20"/>
          <w:kern w:val="2"/>
          <w:sz w:val="44"/>
          <w:szCs w:val="44"/>
        </w:rPr>
      </w:r>
    </w:p>
    <w:p>
      <w:pPr>
        <w:pStyle w:val="Normal"/>
        <w:jc w:val="both"/>
        <w:rPr>
          <w:rFonts w:ascii="宋体" w:hAnsi="宋体" w:eastAsia="宋体" w:cs="宋体"/>
          <w:b/>
          <w:spacing w:val="20"/>
          <w:kern w:val="2"/>
          <w:sz w:val="72"/>
          <w:szCs w:val="72"/>
          <w:lang w:val="en-US" w:eastAsia="zh-CN"/>
        </w:rPr>
      </w:pPr>
      <w:r>
        <w:rPr>
          <w:rFonts w:eastAsia="宋体" w:cs="宋体" w:ascii="宋体" w:hAnsi="宋体"/>
          <w:b/>
          <w:spacing w:val="20"/>
          <w:kern w:val="2"/>
          <w:sz w:val="72"/>
          <w:szCs w:val="72"/>
          <w:lang w:val="en-US" w:eastAsia="zh-CN"/>
        </w:rPr>
      </w:r>
    </w:p>
    <w:tbl>
      <w:tblPr>
        <w:tblW w:w="8522" w:type="dxa"/>
        <w:jc w:val="center"/>
        <w:tblInd w:w="0" w:type="dxa"/>
        <w:tblLayout w:type="fixed"/>
        <w:tblCellMar>
          <w:top w:w="0" w:type="dxa"/>
          <w:start w:w="108" w:type="dxa"/>
          <w:bottom w:w="0" w:type="dxa"/>
          <w:end w:w="108" w:type="dxa"/>
        </w:tblCellMar>
      </w:tblPr>
      <w:tblGrid>
        <w:gridCol w:w="2411"/>
        <w:gridCol w:w="6111"/>
      </w:tblGrid>
      <w:tr>
        <w:trPr>
          <w:trHeight w:val="680" w:hRule="exac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黑体" w:hAnsi="黑体" w:eastAsia="黑体" w:cs="黑体"/>
                <w:b w:val="false"/>
                <w:bCs/>
                <w:position w:val="0"/>
                <w:sz w:val="30"/>
                <w:sz w:val="30"/>
                <w:szCs w:val="30"/>
                <w:vertAlign w:val="baseline"/>
                <w:lang w:val="en-US" w:eastAsia="zh-CN"/>
              </w:rPr>
            </w:pPr>
            <w:r>
              <w:rPr>
                <w:rFonts w:ascii="黑体" w:hAnsi="黑体" w:cs="黑体" w:eastAsia="黑体"/>
                <w:b w:val="false"/>
                <w:bCs/>
                <w:position w:val="0"/>
                <w:sz w:val="30"/>
                <w:sz w:val="30"/>
                <w:szCs w:val="30"/>
                <w:vertAlign w:val="baseline"/>
                <w:lang w:val="en-US" w:eastAsia="zh-CN"/>
              </w:rPr>
              <w:t>编制</w:t>
            </w:r>
          </w:p>
        </w:tc>
        <w:tc>
          <w:tcPr>
            <w:tcW w:w="611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黑体" w:hAnsi="黑体" w:eastAsia="黑体" w:cs="黑体"/>
                <w:b w:val="false"/>
                <w:bCs/>
                <w:position w:val="0"/>
                <w:sz w:val="30"/>
                <w:sz w:val="30"/>
                <w:szCs w:val="30"/>
                <w:vertAlign w:val="baseline"/>
                <w:lang w:val="en-US" w:eastAsia="zh-CN"/>
              </w:rPr>
            </w:pPr>
            <w:r>
              <w:rPr>
                <w:rFonts w:eastAsia="黑体" w:cs="黑体" w:ascii="黑体" w:hAnsi="黑体"/>
                <w:b w:val="false"/>
                <w:bCs/>
                <w:position w:val="0"/>
                <w:sz w:val="30"/>
                <w:sz w:val="30"/>
                <w:szCs w:val="30"/>
                <w:vertAlign w:val="baseline"/>
                <w:lang w:val="en-US" w:eastAsia="zh-CN"/>
              </w:rPr>
            </w:r>
          </w:p>
        </w:tc>
      </w:tr>
      <w:tr>
        <w:trPr>
          <w:trHeight w:val="680" w:hRule="exac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黑体" w:hAnsi="黑体" w:eastAsia="黑体" w:cs="黑体"/>
                <w:b w:val="false"/>
                <w:bCs/>
                <w:position w:val="0"/>
                <w:sz w:val="30"/>
                <w:sz w:val="30"/>
                <w:szCs w:val="30"/>
                <w:vertAlign w:val="baseline"/>
                <w:lang w:val="en-US" w:eastAsia="zh-CN"/>
              </w:rPr>
            </w:pPr>
            <w:r>
              <w:rPr>
                <w:rFonts w:ascii="黑体" w:hAnsi="黑体" w:cs="黑体" w:eastAsia="黑体"/>
                <w:b w:val="false"/>
                <w:bCs/>
                <w:position w:val="0"/>
                <w:sz w:val="30"/>
                <w:sz w:val="30"/>
                <w:szCs w:val="30"/>
                <w:vertAlign w:val="baseline"/>
                <w:lang w:val="en-US" w:eastAsia="zh-CN"/>
              </w:rPr>
              <w:t>复核</w:t>
            </w:r>
          </w:p>
        </w:tc>
        <w:tc>
          <w:tcPr>
            <w:tcW w:w="611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黑体" w:hAnsi="黑体" w:eastAsia="黑体" w:cs="黑体"/>
                <w:b w:val="false"/>
                <w:bCs/>
                <w:position w:val="0"/>
                <w:sz w:val="30"/>
                <w:sz w:val="30"/>
                <w:szCs w:val="30"/>
                <w:vertAlign w:val="baseline"/>
                <w:lang w:val="en-US" w:eastAsia="zh-CN"/>
              </w:rPr>
            </w:pPr>
            <w:r>
              <w:rPr>
                <w:rFonts w:eastAsia="黑体" w:cs="黑体" w:ascii="黑体" w:hAnsi="黑体"/>
                <w:b w:val="false"/>
                <w:bCs/>
                <w:position w:val="0"/>
                <w:sz w:val="30"/>
                <w:sz w:val="30"/>
                <w:szCs w:val="30"/>
                <w:vertAlign w:val="baseline"/>
                <w:lang w:val="en-US" w:eastAsia="zh-CN"/>
              </w:rPr>
            </w:r>
          </w:p>
        </w:tc>
      </w:tr>
      <w:tr>
        <w:trPr>
          <w:trHeight w:val="680" w:hRule="exac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黑体" w:hAnsi="黑体" w:eastAsia="黑体" w:cs="黑体"/>
                <w:b w:val="false"/>
                <w:bCs/>
                <w:position w:val="0"/>
                <w:sz w:val="30"/>
                <w:sz w:val="30"/>
                <w:szCs w:val="30"/>
                <w:vertAlign w:val="baseline"/>
                <w:lang w:val="en-US" w:eastAsia="zh-CN"/>
              </w:rPr>
            </w:pPr>
            <w:r>
              <w:rPr>
                <w:rFonts w:ascii="黑体" w:hAnsi="黑体" w:cs="黑体" w:eastAsia="黑体"/>
                <w:b w:val="false"/>
                <w:bCs/>
                <w:position w:val="0"/>
                <w:sz w:val="30"/>
                <w:sz w:val="30"/>
                <w:szCs w:val="30"/>
                <w:vertAlign w:val="baseline"/>
                <w:lang w:val="en-US" w:eastAsia="zh-CN"/>
              </w:rPr>
              <w:t>审核</w:t>
            </w:r>
          </w:p>
        </w:tc>
        <w:tc>
          <w:tcPr>
            <w:tcW w:w="6111" w:type="dxa"/>
            <w:tcBorders>
              <w:top w:val="single" w:sz="4" w:space="0" w:color="000000"/>
              <w:start w:val="single" w:sz="4" w:space="0" w:color="000000"/>
              <w:bottom w:val="single" w:sz="4" w:space="0" w:color="000000"/>
              <w:end w:val="single" w:sz="4" w:space="0" w:color="000000"/>
            </w:tcBorders>
            <w:vAlign w:val="center"/>
          </w:tcPr>
          <w:p>
            <w:pPr>
              <w:pStyle w:val="Normal"/>
              <w:snapToGrid w:val="false"/>
              <w:jc w:val="center"/>
              <w:rPr>
                <w:rFonts w:ascii="黑体" w:hAnsi="黑体" w:eastAsia="黑体" w:cs="黑体"/>
                <w:b w:val="false"/>
                <w:bCs/>
                <w:position w:val="0"/>
                <w:sz w:val="30"/>
                <w:sz w:val="30"/>
                <w:szCs w:val="30"/>
                <w:vertAlign w:val="baseline"/>
                <w:lang w:val="en-US" w:eastAsia="zh-CN"/>
              </w:rPr>
            </w:pPr>
            <w:r>
              <w:rPr>
                <w:rFonts w:eastAsia="黑体" w:cs="黑体" w:ascii="黑体" w:hAnsi="黑体"/>
                <w:b w:val="false"/>
                <w:bCs/>
                <w:position w:val="0"/>
                <w:sz w:val="30"/>
                <w:sz w:val="30"/>
                <w:szCs w:val="30"/>
                <w:vertAlign w:val="baseline"/>
                <w:lang w:val="en-US" w:eastAsia="zh-CN"/>
              </w:rPr>
            </w:r>
          </w:p>
        </w:tc>
      </w:tr>
      <w:tr>
        <w:trPr>
          <w:trHeight w:val="680" w:hRule="exac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黑体" w:hAnsi="黑体" w:eastAsia="黑体" w:cs="黑体"/>
                <w:b w:val="false"/>
                <w:bCs/>
                <w:position w:val="0"/>
                <w:sz w:val="30"/>
                <w:sz w:val="30"/>
                <w:szCs w:val="30"/>
                <w:vertAlign w:val="baseline"/>
                <w:lang w:val="en-US" w:eastAsia="zh-CN"/>
              </w:rPr>
            </w:pPr>
            <w:r>
              <w:rPr>
                <w:rFonts w:ascii="黑体" w:hAnsi="黑体" w:cs="黑体" w:eastAsia="黑体"/>
                <w:b w:val="false"/>
                <w:bCs/>
                <w:position w:val="0"/>
                <w:sz w:val="30"/>
                <w:sz w:val="30"/>
                <w:szCs w:val="30"/>
                <w:vertAlign w:val="baseline"/>
                <w:lang w:val="en-US" w:eastAsia="zh-CN"/>
              </w:rPr>
              <w:t>编 制 单 位</w:t>
            </w:r>
          </w:p>
        </w:tc>
        <w:tc>
          <w:tcPr>
            <w:tcW w:w="61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黑体" w:hAnsi="黑体" w:eastAsia="黑体" w:cs="黑体"/>
                <w:b w:val="false"/>
                <w:bCs/>
                <w:position w:val="0"/>
                <w:sz w:val="30"/>
                <w:sz w:val="30"/>
                <w:szCs w:val="30"/>
                <w:vertAlign w:val="baseline"/>
                <w:lang w:val="en-US" w:eastAsia="zh-CN"/>
              </w:rPr>
            </w:pPr>
            <w:r>
              <w:rPr>
                <w:rFonts w:ascii="黑体" w:hAnsi="黑体" w:cs="黑体" w:eastAsia="黑体"/>
                <w:b w:val="false"/>
                <w:bCs/>
                <w:position w:val="0"/>
                <w:sz w:val="30"/>
                <w:sz w:val="30"/>
                <w:szCs w:val="30"/>
                <w:vertAlign w:val="baseline"/>
                <w:lang w:val="en-US" w:eastAsia="zh-CN"/>
              </w:rPr>
              <w:t>江苏交通工程投资咨询有限公司</w:t>
            </w:r>
          </w:p>
        </w:tc>
      </w:tr>
      <w:tr>
        <w:trPr>
          <w:trHeight w:val="680" w:hRule="exact"/>
        </w:trPr>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黑体" w:hAnsi="黑体" w:eastAsia="黑体" w:cs="黑体"/>
                <w:b w:val="false"/>
                <w:bCs/>
                <w:position w:val="0"/>
                <w:sz w:val="30"/>
                <w:sz w:val="30"/>
                <w:szCs w:val="30"/>
                <w:vertAlign w:val="baseline"/>
                <w:lang w:val="en-US" w:eastAsia="zh-CN"/>
              </w:rPr>
            </w:pPr>
            <w:r>
              <w:rPr>
                <w:rFonts w:ascii="黑体" w:hAnsi="黑体" w:cs="黑体" w:eastAsia="黑体"/>
                <w:b w:val="false"/>
                <w:bCs/>
                <w:position w:val="0"/>
                <w:sz w:val="30"/>
                <w:sz w:val="30"/>
                <w:szCs w:val="30"/>
                <w:vertAlign w:val="baseline"/>
                <w:lang w:val="en-US" w:eastAsia="zh-CN"/>
              </w:rPr>
              <w:t>编 制 日 期</w:t>
            </w:r>
          </w:p>
        </w:tc>
        <w:tc>
          <w:tcPr>
            <w:tcW w:w="6111" w:type="dxa"/>
            <w:tcBorders>
              <w:top w:val="single" w:sz="4" w:space="0" w:color="000000"/>
              <w:start w:val="single" w:sz="4" w:space="0" w:color="000000"/>
              <w:bottom w:val="single" w:sz="4" w:space="0" w:color="000000"/>
              <w:end w:val="single" w:sz="4" w:space="0" w:color="000000"/>
            </w:tcBorders>
            <w:vAlign w:val="center"/>
          </w:tcPr>
          <w:p>
            <w:pPr>
              <w:pStyle w:val="Normal"/>
              <w:jc w:val="center"/>
              <w:rPr>
                <w:rFonts w:ascii="黑体" w:hAnsi="黑体" w:eastAsia="黑体" w:cs="黑体"/>
                <w:b w:val="false"/>
                <w:bCs/>
                <w:position w:val="0"/>
                <w:sz w:val="30"/>
                <w:sz w:val="30"/>
                <w:szCs w:val="30"/>
                <w:vertAlign w:val="baseline"/>
                <w:lang w:val="en-US" w:eastAsia="zh-CN"/>
              </w:rPr>
            </w:pPr>
            <w:r>
              <w:rPr>
                <w:rFonts w:eastAsia="黑体" w:cs="黑体" w:ascii="黑体" w:hAnsi="黑体"/>
                <w:b w:val="false"/>
                <w:bCs/>
                <w:color w:val="000000"/>
                <w:position w:val="0"/>
                <w:sz w:val="30"/>
                <w:sz w:val="30"/>
                <w:szCs w:val="30"/>
                <w:vertAlign w:val="baseline"/>
                <w:lang w:val="en-US" w:eastAsia="zh-CN"/>
              </w:rPr>
              <w:t>2026年09月</w:t>
            </w:r>
          </w:p>
        </w:tc>
      </w:tr>
    </w:tbl>
    <w:p>
      <w:pPr>
        <w:sectPr>
          <w:headerReference w:type="default" r:id="rId2"/>
          <w:footerReference w:type="default" r:id="rId3"/>
          <w:type w:val="nextPage"/>
          <w:pgSz w:w="11906" w:h="16838"/>
          <w:pgMar w:left="1701" w:right="1701" w:gutter="0" w:header="850" w:top="1701" w:footer="992" w:bottom="1701"/>
          <w:pgNumType w:fmt="decimal"/>
          <w:formProt w:val="false"/>
          <w:textDirection w:val="lrTb"/>
          <w:docGrid w:type="default" w:linePitch="285" w:charSpace="0"/>
        </w:sectPr>
        <w:pStyle w:val="Normal"/>
        <w:ind w:firstLine="525" w:end="0"/>
        <w:rPr/>
      </w:pPr>
      <w:r>
        <w:rPr/>
      </w:r>
    </w:p>
    <w:p>
      <w:pPr>
        <w:pStyle w:val="Normal"/>
        <w:spacing w:lineRule="auto" w:line="240" w:before="0" w:after="0"/>
        <w:ind w:end="0"/>
        <w:jc w:val="center"/>
        <w:rPr>
          <w:rFonts w:ascii="宋体" w:hAnsi="宋体" w:eastAsia="宋体" w:cs="宋体"/>
          <w:b/>
          <w:bCs/>
          <w:sz w:val="30"/>
          <w:szCs w:val="30"/>
        </w:rPr>
      </w:pPr>
      <w:r>
        <w:rPr>
          <w:rFonts w:eastAsia="宋体" w:cs="宋体" w:ascii="宋体" w:hAnsi="宋体"/>
          <w:b/>
          <w:bCs/>
          <w:sz w:val="30"/>
          <w:szCs w:val="30"/>
        </w:rPr>
      </w:r>
    </w:p>
    <w:p>
      <w:pPr>
        <w:pStyle w:val="Normal"/>
        <w:spacing w:lineRule="auto" w:line="240" w:before="0" w:after="0"/>
        <w:ind w:end="0"/>
        <w:jc w:val="center"/>
        <w:rPr>
          <w:b/>
          <w:bCs/>
        </w:rPr>
      </w:pPr>
      <w:r>
        <w:rPr>
          <w:rFonts w:ascii="宋体" w:hAnsi="宋体" w:cs="宋体"/>
          <w:b/>
          <w:bCs/>
          <w:sz w:val="30"/>
          <w:szCs w:val="30"/>
        </w:rPr>
        <w:t>目</w:t>
      </w:r>
      <w:r>
        <w:rPr>
          <w:rFonts w:ascii="宋体" w:hAnsi="宋体" w:cs="宋体"/>
          <w:b/>
          <w:bCs/>
          <w:sz w:val="30"/>
          <w:szCs w:val="30"/>
          <w:lang w:val="en-US" w:eastAsia="zh-CN"/>
        </w:rPr>
        <w:t xml:space="preserve"> </w:t>
      </w:r>
      <w:r>
        <w:rPr>
          <w:rFonts w:ascii="宋体" w:hAnsi="宋体" w:cs="宋体"/>
          <w:b/>
          <w:bCs/>
          <w:sz w:val="30"/>
          <w:szCs w:val="30"/>
        </w:rPr>
        <w:t>录</w:t>
      </w:r>
    </w:p>
    <w:p>
      <w:pPr>
        <w:pStyle w:val="WPSOffice1"/>
        <w:tabs>
          <w:tab w:val="clear" w:pos="420"/>
          <w:tab w:val="right" w:pos="8504" w:leader="dot"/>
        </w:tabs>
        <w:rPr>
          <w:rFonts w:ascii="宋体" w:hAnsi="宋体" w:eastAsia="宋体" w:cs="宋体"/>
          <w:b/>
          <w:bCs/>
          <w:sz w:val="28"/>
          <w:szCs w:val="28"/>
        </w:rPr>
      </w:pPr>
      <w:r>
        <w:rPr>
          <w:rFonts w:eastAsia="宋体" w:cs="宋体" w:ascii="宋体" w:hAnsi="宋体"/>
          <w:b/>
          <w:bCs/>
          <w:sz w:val="28"/>
          <w:szCs w:val="28"/>
        </w:rPr>
      </w:r>
    </w:p>
    <w:sdt>
      <w:sdtPr>
        <w:docPartObj>
          <w:docPartGallery w:val="Table of Contents"/>
          <w:docPartUnique w:val="true"/>
        </w:docPartObj>
      </w:sdtPr>
      <w:sdtContent>
        <w:p>
          <w:pPr>
            <w:pStyle w:val="WPSOffice1"/>
            <w:tabs>
              <w:tab w:val="clear" w:pos="420"/>
              <w:tab w:val="right" w:pos="8504" w:leader="dot"/>
            </w:tabs>
            <w:rPr>
              <w:rFonts w:ascii="宋体" w:hAnsi="宋体" w:eastAsia="宋体" w:cs="宋体"/>
              <w:sz w:val="28"/>
              <w:szCs w:val="28"/>
            </w:rPr>
          </w:pPr>
          <w:r>
            <w:fldChar w:fldCharType="begin"/>
          </w:r>
          <w:r>
            <w:rPr>
              <w:rStyle w:val="IndexLink"/>
              <w:kern w:val="2"/>
              <w:sz w:val="28"/>
              <w:szCs w:val="28"/>
              <w:bCs w:val="false"/>
              <w:rFonts w:ascii="宋体" w:hAnsi="宋体" w:cs="宋体"/>
            </w:rPr>
            <w:instrText xml:space="preserve">TOC \o "1-1" \h \u </w:instrText>
          </w:r>
          <w:r>
            <w:rPr>
              <w:rStyle w:val="IndexLink"/>
              <w:kern w:val="2"/>
              <w:sz w:val="28"/>
              <w:szCs w:val="28"/>
              <w:bCs w:val="false"/>
              <w:rFonts w:ascii="宋体" w:hAnsi="宋体" w:cs="宋体"/>
            </w:rPr>
            <w:fldChar w:fldCharType="separate"/>
          </w:r>
          <w:hyperlink w:anchor="__RefHeading___Toc11696">
            <w:r>
              <w:rPr>
                <w:rStyle w:val="IndexLink"/>
                <w:rFonts w:ascii="宋体" w:hAnsi="宋体" w:cs="宋体"/>
                <w:bCs w:val="false"/>
                <w:kern w:val="2"/>
                <w:sz w:val="28"/>
                <w:szCs w:val="28"/>
              </w:rPr>
              <w:t>一、工程</w:t>
            </w:r>
            <w:r>
              <w:rPr>
                <w:rStyle w:val="IndexLink"/>
                <w:rFonts w:ascii="宋体" w:hAnsi="宋体" w:cs="宋体"/>
                <w:bCs w:val="false"/>
                <w:spacing w:val="20"/>
                <w:sz w:val="28"/>
                <w:szCs w:val="28"/>
              </w:rPr>
              <w:t>概况</w:t>
            </w:r>
            <w:r>
              <w:rPr>
                <w:rStyle w:val="IndexLink"/>
                <w:rFonts w:eastAsia="宋体" w:cs="宋体" w:ascii="宋体" w:hAnsi="宋体"/>
                <w:sz w:val="28"/>
                <w:szCs w:val="28"/>
              </w:rPr>
              <w:tab/>
            </w:r>
            <w:r>
              <w:rPr>
                <w:rStyle w:val="IndexLink"/>
                <w:rFonts w:eastAsia="宋体" w:cs="宋体" w:ascii="宋体" w:hAnsi="宋体"/>
                <w:sz w:val="28"/>
                <w:szCs w:val="28"/>
                <w:lang w:val="en-US" w:eastAsia="zh-CN"/>
              </w:rPr>
              <w:t>1</w:t>
            </w:r>
          </w:hyperlink>
        </w:p>
        <w:p>
          <w:pPr>
            <w:pStyle w:val="WPSOffice1"/>
            <w:tabs>
              <w:tab w:val="clear" w:pos="420"/>
              <w:tab w:val="right" w:pos="8504" w:leader="dot"/>
            </w:tabs>
            <w:rPr>
              <w:rFonts w:ascii="宋体" w:hAnsi="宋体" w:eastAsia="宋体" w:cs="宋体"/>
              <w:sz w:val="28"/>
              <w:szCs w:val="28"/>
            </w:rPr>
          </w:pPr>
          <w:hyperlink w:anchor="__RefHeading___Toc18453">
            <w:r>
              <w:rPr>
                <w:rStyle w:val="IndexLink"/>
                <w:rFonts w:ascii="宋体" w:hAnsi="宋体" w:cs="宋体"/>
                <w:bCs w:val="false"/>
                <w:kern w:val="2"/>
                <w:sz w:val="28"/>
                <w:szCs w:val="28"/>
              </w:rPr>
              <w:t>二、审核依据</w:t>
            </w:r>
            <w:r>
              <w:rPr>
                <w:rStyle w:val="IndexLink"/>
                <w:rFonts w:eastAsia="宋体" w:cs="宋体" w:ascii="宋体" w:hAnsi="宋体"/>
                <w:sz w:val="28"/>
                <w:szCs w:val="28"/>
              </w:rPr>
              <w:tab/>
            </w:r>
            <w:r>
              <w:rPr>
                <w:rStyle w:val="IndexLink"/>
                <w:rFonts w:eastAsia="宋体" w:cs="宋体" w:ascii="宋体" w:hAnsi="宋体"/>
                <w:sz w:val="28"/>
                <w:szCs w:val="28"/>
                <w:lang w:val="en-US" w:eastAsia="zh-CN"/>
              </w:rPr>
              <w:t>2</w:t>
            </w:r>
          </w:hyperlink>
        </w:p>
        <w:p>
          <w:pPr>
            <w:pStyle w:val="WPSOffice1"/>
            <w:tabs>
              <w:tab w:val="clear" w:pos="420"/>
              <w:tab w:val="right" w:pos="8504" w:leader="dot"/>
            </w:tabs>
            <w:rPr>
              <w:rFonts w:ascii="宋体" w:hAnsi="宋体" w:eastAsia="宋体" w:cs="宋体"/>
              <w:sz w:val="28"/>
              <w:szCs w:val="28"/>
            </w:rPr>
          </w:pPr>
          <w:hyperlink w:anchor="__RefHeading___Toc9964">
            <w:r>
              <w:rPr>
                <w:rStyle w:val="IndexLink"/>
                <w:rFonts w:ascii="宋体" w:hAnsi="宋体" w:cs="宋体"/>
                <w:bCs w:val="false"/>
                <w:kern w:val="2"/>
                <w:sz w:val="28"/>
                <w:szCs w:val="28"/>
                <w:lang w:val="en-US" w:eastAsia="zh-CN"/>
              </w:rPr>
              <w:t>三</w:t>
            </w:r>
            <w:r>
              <w:rPr>
                <w:rStyle w:val="IndexLink"/>
                <w:rFonts w:ascii="宋体" w:hAnsi="宋体" w:cs="宋体"/>
                <w:bCs w:val="false"/>
                <w:kern w:val="2"/>
                <w:sz w:val="28"/>
                <w:szCs w:val="28"/>
              </w:rPr>
              <w:t>、</w:t>
            </w:r>
            <w:r>
              <w:rPr>
                <w:rStyle w:val="IndexLink"/>
                <w:rFonts w:ascii="宋体" w:hAnsi="宋体" w:cs="宋体"/>
                <w:bCs w:val="false"/>
                <w:kern w:val="2"/>
                <w:sz w:val="28"/>
                <w:szCs w:val="28"/>
                <w:lang w:eastAsia="zh-CN"/>
              </w:rPr>
              <w:t>修编过程</w:t>
            </w:r>
            <w:r>
              <w:rPr>
                <w:rStyle w:val="IndexLink"/>
                <w:rFonts w:eastAsia="宋体" w:cs="宋体" w:ascii="宋体" w:hAnsi="宋体"/>
                <w:sz w:val="28"/>
                <w:szCs w:val="28"/>
              </w:rPr>
              <w:tab/>
            </w:r>
            <w:r>
              <w:rPr>
                <w:rStyle w:val="IndexLink"/>
                <w:rFonts w:eastAsia="宋体" w:cs="宋体" w:ascii="宋体" w:hAnsi="宋体"/>
                <w:sz w:val="28"/>
                <w:szCs w:val="28"/>
                <w:lang w:val="en-US" w:eastAsia="zh-CN"/>
              </w:rPr>
              <w:t>2</w:t>
            </w:r>
          </w:hyperlink>
        </w:p>
        <w:p>
          <w:pPr>
            <w:pStyle w:val="WPSOffice1"/>
            <w:tabs>
              <w:tab w:val="clear" w:pos="420"/>
              <w:tab w:val="right" w:pos="8504" w:leader="dot"/>
            </w:tabs>
            <w:rPr>
              <w:rFonts w:ascii="宋体" w:hAnsi="宋体" w:eastAsia="宋体" w:cs="宋体"/>
              <w:sz w:val="28"/>
              <w:szCs w:val="28"/>
            </w:rPr>
          </w:pPr>
          <w:hyperlink w:anchor="__RefHeading___Toc1133">
            <w:r>
              <w:rPr>
                <w:rStyle w:val="IndexLink"/>
                <w:rFonts w:ascii="宋体" w:hAnsi="宋体" w:cs="宋体"/>
                <w:bCs w:val="false"/>
                <w:kern w:val="2"/>
                <w:sz w:val="28"/>
                <w:szCs w:val="28"/>
                <w:lang w:val="en-US" w:eastAsia="zh-CN"/>
              </w:rPr>
              <w:t>四</w:t>
            </w:r>
            <w:r>
              <w:rPr>
                <w:rStyle w:val="IndexLink"/>
                <w:rFonts w:ascii="宋体" w:hAnsi="宋体" w:cs="宋体"/>
                <w:bCs w:val="false"/>
                <w:kern w:val="2"/>
                <w:sz w:val="28"/>
                <w:szCs w:val="28"/>
              </w:rPr>
              <w:t>、</w:t>
            </w:r>
            <w:r>
              <w:rPr>
                <w:rStyle w:val="IndexLink"/>
                <w:rFonts w:ascii="宋体" w:hAnsi="宋体" w:cs="宋体"/>
                <w:bCs w:val="false"/>
                <w:kern w:val="2"/>
                <w:sz w:val="28"/>
                <w:szCs w:val="28"/>
                <w:lang w:eastAsia="zh-CN"/>
              </w:rPr>
              <w:t>修编结果</w:t>
            </w:r>
            <w:r>
              <w:rPr>
                <w:rStyle w:val="IndexLink"/>
                <w:rFonts w:eastAsia="宋体" w:cs="宋体" w:ascii="宋体" w:hAnsi="宋体"/>
                <w:sz w:val="28"/>
                <w:szCs w:val="28"/>
              </w:rPr>
              <w:tab/>
            </w:r>
            <w:r>
              <w:rPr>
                <w:rStyle w:val="IndexLink"/>
                <w:rFonts w:eastAsia="宋体" w:cs="宋体" w:ascii="宋体" w:hAnsi="宋体"/>
                <w:sz w:val="28"/>
                <w:szCs w:val="28"/>
                <w:lang w:val="en-US" w:eastAsia="zh-CN"/>
              </w:rPr>
              <w:t>5</w:t>
            </w:r>
          </w:hyperlink>
        </w:p>
        <w:p>
          <w:pPr>
            <w:pStyle w:val="WPSOffice1"/>
            <w:tabs>
              <w:tab w:val="clear" w:pos="420"/>
              <w:tab w:val="right" w:pos="8504" w:leader="dot"/>
            </w:tabs>
            <w:rPr>
              <w:rFonts w:ascii="宋体" w:hAnsi="宋体" w:eastAsia="宋体" w:cs="宋体"/>
              <w:sz w:val="28"/>
              <w:szCs w:val="28"/>
            </w:rPr>
          </w:pPr>
          <w:hyperlink w:anchor="__RefHeading___Toc30627">
            <w:r>
              <w:rPr>
                <w:rStyle w:val="IndexLink"/>
                <w:rFonts w:ascii="宋体" w:hAnsi="宋体" w:cs="宋体"/>
                <w:bCs w:val="false"/>
                <w:kern w:val="2"/>
                <w:sz w:val="28"/>
                <w:szCs w:val="28"/>
                <w:lang w:val="en-US" w:eastAsia="zh-CN"/>
              </w:rPr>
              <w:t>五</w:t>
            </w:r>
            <w:r>
              <w:rPr>
                <w:rStyle w:val="IndexLink"/>
                <w:rFonts w:ascii="宋体" w:hAnsi="宋体" w:cs="宋体"/>
                <w:bCs w:val="false"/>
                <w:kern w:val="2"/>
                <w:sz w:val="28"/>
                <w:szCs w:val="28"/>
              </w:rPr>
              <w:t>、</w:t>
            </w:r>
            <w:r>
              <w:rPr>
                <w:rStyle w:val="IndexLink"/>
                <w:rFonts w:ascii="宋体" w:hAnsi="宋体" w:cs="宋体"/>
                <w:bCs w:val="false"/>
                <w:kern w:val="2"/>
                <w:sz w:val="28"/>
                <w:szCs w:val="28"/>
                <w:lang w:eastAsia="zh-CN"/>
              </w:rPr>
              <w:t>差异性分析</w:t>
            </w:r>
            <w:r>
              <w:rPr>
                <w:rStyle w:val="IndexLink"/>
                <w:rFonts w:eastAsia="宋体" w:cs="宋体" w:ascii="宋体" w:hAnsi="宋体"/>
                <w:sz w:val="28"/>
                <w:szCs w:val="28"/>
              </w:rPr>
              <w:tab/>
            </w:r>
            <w:r>
              <w:rPr>
                <w:rStyle w:val="IndexLink"/>
                <w:rFonts w:eastAsia="宋体" w:cs="宋体" w:ascii="宋体" w:hAnsi="宋体"/>
                <w:sz w:val="28"/>
                <w:szCs w:val="28"/>
                <w:lang w:val="en-US" w:eastAsia="zh-CN"/>
              </w:rPr>
              <w:t>5</w:t>
            </w:r>
          </w:hyperlink>
        </w:p>
        <w:p>
          <w:pPr>
            <w:pStyle w:val="WPSOffice1"/>
            <w:tabs>
              <w:tab w:val="clear" w:pos="420"/>
              <w:tab w:val="right" w:pos="8504" w:leader="dot"/>
            </w:tabs>
            <w:rPr>
              <w:rFonts w:ascii="宋体" w:hAnsi="宋体" w:eastAsia="宋体" w:cs="宋体"/>
              <w:sz w:val="28"/>
              <w:szCs w:val="28"/>
              <w:lang w:val="en-US" w:eastAsia="zh-CN"/>
            </w:rPr>
          </w:pPr>
          <w:hyperlink w:anchor="__RefHeading___Toc10047">
            <w:r>
              <w:rPr>
                <w:rStyle w:val="IndexLink"/>
                <w:rFonts w:ascii="宋体" w:hAnsi="宋体" w:cs="宋体"/>
                <w:bCs w:val="false"/>
                <w:kern w:val="2"/>
                <w:sz w:val="28"/>
                <w:szCs w:val="28"/>
                <w:lang w:val="en-US" w:eastAsia="zh-CN"/>
              </w:rPr>
              <w:t>六、其他</w:t>
            </w:r>
            <w:r>
              <w:rPr>
                <w:rStyle w:val="IndexLink"/>
                <w:rFonts w:eastAsia="宋体" w:cs="宋体" w:ascii="宋体" w:hAnsi="宋体"/>
                <w:sz w:val="28"/>
                <w:szCs w:val="28"/>
              </w:rPr>
              <w:tab/>
            </w:r>
            <w:r>
              <w:rPr>
                <w:rStyle w:val="IndexLink"/>
                <w:rFonts w:eastAsia="宋体" w:cs="宋体" w:ascii="宋体" w:hAnsi="宋体"/>
                <w:sz w:val="28"/>
                <w:szCs w:val="28"/>
                <w:lang w:val="en-US" w:eastAsia="zh-CN"/>
              </w:rPr>
              <w:t>1</w:t>
            </w:r>
          </w:hyperlink>
          <w:r>
            <w:rPr>
              <w:rFonts w:eastAsia="宋体" w:cs="宋体" w:ascii="宋体" w:hAnsi="宋体"/>
              <w:sz w:val="28"/>
              <w:szCs w:val="28"/>
              <w:lang w:val="en-US" w:eastAsia="zh-CN"/>
            </w:rPr>
            <w:t>6</w:t>
          </w:r>
          <w:r>
            <w:rPr>
              <w:sz w:val="28"/>
              <w:szCs w:val="28"/>
              <w:rFonts w:ascii="宋体" w:hAnsi="宋体" w:cs="宋体"/>
              <w:lang w:val="en-US" w:eastAsia="zh-CN"/>
            </w:rPr>
            <w:fldChar w:fldCharType="end"/>
          </w:r>
        </w:p>
      </w:sdtContent>
    </w:sdt>
    <w:p>
      <w:pPr>
        <w:sectPr>
          <w:headerReference w:type="default" r:id="rId4"/>
          <w:headerReference w:type="first" r:id="rId5"/>
          <w:footerReference w:type="default" r:id="rId6"/>
          <w:footerReference w:type="first" r:id="rId7"/>
          <w:type w:val="nextPage"/>
          <w:pgSz w:w="11906" w:h="16838"/>
          <w:pgMar w:left="1701" w:right="1701" w:gutter="0" w:header="1361" w:top="1701" w:footer="1361" w:bottom="1701"/>
          <w:pgNumType w:start="1" w:fmt="decimal"/>
          <w:formProt w:val="false"/>
          <w:textDirection w:val="lrTb"/>
          <w:docGrid w:type="lines" w:linePitch="312" w:charSpace="0"/>
        </w:sectPr>
        <w:pStyle w:val="Normal"/>
        <w:numPr>
          <w:ilvl w:val="0"/>
          <w:numId w:val="0"/>
        </w:numPr>
        <w:rPr>
          <w:rFonts w:ascii="宋体" w:hAnsi="宋体" w:eastAsia="宋体" w:cs="宋体"/>
          <w:sz w:val="28"/>
          <w:szCs w:val="28"/>
          <w:lang w:val="en-US" w:eastAsia="zh-CN"/>
        </w:rPr>
      </w:pPr>
      <w:r>
        <w:rPr>
          <w:rFonts w:eastAsia="宋体" w:cs="宋体" w:ascii="宋体" w:hAnsi="宋体"/>
          <w:sz w:val="28"/>
          <w:szCs w:val="28"/>
          <w:lang w:val="en-US" w:eastAsia="zh-CN"/>
        </w:rPr>
      </w:r>
    </w:p>
    <w:p>
      <w:pPr>
        <w:pStyle w:val="Normal"/>
        <w:rPr/>
      </w:pPr>
      <w:r>
        <w:rPr/>
      </w:r>
    </w:p>
    <w:p>
      <w:pPr>
        <w:pStyle w:val="Normal"/>
        <w:keepNext w:val="true"/>
        <w:keepLines/>
        <w:pageBreakBefore w:val="false"/>
        <w:widowControl w:val="false"/>
        <w:numPr>
          <w:ilvl w:val="0"/>
          <w:numId w:val="0"/>
        </w:numPr>
        <w:kinsoku w:val="true"/>
        <w:overflowPunct w:val="true"/>
        <w:autoSpaceDE w:val="true"/>
        <w:bidi w:val="0"/>
        <w:snapToGrid w:val="true"/>
        <w:spacing w:lineRule="auto" w:line="240" w:before="313" w:after="313"/>
        <w:jc w:val="center"/>
        <w:textAlignment w:val="auto"/>
        <w:outlineLvl w:val="0"/>
        <w:rPr/>
      </w:pPr>
      <w:r>
        <w:rPr>
          <w:rFonts w:eastAsia="宋体" w:cs="宋体" w:ascii="宋体" w:hAnsi="宋体"/>
          <w:b/>
          <w:sz w:val="36"/>
          <w:szCs w:val="36"/>
          <w:lang w:val="en-US" w:eastAsia="zh-CN"/>
        </w:rPr>
        <w:t>TJ4</w:t>
      </w:r>
      <w:r>
        <w:rPr>
          <w:rFonts w:ascii="宋体" w:hAnsi="宋体" w:cs="宋体"/>
          <w:b/>
          <w:sz w:val="36"/>
          <w:szCs w:val="36"/>
        </w:rPr>
        <w:t>合同段施工图阶段清单修编报告</w:t>
      </w:r>
    </w:p>
    <w:p>
      <w:pPr>
        <w:pStyle w:val="Normal"/>
        <w:widowControl/>
        <w:autoSpaceDE w:val="false"/>
        <w:spacing w:lineRule="auto" w:line="480" w:before="40" w:after="40"/>
        <w:textAlignment w:val="bottom"/>
        <w:rPr>
          <w:rFonts w:ascii="仿宋" w:hAnsi="仿宋" w:eastAsia="仿宋" w:cs="仿宋"/>
          <w:color w:val="000000"/>
          <w:sz w:val="30"/>
          <w:szCs w:val="30"/>
          <w:lang w:val="en-US" w:eastAsia="zh-CN"/>
        </w:rPr>
      </w:pPr>
      <w:r>
        <w:rPr>
          <w:rFonts w:ascii="仿宋" w:hAnsi="仿宋" w:cs="仿宋" w:eastAsia="仿宋"/>
          <w:color w:val="000000"/>
          <w:sz w:val="30"/>
          <w:szCs w:val="30"/>
          <w:lang w:val="en-US" w:eastAsia="zh-CN"/>
        </w:rPr>
        <w:t>广东省政府还贷高速公路管理中心</w:t>
      </w:r>
      <w:r>
        <w:rPr>
          <w:rFonts w:ascii="仿宋" w:hAnsi="仿宋" w:cs="仿宋" w:eastAsia="仿宋"/>
          <w:color w:val="000000"/>
          <w:sz w:val="30"/>
          <w:szCs w:val="30"/>
          <w:lang w:val="en-US" w:eastAsia="zh-CN"/>
        </w:rPr>
        <w:t>：</w:t>
      </w:r>
    </w:p>
    <w:p>
      <w:pPr>
        <w:pStyle w:val="Normal"/>
        <w:widowControl/>
        <w:autoSpaceDE w:val="false"/>
        <w:spacing w:lineRule="auto" w:line="480" w:before="40" w:after="40"/>
        <w:ind w:firstLine="600" w:end="0"/>
        <w:textAlignment w:val="bottom"/>
        <w:rPr>
          <w:rFonts w:ascii="仿宋" w:hAnsi="仿宋" w:eastAsia="仿宋" w:cs="仿宋"/>
          <w:sz w:val="30"/>
          <w:szCs w:val="30"/>
        </w:rPr>
      </w:pPr>
      <w:r>
        <w:rPr>
          <w:rFonts w:ascii="仿宋" w:hAnsi="仿宋" w:cs="仿宋" w:eastAsia="仿宋"/>
          <w:sz w:val="30"/>
          <w:szCs w:val="30"/>
        </w:rPr>
        <w:t>受贵公司委托，根据合同约定，我司于2026年06月起安排专业造价技术人员对贵公司建设的梅州平远至福建武平高速公路（广东段）土建工程施工TJ4标段的施工图工程量清单进行了审核，依据贵公司提供的施工合同文件、技术规范及设计文件等相关资料，我司进行了核算、询问、与设计单位、业主单位沟通等必要的审核工作，现已完成TJ4标段的施工图阶段工程量清单修编，现对审核报告如下：</w:t>
      </w:r>
    </w:p>
    <w:p>
      <w:pPr>
        <w:pStyle w:val="Normal"/>
        <w:keepNext w:val="false"/>
        <w:keepLines w:val="false"/>
        <w:pageBreakBefore w:val="false"/>
        <w:widowControl w:val="false"/>
        <w:numPr>
          <w:ilvl w:val="0"/>
          <w:numId w:val="0"/>
        </w:numPr>
        <w:kinsoku w:val="true"/>
        <w:overflowPunct w:val="true"/>
        <w:autoSpaceDE w:val="true"/>
        <w:bidi w:val="0"/>
        <w:snapToGrid w:val="true"/>
        <w:spacing w:lineRule="auto" w:line="360"/>
        <w:ind w:firstLine="600" w:end="0"/>
        <w:textAlignment w:val="auto"/>
        <w:outlineLvl w:val="0"/>
        <w:rPr>
          <w:rFonts w:ascii="黑体" w:hAnsi="黑体" w:eastAsia="黑体" w:cs="黑体"/>
          <w:b w:val="false"/>
          <w:bCs w:val="false"/>
          <w:kern w:val="2"/>
          <w:sz w:val="30"/>
          <w:szCs w:val="30"/>
        </w:rPr>
      </w:pPr>
      <w:bookmarkStart w:id="0" w:name="__RefHeading___Toc11696"/>
      <w:bookmarkEnd w:id="0"/>
      <w:r>
        <w:rPr>
          <w:rFonts w:ascii="黑体" w:hAnsi="黑体" w:cs="黑体" w:eastAsia="黑体"/>
          <w:b w:val="false"/>
          <w:bCs w:val="false"/>
          <w:kern w:val="2"/>
          <w:sz w:val="30"/>
          <w:szCs w:val="30"/>
        </w:rPr>
        <w:t>一、工程</w:t>
      </w:r>
      <w:r>
        <w:rPr>
          <w:rFonts w:ascii="黑体" w:hAnsi="黑体" w:cs="黑体" w:eastAsia="黑体"/>
          <w:b w:val="false"/>
          <w:bCs w:val="false"/>
          <w:spacing w:val="20"/>
          <w:sz w:val="30"/>
          <w:szCs w:val="30"/>
        </w:rPr>
        <w:t>概况</w:t>
      </w:r>
    </w:p>
    <w:p>
      <w:pPr>
        <w:pStyle w:val="Normal"/>
        <w:keepNext w:val="false"/>
        <w:keepLines w:val="false"/>
        <w:pageBreakBefore w:val="false"/>
        <w:widowControl w:val="false"/>
        <w:kinsoku w:val="true"/>
        <w:overflowPunct w:val="true"/>
        <w:autoSpaceDE w:val="true"/>
        <w:bidi w:val="0"/>
        <w:snapToGrid w:val="true"/>
        <w:spacing w:lineRule="auto" w:line="360"/>
        <w:ind w:firstLine="600" w:end="0"/>
        <w:textAlignment w:val="auto"/>
        <w:rPr>
          <w:rFonts w:ascii="仿宋" w:hAnsi="仿宋" w:eastAsia="仿宋" w:cs="仿宋"/>
          <w:sz w:val="30"/>
          <w:szCs w:val="30"/>
          <w:lang w:eastAsia="zh-CN"/>
        </w:rPr>
      </w:pPr>
      <w:r>
        <w:rPr>
          <w:rFonts w:eastAsia="仿宋" w:cs="仿宋" w:ascii="仿宋" w:hAnsi="仿宋"/>
          <w:sz w:val="30"/>
          <w:szCs w:val="30"/>
          <w:lang w:eastAsia="zh-CN"/>
        </w:rPr>
        <w:t>1.</w:t>
      </w:r>
      <w:r>
        <w:rPr>
          <w:rFonts w:ascii="仿宋" w:hAnsi="仿宋" w:cs="仿宋" w:eastAsia="仿宋"/>
          <w:sz w:val="30"/>
          <w:szCs w:val="30"/>
          <w:lang w:eastAsia="zh-CN"/>
        </w:rPr>
        <w:t>基本情况</w:t>
      </w:r>
    </w:p>
    <w:p>
      <w:pPr>
        <w:pStyle w:val="Normal"/>
        <w:tabs>
          <w:tab w:val="clear" w:pos="420"/>
          <w:tab w:val="left" w:pos="1050" w:leader="none"/>
        </w:tabs>
        <w:spacing w:lineRule="auto" w:line="360"/>
        <w:ind w:firstLine="600" w:end="0"/>
        <w:rPr>
          <w:rFonts w:ascii="仿宋" w:hAnsi="仿宋" w:eastAsia="仿宋" w:cs="仿宋"/>
          <w:sz w:val="30"/>
          <w:szCs w:val="30"/>
        </w:rPr>
      </w:pPr>
      <w:r>
        <w:rPr>
          <w:rFonts w:ascii="仿宋" w:hAnsi="仿宋" w:cs="仿宋" w:eastAsia="仿宋"/>
          <w:sz w:val="30"/>
          <w:szCs w:val="30"/>
          <w:lang w:val="en-US" w:eastAsia="zh-CN"/>
        </w:rPr>
        <w:t>梅州平远至福建武平高速公路（广东段）位于原中央苏区梅州市平远县，连接广东省梅州市和福建省龙岩市。</w:t>
      </w:r>
    </w:p>
    <w:p>
      <w:pPr>
        <w:pStyle w:val="Normal"/>
        <w:keepNext w:val="false"/>
        <w:keepLines w:val="false"/>
        <w:widowControl/>
        <w:suppressLineNumbers w:val="0"/>
        <w:ind w:firstLine="600" w:end="0"/>
        <w:jc w:val="start"/>
        <w:rPr>
          <w:rFonts w:ascii="仿宋" w:hAnsi="仿宋" w:eastAsia="仿宋" w:cs="仿宋"/>
          <w:sz w:val="30"/>
          <w:szCs w:val="30"/>
          <w:lang w:val="en-US" w:eastAsia="zh-CN"/>
        </w:rPr>
      </w:pPr>
      <w:r>
        <w:rPr>
          <w:rFonts w:ascii="仿宋" w:hAnsi="仿宋" w:cs="仿宋" w:eastAsia="仿宋"/>
          <w:sz w:val="30"/>
          <w:szCs w:val="30"/>
          <w:lang w:val="en-US" w:eastAsia="zh-CN"/>
        </w:rPr>
        <w:t>本项目路线起于梅州市平远县大柘镇径门口，接济广高速公路（设径门口枢纽互通立交），沿国道G206线布线，向东经墩背村、河岭村，终于程西村，顺接拟建潮南高速平远至武平（粤闽界）段，并与规划潮南高速公路大埔至平远段呈T形交叉（设平远北枢纽互通立交）。TJ4标段起讫桩号为K32+250～K38+500，路线全长6.25km。标段内路基挖土方约33.1万m3、挖石方约40.1万m3，设有阳济大桥、正化1号大桥、正化2号大桥、坡子岭1号大桥、坡子岭2号大桥、乳子石大桥等桥梁及盖板涵、通道涵等构造物。</w:t>
      </w:r>
    </w:p>
    <w:p>
      <w:pPr>
        <w:pStyle w:val="Normal"/>
        <w:keepNext w:val="false"/>
        <w:keepLines w:val="false"/>
        <w:widowControl/>
        <w:suppressLineNumbers w:val="0"/>
        <w:ind w:firstLine="600" w:end="0"/>
        <w:jc w:val="start"/>
        <w:rPr>
          <w:rFonts w:ascii="仿宋" w:hAnsi="仿宋" w:eastAsia="仿宋" w:cs="仿宋"/>
          <w:sz w:val="30"/>
          <w:szCs w:val="30"/>
          <w:lang w:eastAsia="zh-CN"/>
        </w:rPr>
      </w:pPr>
      <w:r>
        <w:rPr>
          <w:rFonts w:ascii="仿宋" w:hAnsi="仿宋" w:cs="仿宋" w:eastAsia="仿宋"/>
          <w:sz w:val="30"/>
          <w:szCs w:val="30"/>
        </w:rPr>
        <w:t>第</w:t>
      </w:r>
      <w:r>
        <w:rPr>
          <w:rFonts w:eastAsia="仿宋" w:cs="仿宋" w:ascii="仿宋" w:hAnsi="仿宋"/>
          <w:sz w:val="30"/>
          <w:szCs w:val="30"/>
          <w:lang w:val="en-US" w:eastAsia="zh-CN"/>
        </w:rPr>
        <w:t>TJ4</w:t>
      </w:r>
      <w:r>
        <w:rPr>
          <w:rFonts w:ascii="仿宋" w:hAnsi="仿宋" w:cs="仿宋" w:eastAsia="仿宋"/>
          <w:sz w:val="30"/>
          <w:szCs w:val="30"/>
        </w:rPr>
        <w:t>合同段由</w:t>
      </w:r>
      <w:r>
        <w:rPr>
          <w:rFonts w:ascii="仿宋" w:hAnsi="仿宋" w:cs="仿宋" w:eastAsia="仿宋"/>
          <w:sz w:val="30"/>
          <w:szCs w:val="30"/>
          <w:lang w:val="en-US" w:eastAsia="zh-CN"/>
        </w:rPr>
        <w:t>广东省交通规划设计研究院集团股份有限公司</w:t>
      </w:r>
      <w:r>
        <w:rPr>
          <w:rFonts w:ascii="仿宋" w:hAnsi="仿宋" w:cs="仿宋" w:eastAsia="仿宋"/>
          <w:sz w:val="30"/>
          <w:szCs w:val="30"/>
        </w:rPr>
        <w:t>进行设计，通过公开招标方式确定由</w:t>
      </w:r>
      <w:r>
        <w:rPr>
          <w:rFonts w:ascii="仿宋" w:hAnsi="仿宋" w:cs="仿宋" w:eastAsia="仿宋"/>
          <w:sz w:val="30"/>
          <w:szCs w:val="30"/>
          <w:lang w:val="en-US" w:eastAsia="zh-CN"/>
        </w:rPr>
        <w:t>中铁十二局集团有限公司</w:t>
      </w:r>
      <w:r>
        <w:rPr>
          <w:rFonts w:ascii="仿宋" w:hAnsi="仿宋" w:cs="仿宋" w:eastAsia="仿宋"/>
          <w:sz w:val="30"/>
          <w:szCs w:val="30"/>
        </w:rPr>
        <w:t>承建</w:t>
      </w:r>
      <w:r>
        <w:rPr>
          <w:rFonts w:ascii="仿宋" w:hAnsi="仿宋" w:cs="仿宋" w:eastAsia="仿宋"/>
          <w:sz w:val="30"/>
          <w:szCs w:val="30"/>
          <w:lang w:eastAsia="zh-CN"/>
        </w:rPr>
        <w:t>。</w:t>
      </w:r>
    </w:p>
    <w:p>
      <w:pPr>
        <w:pStyle w:val="Heading1"/>
        <w:keepNext w:val="true"/>
        <w:keepLines/>
        <w:pageBreakBefore w:val="false"/>
        <w:widowControl w:val="false"/>
        <w:kinsoku w:val="true"/>
        <w:overflowPunct w:val="true"/>
        <w:autoSpaceDE w:val="true"/>
        <w:bidi w:val="0"/>
        <w:snapToGrid w:val="true"/>
        <w:spacing w:lineRule="auto" w:line="240" w:before="157" w:after="0"/>
        <w:ind w:hanging="0" w:start="0"/>
        <w:textAlignment w:val="auto"/>
        <w:rPr>
          <w:rFonts w:ascii="黑体" w:hAnsi="黑体" w:eastAsia="黑体" w:cs="黑体"/>
          <w:b w:val="false"/>
          <w:bCs w:val="false"/>
          <w:kern w:val="2"/>
          <w:sz w:val="30"/>
          <w:szCs w:val="30"/>
        </w:rPr>
      </w:pPr>
      <w:bookmarkStart w:id="1" w:name="__RefHeading___Toc18453"/>
      <w:bookmarkEnd w:id="1"/>
      <w:r>
        <w:rPr>
          <w:rFonts w:ascii="黑体" w:hAnsi="黑体" w:cs="黑体" w:eastAsia="黑体"/>
          <w:b w:val="false"/>
          <w:bCs w:val="false"/>
          <w:kern w:val="2"/>
          <w:sz w:val="30"/>
          <w:szCs w:val="30"/>
        </w:rPr>
        <w:t>二、审核依据</w:t>
      </w:r>
    </w:p>
    <w:p>
      <w:pPr>
        <w:pStyle w:val="Normal"/>
        <w:tabs>
          <w:tab w:val="clear" w:pos="420"/>
          <w:tab w:val="left" w:pos="1050" w:leader="none"/>
        </w:tabs>
        <w:spacing w:lineRule="auto" w:line="360"/>
        <w:ind w:firstLine="640" w:end="0"/>
        <w:rPr>
          <w:rFonts w:ascii="仿宋" w:hAnsi="仿宋" w:eastAsia="仿宋" w:cs="仿宋"/>
          <w:sz w:val="30"/>
          <w:szCs w:val="30"/>
        </w:rPr>
      </w:pPr>
      <w:r>
        <w:rPr>
          <w:rFonts w:eastAsia="仿宋" w:cs="仿宋" w:ascii="仿宋" w:hAnsi="仿宋"/>
          <w:sz w:val="32"/>
          <w:szCs w:val="32"/>
        </w:rPr>
        <w:t>1</w:t>
      </w:r>
      <w:r>
        <w:rPr>
          <w:rFonts w:ascii="仿宋" w:hAnsi="仿宋" w:cs="仿宋" w:eastAsia="仿宋"/>
          <w:sz w:val="32"/>
          <w:szCs w:val="32"/>
        </w:rPr>
        <w:t>、</w:t>
      </w:r>
      <w:r>
        <w:rPr>
          <w:rFonts w:ascii="仿宋" w:hAnsi="仿宋" w:cs="仿宋" w:eastAsia="仿宋"/>
          <w:sz w:val="30"/>
          <w:szCs w:val="30"/>
          <w:lang w:val="en-US" w:eastAsia="zh-CN"/>
        </w:rPr>
        <w:t>梅州平远至福建武平高速公路项目</w:t>
      </w:r>
      <w:r>
        <w:rPr>
          <w:rFonts w:eastAsia="仿宋" w:cs="仿宋" w:ascii="仿宋" w:hAnsi="仿宋"/>
          <w:sz w:val="30"/>
          <w:szCs w:val="30"/>
          <w:lang w:val="en-US" w:eastAsia="zh-CN"/>
        </w:rPr>
        <w:t>TJ4</w:t>
      </w:r>
      <w:r>
        <w:rPr>
          <w:rFonts w:ascii="仿宋" w:hAnsi="仿宋" w:cs="仿宋" w:eastAsia="仿宋"/>
          <w:sz w:val="30"/>
          <w:szCs w:val="30"/>
          <w:lang w:val="en-US" w:eastAsia="zh-CN"/>
        </w:rPr>
        <w:t>合同段</w:t>
      </w:r>
      <w:r>
        <w:rPr>
          <w:rFonts w:ascii="仿宋" w:hAnsi="仿宋" w:cs="仿宋" w:eastAsia="仿宋"/>
          <w:sz w:val="30"/>
          <w:szCs w:val="30"/>
        </w:rPr>
        <w:t>施工合同；</w:t>
      </w:r>
    </w:p>
    <w:p>
      <w:pPr>
        <w:pStyle w:val="Normal"/>
        <w:tabs>
          <w:tab w:val="clear" w:pos="420"/>
          <w:tab w:val="left" w:pos="1050" w:leader="none"/>
        </w:tabs>
        <w:spacing w:lineRule="auto" w:line="360"/>
        <w:ind w:firstLine="600" w:end="0"/>
        <w:rPr>
          <w:rFonts w:ascii="仿宋" w:hAnsi="仿宋" w:eastAsia="仿宋" w:cs="仿宋"/>
          <w:sz w:val="30"/>
          <w:szCs w:val="30"/>
        </w:rPr>
      </w:pPr>
      <w:r>
        <w:rPr>
          <w:rFonts w:eastAsia="仿宋" w:cs="仿宋" w:ascii="仿宋" w:hAnsi="仿宋"/>
          <w:sz w:val="30"/>
          <w:szCs w:val="30"/>
        </w:rPr>
        <w:t>2</w:t>
      </w:r>
      <w:r>
        <w:rPr>
          <w:rFonts w:ascii="仿宋" w:hAnsi="仿宋" w:cs="仿宋" w:eastAsia="仿宋"/>
          <w:sz w:val="30"/>
          <w:szCs w:val="30"/>
        </w:rPr>
        <w:t>、</w:t>
      </w:r>
      <w:r>
        <w:rPr>
          <w:rFonts w:ascii="仿宋" w:hAnsi="仿宋" w:cs="仿宋" w:eastAsia="仿宋"/>
          <w:sz w:val="30"/>
          <w:szCs w:val="30"/>
          <w:lang w:val="en-US" w:eastAsia="zh-CN"/>
        </w:rPr>
        <w:t>梅州平远至福建武平高速公路项目</w:t>
      </w:r>
      <w:r>
        <w:rPr>
          <w:rFonts w:eastAsia="仿宋" w:cs="仿宋" w:ascii="仿宋" w:hAnsi="仿宋"/>
          <w:sz w:val="30"/>
          <w:szCs w:val="30"/>
          <w:lang w:val="en-US" w:eastAsia="zh-CN"/>
        </w:rPr>
        <w:t>TJ4</w:t>
      </w:r>
      <w:r>
        <w:rPr>
          <w:rFonts w:ascii="仿宋" w:hAnsi="仿宋" w:cs="仿宋" w:eastAsia="仿宋"/>
          <w:sz w:val="30"/>
          <w:szCs w:val="30"/>
          <w:lang w:val="en-US" w:eastAsia="zh-CN"/>
        </w:rPr>
        <w:t>合同段</w:t>
      </w:r>
      <w:r>
        <w:rPr>
          <w:rFonts w:ascii="仿宋" w:hAnsi="仿宋" w:cs="仿宋" w:eastAsia="仿宋"/>
          <w:sz w:val="30"/>
          <w:szCs w:val="30"/>
        </w:rPr>
        <w:t>招标文件、投标文件、中标通知书；</w:t>
      </w:r>
    </w:p>
    <w:p>
      <w:pPr>
        <w:pStyle w:val="Normal"/>
        <w:tabs>
          <w:tab w:val="clear" w:pos="420"/>
          <w:tab w:val="left" w:pos="1050" w:leader="none"/>
        </w:tabs>
        <w:spacing w:lineRule="auto" w:line="360"/>
        <w:ind w:firstLine="600" w:end="0"/>
        <w:rPr>
          <w:rFonts w:ascii="仿宋" w:hAnsi="仿宋" w:eastAsia="仿宋" w:cs="仿宋"/>
          <w:sz w:val="30"/>
          <w:szCs w:val="30"/>
          <w:lang w:eastAsia="zh-CN"/>
        </w:rPr>
      </w:pPr>
      <w:r>
        <w:rPr>
          <w:rFonts w:eastAsia="仿宋" w:cs="仿宋" w:ascii="仿宋" w:hAnsi="仿宋"/>
          <w:sz w:val="30"/>
          <w:szCs w:val="30"/>
        </w:rPr>
        <w:t>3、由广东省交通规划设计研究院集团股份有限公司于2026年1月出版的《梅州平远至福建武平高速公路（广东段）TJ4标段（K32+250~K38+500）两阶段施工图设计文件》；</w:t>
      </w:r>
    </w:p>
    <w:p>
      <w:pPr>
        <w:pStyle w:val="Normal"/>
        <w:tabs>
          <w:tab w:val="clear" w:pos="420"/>
          <w:tab w:val="left" w:pos="1050" w:leader="none"/>
        </w:tabs>
        <w:spacing w:lineRule="auto" w:line="360"/>
        <w:ind w:firstLine="600" w:end="0"/>
        <w:rPr>
          <w:rFonts w:ascii="仿宋" w:hAnsi="仿宋" w:eastAsia="仿宋" w:cs="仿宋"/>
          <w:sz w:val="30"/>
          <w:szCs w:val="30"/>
        </w:rPr>
      </w:pPr>
      <w:r>
        <w:rPr>
          <w:rFonts w:eastAsia="仿宋" w:cs="仿宋" w:ascii="仿宋" w:hAnsi="仿宋"/>
          <w:sz w:val="30"/>
          <w:szCs w:val="30"/>
          <w:lang w:val="en-US" w:eastAsia="zh-CN"/>
        </w:rPr>
        <w:t>4</w:t>
      </w:r>
      <w:r>
        <w:rPr>
          <w:rFonts w:ascii="仿宋" w:hAnsi="仿宋" w:cs="仿宋" w:eastAsia="仿宋"/>
          <w:sz w:val="30"/>
          <w:szCs w:val="30"/>
        </w:rPr>
        <w:t>、《中华人民共和国交通运输部公路工程标准施工招标文件（</w:t>
      </w:r>
      <w:r>
        <w:rPr>
          <w:rFonts w:eastAsia="仿宋" w:cs="仿宋" w:ascii="仿宋" w:hAnsi="仿宋"/>
          <w:sz w:val="30"/>
          <w:szCs w:val="30"/>
        </w:rPr>
        <w:t>20</w:t>
      </w:r>
      <w:r>
        <w:rPr>
          <w:rFonts w:eastAsia="仿宋" w:cs="仿宋" w:ascii="仿宋" w:hAnsi="仿宋"/>
          <w:sz w:val="30"/>
          <w:szCs w:val="30"/>
          <w:lang w:val="en-US" w:eastAsia="zh-CN"/>
        </w:rPr>
        <w:t>18</w:t>
      </w:r>
      <w:r>
        <w:rPr>
          <w:rFonts w:ascii="仿宋" w:hAnsi="仿宋" w:cs="仿宋" w:eastAsia="仿宋"/>
          <w:sz w:val="30"/>
          <w:szCs w:val="30"/>
        </w:rPr>
        <w:t>年版）》；</w:t>
      </w:r>
    </w:p>
    <w:p>
      <w:pPr>
        <w:pStyle w:val="Normal"/>
        <w:ind w:firstLine="600" w:end="0"/>
        <w:jc w:val="start"/>
        <w:rPr>
          <w:rFonts w:ascii="仿宋" w:hAnsi="仿宋" w:eastAsia="仿宋" w:cs="仿宋"/>
          <w:sz w:val="30"/>
          <w:szCs w:val="30"/>
          <w:highlight w:val="yellow"/>
          <w:lang w:val="en-US" w:eastAsia="zh-CN"/>
        </w:rPr>
      </w:pPr>
      <w:r>
        <w:rPr>
          <w:rFonts w:eastAsia="仿宋" w:cs="仿宋" w:ascii="仿宋" w:hAnsi="仿宋"/>
          <w:sz w:val="30"/>
          <w:szCs w:val="30"/>
          <w:lang w:val="en-US" w:eastAsia="zh-CN"/>
        </w:rPr>
        <w:t>5</w:t>
      </w:r>
      <w:r>
        <w:rPr>
          <w:rFonts w:ascii="仿宋" w:hAnsi="仿宋" w:cs="仿宋" w:eastAsia="仿宋"/>
          <w:sz w:val="30"/>
          <w:szCs w:val="30"/>
          <w:lang w:val="en-US" w:eastAsia="zh-CN"/>
        </w:rPr>
        <w:t>、广东省交通运输厅关于《公路工程建设项目投资估算编制办法》《公路工程建设项目概算预算编制办法》及配套指标定额补充规定的通知</w:t>
      </w:r>
      <w:r>
        <w:rPr>
          <w:rFonts w:ascii="仿宋" w:hAnsi="仿宋" w:cs="仿宋" w:eastAsia="仿宋"/>
          <w:sz w:val="30"/>
          <w:szCs w:val="30"/>
        </w:rPr>
        <w:t>（粤交</w:t>
      </w:r>
      <w:r>
        <w:rPr>
          <w:rFonts w:ascii="仿宋" w:hAnsi="仿宋" w:cs="仿宋" w:eastAsia="仿宋"/>
          <w:sz w:val="30"/>
          <w:szCs w:val="30"/>
        </w:rPr>
        <w:t>基</w:t>
      </w:r>
      <w:r>
        <w:rPr>
          <w:rFonts w:eastAsia="仿宋" w:cs="仿宋" w:ascii="仿宋" w:hAnsi="仿宋"/>
          <w:sz w:val="30"/>
          <w:szCs w:val="30"/>
        </w:rPr>
        <w:t>[201</w:t>
      </w:r>
      <w:r>
        <w:rPr>
          <w:rFonts w:eastAsia="仿宋" w:cs="仿宋" w:ascii="仿宋" w:hAnsi="仿宋"/>
          <w:sz w:val="30"/>
          <w:szCs w:val="30"/>
          <w:lang w:val="en-US" w:eastAsia="zh-CN"/>
        </w:rPr>
        <w:t>8</w:t>
      </w:r>
      <w:r>
        <w:rPr>
          <w:rFonts w:eastAsia="仿宋" w:cs="仿宋" w:ascii="仿宋" w:hAnsi="仿宋"/>
          <w:sz w:val="30"/>
          <w:szCs w:val="30"/>
        </w:rPr>
        <w:t>]</w:t>
      </w:r>
      <w:r>
        <w:rPr>
          <w:rFonts w:eastAsia="仿宋" w:cs="仿宋" w:ascii="仿宋" w:hAnsi="仿宋"/>
          <w:sz w:val="30"/>
          <w:szCs w:val="30"/>
          <w:lang w:val="en-US" w:eastAsia="zh-CN"/>
        </w:rPr>
        <w:t>544</w:t>
      </w:r>
      <w:r>
        <w:rPr>
          <w:rFonts w:ascii="仿宋" w:hAnsi="仿宋" w:cs="仿宋" w:eastAsia="仿宋"/>
          <w:sz w:val="30"/>
          <w:szCs w:val="30"/>
        </w:rPr>
        <w:t>号）；</w:t>
      </w:r>
    </w:p>
    <w:p>
      <w:pPr>
        <w:pStyle w:val="Normal"/>
        <w:ind w:firstLine="600" w:end="0"/>
        <w:jc w:val="start"/>
        <w:rPr>
          <w:rFonts w:ascii="仿宋" w:hAnsi="仿宋" w:eastAsia="仿宋" w:cs="仿宋"/>
          <w:sz w:val="30"/>
          <w:szCs w:val="30"/>
        </w:rPr>
      </w:pPr>
      <w:r>
        <w:rPr>
          <w:rFonts w:eastAsia="仿宋" w:cs="仿宋" w:ascii="仿宋" w:hAnsi="仿宋"/>
          <w:sz w:val="30"/>
          <w:szCs w:val="30"/>
          <w:lang w:val="en-US" w:eastAsia="zh-CN"/>
        </w:rPr>
        <w:t>6</w:t>
      </w:r>
      <w:r>
        <w:rPr>
          <w:rFonts w:ascii="仿宋" w:hAnsi="仿宋" w:cs="仿宋" w:eastAsia="仿宋"/>
          <w:sz w:val="30"/>
          <w:szCs w:val="30"/>
        </w:rPr>
        <w:t>、设计服务函及相关勘误文件。</w:t>
      </w:r>
    </w:p>
    <w:p>
      <w:pPr>
        <w:pStyle w:val="Heading1"/>
        <w:keepNext w:val="true"/>
        <w:keepLines/>
        <w:pageBreakBefore w:val="false"/>
        <w:widowControl w:val="false"/>
        <w:kinsoku w:val="true"/>
        <w:overflowPunct w:val="true"/>
        <w:autoSpaceDE w:val="true"/>
        <w:bidi w:val="0"/>
        <w:snapToGrid w:val="true"/>
        <w:spacing w:lineRule="auto" w:line="240" w:before="157" w:after="0"/>
        <w:ind w:hanging="0" w:start="0"/>
        <w:textAlignment w:val="auto"/>
        <w:rPr>
          <w:rFonts w:ascii="黑体" w:hAnsi="黑体" w:eastAsia="黑体" w:cs="黑体"/>
          <w:b w:val="false"/>
          <w:bCs w:val="false"/>
          <w:kern w:val="2"/>
          <w:sz w:val="30"/>
          <w:szCs w:val="30"/>
          <w:lang w:eastAsia="zh-CN"/>
        </w:rPr>
      </w:pPr>
      <w:bookmarkStart w:id="2" w:name="__RefHeading___Toc9964"/>
      <w:bookmarkEnd w:id="2"/>
      <w:r>
        <w:rPr>
          <w:rFonts w:ascii="黑体" w:hAnsi="黑体" w:cs="黑体" w:eastAsia="黑体"/>
          <w:b w:val="false"/>
          <w:bCs w:val="false"/>
          <w:kern w:val="2"/>
          <w:sz w:val="30"/>
          <w:szCs w:val="30"/>
          <w:lang w:val="en-US" w:eastAsia="zh-CN"/>
        </w:rPr>
        <w:t>三</w:t>
      </w:r>
      <w:r>
        <w:rPr>
          <w:rFonts w:ascii="黑体" w:hAnsi="黑体" w:cs="黑体" w:eastAsia="黑体"/>
          <w:b w:val="false"/>
          <w:bCs w:val="false"/>
          <w:kern w:val="2"/>
          <w:sz w:val="30"/>
          <w:szCs w:val="30"/>
        </w:rPr>
        <w:t>、</w:t>
      </w:r>
      <w:r>
        <w:rPr>
          <w:rFonts w:ascii="黑体" w:hAnsi="黑体" w:cs="黑体" w:eastAsia="黑体"/>
          <w:b w:val="false"/>
          <w:bCs w:val="false"/>
          <w:kern w:val="2"/>
          <w:sz w:val="30"/>
          <w:szCs w:val="30"/>
          <w:lang w:eastAsia="zh-CN"/>
        </w:rPr>
        <w:t>修编过程</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ascii="仿宋" w:hAnsi="仿宋" w:cs="仿宋" w:eastAsia="仿宋"/>
          <w:sz w:val="30"/>
          <w:szCs w:val="30"/>
        </w:rPr>
        <w:t>TJ4标段采用的设计文件为广东省交通规划设计研究院集团股份有限公司2026年1月出版的《梅州平远至福建武平高速公路（广东段）TJ4标段（K32+250~K38+500）两阶段施工图设计》图纸，并据此编制形成了施工图阶段分项工程量清单。由于施工图存在工程数量缺漏、错误等问题，设计单位通过设计后服务函（编号：PW-2026-TJ4-003、PW-2026-TJ4-007、PW-2026-TJ4-008）及勘误回复函对原图纸差、错、漏、碰等问题进行了更正，涉及路基工程、桥梁通用图及各桥工点图纸共一百五十余条意见。为确保项目工程质量及计量支付的准确性，我司依据施工合同、设计后服务函及勘误回复函对施工图阶段分项工程量清单进行了审核并提供相关审核意见，形成施工图修编清单。</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ascii="仿宋" w:hAnsi="仿宋" w:cs="仿宋" w:eastAsia="仿宋"/>
          <w:sz w:val="30"/>
          <w:szCs w:val="30"/>
        </w:rPr>
        <w:t>数量确定原则以2026年1月份施工图纸（含设计后服务函修改图纸）作为修编图纸，修编数量经施工单位、设计单位、业主单位三方确定。</w:t>
      </w:r>
    </w:p>
    <w:p>
      <w:pPr>
        <w:pStyle w:val="Normal"/>
        <w:spacing w:lineRule="auto" w:line="360"/>
        <w:ind w:firstLine="600" w:end="0"/>
        <w:rPr>
          <w:rFonts w:ascii="仿宋" w:hAnsi="仿宋" w:eastAsia="仿宋" w:cs="仿宋"/>
          <w:sz w:val="30"/>
          <w:szCs w:val="30"/>
          <w:highlight w:val="none"/>
        </w:rPr>
      </w:pPr>
      <w:r>
        <w:rPr>
          <w:rFonts w:ascii="仿宋" w:hAnsi="仿宋" w:cs="仿宋" w:eastAsia="仿宋"/>
          <w:sz w:val="30"/>
          <w:szCs w:val="30"/>
        </w:rPr>
        <w:t>新增单价原则按施工合同专用条款</w:t>
      </w:r>
      <w:r>
        <w:rPr>
          <w:rFonts w:eastAsia="仿宋" w:cs="仿宋" w:ascii="仿宋" w:hAnsi="仿宋"/>
          <w:sz w:val="30"/>
          <w:szCs w:val="30"/>
        </w:rPr>
        <w:t>15.4</w:t>
      </w:r>
      <w:r>
        <w:rPr>
          <w:rFonts w:ascii="仿宋" w:hAnsi="仿宋" w:cs="仿宋" w:eastAsia="仿宋"/>
          <w:sz w:val="30"/>
          <w:szCs w:val="30"/>
        </w:rPr>
        <w:t>变更估价</w:t>
      </w:r>
      <w:r>
        <w:rPr>
          <w:rFonts w:ascii="仿宋" w:hAnsi="仿宋" w:cs="仿宋" w:eastAsia="仿宋"/>
          <w:sz w:val="30"/>
          <w:szCs w:val="30"/>
          <w:lang w:val="en-US" w:eastAsia="zh-CN"/>
        </w:rPr>
        <w:t>原则</w:t>
      </w:r>
      <w:r>
        <w:rPr>
          <w:rFonts w:ascii="仿宋" w:hAnsi="仿宋" w:cs="仿宋" w:eastAsia="仿宋"/>
          <w:sz w:val="30"/>
          <w:szCs w:val="30"/>
        </w:rPr>
        <w:t>，新增单价确定应按以下优先顺序所列原则进行处理：</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ascii="仿宋" w:hAnsi="仿宋" w:cs="仿宋" w:eastAsia="仿宋"/>
          <w:sz w:val="30"/>
          <w:szCs w:val="30"/>
          <w:lang w:val="en-US" w:eastAsia="zh-CN"/>
        </w:rPr>
        <w:t xml:space="preserve">因变更引起的价格调整，应按以下优先顺序所列原则进行处理：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eastAsia="仿宋" w:cs="仿宋" w:ascii="仿宋" w:hAnsi="仿宋"/>
          <w:sz w:val="30"/>
          <w:szCs w:val="30"/>
          <w:lang w:val="en-US" w:eastAsia="zh-CN"/>
        </w:rPr>
        <w:t xml:space="preserve">15.4.1 </w:t>
      </w:r>
      <w:r>
        <w:rPr>
          <w:rFonts w:ascii="仿宋" w:hAnsi="仿宋" w:cs="仿宋" w:eastAsia="仿宋"/>
          <w:sz w:val="30"/>
          <w:szCs w:val="30"/>
          <w:lang w:val="en-US" w:eastAsia="zh-CN"/>
        </w:rPr>
        <w:t xml:space="preserve">如果取消某项工作，则该项工作的总额价不予支付；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eastAsia="仿宋" w:cs="仿宋" w:ascii="仿宋" w:hAnsi="仿宋"/>
          <w:sz w:val="30"/>
          <w:szCs w:val="30"/>
          <w:lang w:val="en-US" w:eastAsia="zh-CN"/>
        </w:rPr>
        <w:t xml:space="preserve">15.4.2 </w:t>
      </w:r>
      <w:r>
        <w:rPr>
          <w:rFonts w:ascii="仿宋" w:hAnsi="仿宋" w:cs="仿宋" w:eastAsia="仿宋"/>
          <w:sz w:val="30"/>
          <w:szCs w:val="30"/>
          <w:lang w:val="en-US" w:eastAsia="zh-CN"/>
        </w:rPr>
        <w:t>本合同段工程量清单中有相同或相似工程细目单价的，经发包人与承包人协商一致同意可直接套用该单价。本合同段内没有相同或适用合同单价的，原则上应套用同类合同段相应单价的算术平均值</w:t>
      </w:r>
      <w:r>
        <w:rPr>
          <w:rFonts w:eastAsia="仿宋" w:cs="仿宋" w:ascii="仿宋" w:hAnsi="仿宋"/>
          <w:sz w:val="30"/>
          <w:szCs w:val="30"/>
          <w:lang w:val="en-US" w:eastAsia="zh-CN"/>
        </w:rPr>
        <w:t>/</w:t>
      </w:r>
      <w:r>
        <w:rPr>
          <w:rFonts w:ascii="仿宋" w:hAnsi="仿宋" w:cs="仿宋" w:eastAsia="仿宋"/>
          <w:sz w:val="30"/>
          <w:szCs w:val="30"/>
          <w:lang w:val="en-US" w:eastAsia="zh-CN"/>
        </w:rPr>
        <w:t xml:space="preserve">加权平均值；但监理人认为受施工现场自然环境影响大的工程项目单价，报发包人同意后可套用自然环境相近似的合同段相应细目；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eastAsia="仿宋" w:cs="仿宋" w:ascii="仿宋" w:hAnsi="仿宋"/>
          <w:sz w:val="30"/>
          <w:szCs w:val="30"/>
          <w:lang w:val="en-US" w:eastAsia="zh-CN"/>
        </w:rPr>
        <w:t xml:space="preserve">15.4.3 </w:t>
      </w:r>
      <w:r>
        <w:rPr>
          <w:rFonts w:ascii="仿宋" w:hAnsi="仿宋" w:cs="仿宋" w:eastAsia="仿宋"/>
          <w:sz w:val="30"/>
          <w:szCs w:val="30"/>
          <w:lang w:val="en-US" w:eastAsia="zh-CN"/>
        </w:rPr>
        <w:t xml:space="preserve">以综合单价报价的计量项目，如果只是由于使用材料或局部尺寸调整，则原支付单价不变，而只在原合同单价基础上，调整相应的材料价差和合理的工效增减费用。对于机电设备，如发包人未提高技术标准或参数指标，任何品牌或型号的调整，其性能指标不得低于技术规范及设计文件要求，且发包人不予价格调整。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eastAsia="仿宋" w:cs="仿宋" w:ascii="仿宋" w:hAnsi="仿宋"/>
          <w:sz w:val="30"/>
          <w:szCs w:val="30"/>
          <w:lang w:val="en-US" w:eastAsia="zh-CN"/>
        </w:rPr>
        <w:t xml:space="preserve">15.4.4 </w:t>
      </w:r>
      <w:r>
        <w:rPr>
          <w:rFonts w:ascii="仿宋" w:hAnsi="仿宋" w:cs="仿宋" w:eastAsia="仿宋"/>
          <w:sz w:val="30"/>
          <w:szCs w:val="30"/>
          <w:lang w:val="en-US" w:eastAsia="zh-CN"/>
        </w:rPr>
        <w:t xml:space="preserve">如上述价格调整原则不适用或按上述原则计算的单价不合理，经发包人同意，按以下原则执行。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eastAsia="仿宋" w:cs="仿宋" w:ascii="仿宋" w:hAnsi="仿宋"/>
          <w:sz w:val="30"/>
          <w:szCs w:val="30"/>
          <w:lang w:val="en-US" w:eastAsia="zh-CN"/>
        </w:rPr>
        <w:t xml:space="preserve">15.4.4.1 </w:t>
      </w:r>
      <w:r>
        <w:rPr>
          <w:rFonts w:ascii="仿宋" w:hAnsi="仿宋" w:cs="仿宋" w:eastAsia="仿宋"/>
          <w:sz w:val="30"/>
          <w:szCs w:val="30"/>
          <w:lang w:val="en-US" w:eastAsia="zh-CN"/>
        </w:rPr>
        <w:t>参照招标人公布的最高投标限价编制时选用的有关定额及补充的定额，人工、材料、机械单价按最高投标限价采用月份（</w:t>
      </w:r>
      <w:r>
        <w:rPr>
          <w:rFonts w:eastAsia="仿宋" w:cs="仿宋" w:ascii="仿宋" w:hAnsi="仿宋"/>
          <w:sz w:val="30"/>
          <w:szCs w:val="30"/>
          <w:lang w:val="en-US" w:eastAsia="zh-CN"/>
        </w:rPr>
        <w:t>2025</w:t>
      </w:r>
      <w:r>
        <w:rPr>
          <w:rFonts w:ascii="仿宋" w:hAnsi="仿宋" w:cs="仿宋" w:eastAsia="仿宋"/>
          <w:sz w:val="30"/>
          <w:szCs w:val="30"/>
          <w:lang w:val="en-US" w:eastAsia="zh-CN"/>
        </w:rPr>
        <w:t>年</w:t>
      </w:r>
      <w:r>
        <w:rPr>
          <w:rFonts w:eastAsia="仿宋" w:cs="仿宋" w:ascii="仿宋" w:hAnsi="仿宋"/>
          <w:sz w:val="30"/>
          <w:szCs w:val="30"/>
          <w:lang w:val="en-US" w:eastAsia="zh-CN"/>
        </w:rPr>
        <w:t>04</w:t>
      </w:r>
      <w:r>
        <w:rPr>
          <w:rFonts w:ascii="仿宋" w:hAnsi="仿宋" w:cs="仿宋" w:eastAsia="仿宋"/>
          <w:sz w:val="30"/>
          <w:szCs w:val="30"/>
          <w:lang w:val="en-US" w:eastAsia="zh-CN"/>
        </w:rPr>
        <w:t>月）信息价编制预算，并在上述预算价的基础上按本合同段投标人中标总价较最高投标限价价之下浮比例下浮确定变更工程价格。上述“信息价”指由广东省交通运输工程造价事务中心发布的“广东省交通建设工程主要外购材料信息价”中的项目施工所在地区材料信息价（如无相应信息价，由发包人另行确定）。下浮率</w:t>
      </w:r>
      <w:r>
        <w:rPr>
          <w:rFonts w:eastAsia="仿宋" w:cs="仿宋" w:ascii="仿宋" w:hAnsi="仿宋"/>
          <w:sz w:val="30"/>
          <w:szCs w:val="30"/>
          <w:lang w:val="en-US" w:eastAsia="zh-CN"/>
        </w:rPr>
        <w:t>=</w:t>
      </w:r>
      <w:r>
        <w:rPr>
          <w:rFonts w:ascii="仿宋" w:hAnsi="仿宋" w:cs="仿宋" w:eastAsia="仿宋"/>
          <w:sz w:val="30"/>
          <w:szCs w:val="30"/>
          <w:lang w:val="en-US" w:eastAsia="zh-CN"/>
        </w:rPr>
        <w:t>（本合同段最高投标限价</w:t>
      </w:r>
      <w:r>
        <w:rPr>
          <w:rFonts w:eastAsia="仿宋" w:cs="仿宋" w:ascii="仿宋" w:hAnsi="仿宋"/>
          <w:sz w:val="30"/>
          <w:szCs w:val="30"/>
          <w:lang w:val="en-US" w:eastAsia="zh-CN"/>
        </w:rPr>
        <w:t>-</w:t>
      </w:r>
      <w:r>
        <w:rPr>
          <w:rFonts w:ascii="仿宋" w:hAnsi="仿宋" w:cs="仿宋" w:eastAsia="仿宋"/>
          <w:sz w:val="30"/>
          <w:szCs w:val="30"/>
          <w:lang w:val="en-US" w:eastAsia="zh-CN"/>
        </w:rPr>
        <w:t>中标总价）</w:t>
      </w:r>
      <w:r>
        <w:rPr>
          <w:rFonts w:eastAsia="仿宋" w:cs="仿宋" w:ascii="仿宋" w:hAnsi="仿宋"/>
          <w:sz w:val="30"/>
          <w:szCs w:val="30"/>
          <w:lang w:val="en-US" w:eastAsia="zh-CN"/>
        </w:rPr>
        <w:t>/</w:t>
      </w:r>
      <w:r>
        <w:rPr>
          <w:rFonts w:ascii="仿宋" w:hAnsi="仿宋" w:cs="仿宋" w:eastAsia="仿宋"/>
          <w:sz w:val="30"/>
          <w:szCs w:val="30"/>
          <w:lang w:val="en-US" w:eastAsia="zh-CN"/>
        </w:rPr>
        <w:t>本合同段最高投标限价</w:t>
      </w:r>
      <w:r>
        <w:rPr>
          <w:rFonts w:eastAsia="仿宋" w:cs="仿宋" w:ascii="仿宋" w:hAnsi="仿宋"/>
          <w:sz w:val="30"/>
          <w:szCs w:val="30"/>
          <w:lang w:val="en-US" w:eastAsia="zh-CN"/>
        </w:rPr>
        <w:t xml:space="preserve">*100%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eastAsia="仿宋" w:cs="仿宋" w:ascii="仿宋" w:hAnsi="仿宋"/>
          <w:sz w:val="30"/>
          <w:szCs w:val="30"/>
          <w:lang w:val="en-US" w:eastAsia="zh-CN"/>
        </w:rPr>
        <w:t xml:space="preserve">15.4.4.2 </w:t>
      </w:r>
      <w:r>
        <w:rPr>
          <w:rFonts w:ascii="仿宋" w:hAnsi="仿宋" w:cs="仿宋" w:eastAsia="仿宋"/>
          <w:sz w:val="30"/>
          <w:szCs w:val="30"/>
          <w:lang w:val="en-US" w:eastAsia="zh-CN"/>
        </w:rPr>
        <w:t xml:space="preserve">按变更程序办理的应急抢险工程，经变更预算对应审批权限单位同意后，可根据实际情况编制预算，变更金额确定原则在项目专用合同条款数据表中约定。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eastAsia="仿宋" w:cs="仿宋" w:ascii="仿宋" w:hAnsi="仿宋"/>
          <w:sz w:val="30"/>
          <w:szCs w:val="30"/>
          <w:lang w:val="en-US" w:eastAsia="zh-CN"/>
        </w:rPr>
        <w:t xml:space="preserve">15.4.4.3 </w:t>
      </w:r>
      <w:r>
        <w:rPr>
          <w:rFonts w:ascii="仿宋" w:hAnsi="仿宋" w:cs="仿宋" w:eastAsia="仿宋"/>
          <w:sz w:val="30"/>
          <w:szCs w:val="30"/>
          <w:lang w:val="en-US" w:eastAsia="zh-CN"/>
        </w:rPr>
        <w:t xml:space="preserve">新增机电设备的变更作价，按以下优先顺序所列原则进行处理：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ascii="仿宋" w:hAnsi="仿宋" w:cs="仿宋" w:eastAsia="仿宋"/>
          <w:sz w:val="30"/>
          <w:szCs w:val="30"/>
          <w:lang w:val="en-US" w:eastAsia="zh-CN"/>
        </w:rPr>
        <w:t>（</w:t>
      </w:r>
      <w:r>
        <w:rPr>
          <w:rFonts w:eastAsia="仿宋" w:cs="仿宋" w:ascii="仿宋" w:hAnsi="仿宋"/>
          <w:sz w:val="30"/>
          <w:szCs w:val="30"/>
          <w:lang w:val="en-US" w:eastAsia="zh-CN"/>
        </w:rPr>
        <w:t>1</w:t>
      </w:r>
      <w:r>
        <w:rPr>
          <w:rFonts w:ascii="仿宋" w:hAnsi="仿宋" w:cs="仿宋" w:eastAsia="仿宋"/>
          <w:sz w:val="30"/>
          <w:szCs w:val="30"/>
          <w:lang w:val="en-US" w:eastAsia="zh-CN"/>
        </w:rPr>
        <w:t>）参考省内近</w:t>
      </w:r>
      <w:r>
        <w:rPr>
          <w:rFonts w:eastAsia="仿宋" w:cs="仿宋" w:ascii="仿宋" w:hAnsi="仿宋"/>
          <w:sz w:val="30"/>
          <w:szCs w:val="30"/>
          <w:lang w:val="en-US" w:eastAsia="zh-CN"/>
        </w:rPr>
        <w:t>1</w:t>
      </w:r>
      <w:r>
        <w:rPr>
          <w:rFonts w:ascii="仿宋" w:hAnsi="仿宋" w:cs="仿宋" w:eastAsia="仿宋"/>
          <w:sz w:val="30"/>
          <w:szCs w:val="30"/>
          <w:lang w:val="en-US" w:eastAsia="zh-CN"/>
        </w:rPr>
        <w:t xml:space="preserve">年内通车的高速公路项目合同单价（或总额价）进行确定；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ascii="仿宋" w:hAnsi="仿宋" w:cs="仿宋" w:eastAsia="仿宋"/>
          <w:sz w:val="30"/>
          <w:szCs w:val="30"/>
          <w:lang w:val="en-US" w:eastAsia="zh-CN"/>
        </w:rPr>
        <w:t>（</w:t>
      </w:r>
      <w:r>
        <w:rPr>
          <w:rFonts w:eastAsia="仿宋" w:cs="仿宋" w:ascii="仿宋" w:hAnsi="仿宋"/>
          <w:sz w:val="30"/>
          <w:szCs w:val="30"/>
          <w:lang w:val="en-US" w:eastAsia="zh-CN"/>
        </w:rPr>
        <w:t>2</w:t>
      </w:r>
      <w:r>
        <w:rPr>
          <w:rFonts w:ascii="仿宋" w:hAnsi="仿宋" w:cs="仿宋" w:eastAsia="仿宋"/>
          <w:sz w:val="30"/>
          <w:szCs w:val="30"/>
          <w:lang w:val="en-US" w:eastAsia="zh-CN"/>
        </w:rPr>
        <w:t>）变更预算按发包人核定的市场价格加上采保费、税金及合理利润进行计算，变更单价或费用</w:t>
      </w:r>
      <w:r>
        <w:rPr>
          <w:rFonts w:eastAsia="仿宋" w:cs="仿宋" w:ascii="仿宋" w:hAnsi="仿宋"/>
          <w:sz w:val="30"/>
          <w:szCs w:val="30"/>
          <w:lang w:val="en-US" w:eastAsia="zh-CN"/>
        </w:rPr>
        <w:t>=</w:t>
      </w:r>
      <w:r>
        <w:rPr>
          <w:rFonts w:ascii="仿宋" w:hAnsi="仿宋" w:cs="仿宋" w:eastAsia="仿宋"/>
          <w:sz w:val="30"/>
          <w:szCs w:val="30"/>
          <w:lang w:val="en-US" w:eastAsia="zh-CN"/>
        </w:rPr>
        <w:t>变更预算</w:t>
      </w:r>
      <w:r>
        <w:rPr>
          <w:rFonts w:eastAsia="仿宋" w:cs="仿宋" w:ascii="仿宋" w:hAnsi="仿宋"/>
          <w:sz w:val="30"/>
          <w:szCs w:val="30"/>
          <w:lang w:val="en-US" w:eastAsia="zh-CN"/>
        </w:rPr>
        <w:t>×</w:t>
      </w:r>
      <w:r>
        <w:rPr>
          <w:rFonts w:ascii="仿宋" w:hAnsi="仿宋" w:cs="仿宋" w:eastAsia="仿宋"/>
          <w:sz w:val="30"/>
          <w:szCs w:val="30"/>
          <w:lang w:val="en-US" w:eastAsia="zh-CN"/>
        </w:rPr>
        <w:t>（</w:t>
      </w:r>
      <w:r>
        <w:rPr>
          <w:rFonts w:eastAsia="仿宋" w:cs="仿宋" w:ascii="仿宋" w:hAnsi="仿宋"/>
          <w:sz w:val="30"/>
          <w:szCs w:val="30"/>
          <w:lang w:val="en-US" w:eastAsia="zh-CN"/>
        </w:rPr>
        <w:t>1-</w:t>
      </w:r>
      <w:r>
        <w:rPr>
          <w:rFonts w:ascii="仿宋" w:hAnsi="仿宋" w:cs="仿宋" w:eastAsia="仿宋"/>
          <w:sz w:val="30"/>
          <w:szCs w:val="30"/>
          <w:lang w:val="en-US" w:eastAsia="zh-CN"/>
        </w:rPr>
        <w:t xml:space="preserve">中标下浮率）。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eastAsia="仿宋" w:cs="仿宋" w:ascii="仿宋" w:hAnsi="仿宋"/>
          <w:sz w:val="30"/>
          <w:szCs w:val="30"/>
          <w:lang w:val="en-US" w:eastAsia="zh-CN"/>
        </w:rPr>
        <w:t xml:space="preserve">15.4.5 </w:t>
      </w:r>
      <w:r>
        <w:rPr>
          <w:rFonts w:ascii="仿宋" w:hAnsi="仿宋" w:cs="仿宋" w:eastAsia="仿宋"/>
          <w:sz w:val="30"/>
          <w:szCs w:val="30"/>
          <w:lang w:val="en-US" w:eastAsia="zh-CN"/>
        </w:rPr>
        <w:t xml:space="preserve">如果双方对变更工程价款有争议，则请政府主管部门或发包人和承包人双方认可的机构按 </w:t>
      </w:r>
      <w:r>
        <w:rPr>
          <w:rFonts w:eastAsia="仿宋" w:cs="仿宋" w:ascii="仿宋" w:hAnsi="仿宋"/>
          <w:sz w:val="30"/>
          <w:szCs w:val="30"/>
          <w:lang w:val="en-US" w:eastAsia="zh-CN"/>
        </w:rPr>
        <w:t xml:space="preserve">15.4.4 </w:t>
      </w:r>
      <w:r>
        <w:rPr>
          <w:rFonts w:ascii="仿宋" w:hAnsi="仿宋" w:cs="仿宋" w:eastAsia="仿宋"/>
          <w:sz w:val="30"/>
          <w:szCs w:val="30"/>
          <w:lang w:val="en-US" w:eastAsia="zh-CN"/>
        </w:rPr>
        <w:t xml:space="preserve">款要求编制预算，由发包人委托，委托费用由发包人和承包人各负责一半，变更工程造价或单价按本合同段投标人中标价较招标时最高投标限价之下浮比例下浮确定。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ascii="仿宋" w:hAnsi="仿宋" w:cs="仿宋" w:eastAsia="仿宋"/>
          <w:sz w:val="30"/>
          <w:szCs w:val="30"/>
          <w:lang w:val="en-US" w:eastAsia="zh-CN"/>
        </w:rPr>
        <w:t xml:space="preserve">发包人与承包人如按上述原则协商未果，发包人有权根据实际情况按上述某一原则进行处理，承包人必须无条件接受。 </w:t>
      </w:r>
    </w:p>
    <w:p>
      <w:pPr>
        <w:pStyle w:val="Normal"/>
        <w:numPr>
          <w:ilvl w:val="0"/>
          <w:numId w:val="0"/>
        </w:numPr>
        <w:tabs>
          <w:tab w:val="clear" w:pos="420"/>
          <w:tab w:val="left" w:pos="1050" w:leader="none"/>
        </w:tabs>
        <w:spacing w:lineRule="auto" w:line="360"/>
        <w:ind w:firstLine="600" w:end="0"/>
        <w:outlineLvl w:val="0"/>
        <w:rPr>
          <w:rFonts w:ascii="仿宋" w:hAnsi="仿宋" w:eastAsia="仿宋" w:cs="仿宋"/>
          <w:sz w:val="30"/>
          <w:szCs w:val="30"/>
        </w:rPr>
      </w:pPr>
      <w:r>
        <w:rPr>
          <w:rFonts w:ascii="仿宋" w:hAnsi="仿宋" w:cs="仿宋" w:eastAsia="仿宋"/>
          <w:sz w:val="30"/>
          <w:szCs w:val="30"/>
          <w:lang w:val="en-US" w:eastAsia="zh-CN"/>
        </w:rPr>
        <w:t>所有的变更设计都必须按发包人及其上级主管部门颁布的变更设计管理办法进行审批。</w:t>
      </w:r>
    </w:p>
    <w:p>
      <w:pPr>
        <w:pStyle w:val="Heading1"/>
        <w:keepNext w:val="true"/>
        <w:keepLines/>
        <w:pageBreakBefore w:val="false"/>
        <w:widowControl w:val="false"/>
        <w:kinsoku w:val="true"/>
        <w:overflowPunct w:val="true"/>
        <w:autoSpaceDE w:val="true"/>
        <w:bidi w:val="0"/>
        <w:snapToGrid w:val="true"/>
        <w:spacing w:lineRule="auto" w:line="240" w:before="157" w:after="0"/>
        <w:ind w:hanging="0" w:start="0"/>
        <w:textAlignment w:val="auto"/>
        <w:rPr>
          <w:rFonts w:ascii="黑体" w:hAnsi="黑体" w:eastAsia="黑体" w:cs="黑体"/>
          <w:b w:val="false"/>
          <w:bCs w:val="false"/>
          <w:kern w:val="2"/>
          <w:sz w:val="30"/>
          <w:szCs w:val="30"/>
          <w:lang w:eastAsia="zh-CN"/>
        </w:rPr>
      </w:pPr>
      <w:bookmarkStart w:id="3" w:name="__RefHeading___Toc1133"/>
      <w:bookmarkEnd w:id="3"/>
      <w:r>
        <w:rPr>
          <w:rFonts w:ascii="黑体" w:hAnsi="黑体" w:cs="黑体" w:eastAsia="黑体"/>
          <w:b w:val="false"/>
          <w:bCs w:val="false"/>
          <w:kern w:val="2"/>
          <w:sz w:val="30"/>
          <w:szCs w:val="30"/>
          <w:lang w:val="en-US" w:eastAsia="zh-CN"/>
        </w:rPr>
        <w:t>四</w:t>
      </w:r>
      <w:r>
        <w:rPr>
          <w:rFonts w:ascii="黑体" w:hAnsi="黑体" w:cs="黑体" w:eastAsia="黑体"/>
          <w:b w:val="false"/>
          <w:bCs w:val="false"/>
          <w:kern w:val="2"/>
          <w:sz w:val="30"/>
          <w:szCs w:val="30"/>
        </w:rPr>
        <w:t>、</w:t>
      </w:r>
      <w:r>
        <w:rPr>
          <w:rFonts w:ascii="黑体" w:hAnsi="黑体" w:cs="黑体" w:eastAsia="黑体"/>
          <w:b w:val="false"/>
          <w:bCs w:val="false"/>
          <w:kern w:val="2"/>
          <w:sz w:val="30"/>
          <w:szCs w:val="30"/>
          <w:lang w:eastAsia="zh-CN"/>
        </w:rPr>
        <w:t>修编结果</w:t>
      </w:r>
    </w:p>
    <w:p>
      <w:pPr>
        <w:pStyle w:val="Normal"/>
        <w:spacing w:lineRule="auto" w:line="360"/>
        <w:ind w:firstLine="600" w:end="0"/>
        <w:rPr>
          <w:rFonts w:ascii="仿宋" w:hAnsi="仿宋" w:eastAsia="仿宋" w:cs="仿宋"/>
          <w:sz w:val="30"/>
          <w:szCs w:val="30"/>
        </w:rPr>
      </w:pPr>
      <w:r>
        <w:rPr>
          <w:rFonts w:ascii="仿宋" w:hAnsi="仿宋" w:cs="仿宋" w:eastAsia="仿宋"/>
          <w:sz w:val="30"/>
          <w:szCs w:val="30"/>
        </w:rPr>
        <w:t>TJ4标段合同工程量清单第100章～1000章费用总额为41638.89万元，修编核减费用173.74万元，修编后清单第100章～1000章费用总额为41465.20万元；暂列金额1132.16万元保持不变，修编后合同金额为42597.36万元，核减173.74万元。其中：200章路基工程核减154.37万元，300章路面工程核减2.41万元，400章桥梁、涵洞工程核减24.53万元，600章交通安全设施核减15.24万元，1000章交通组织维护核增22.80万元（新增1001-2-3-4-1钢管支架防护棚）。</w:t>
      </w:r>
    </w:p>
    <w:p>
      <w:pPr>
        <w:pStyle w:val="Heading1"/>
        <w:keepNext w:val="true"/>
        <w:keepLines/>
        <w:pageBreakBefore w:val="false"/>
        <w:widowControl w:val="false"/>
        <w:numPr>
          <w:ilvl w:val="0"/>
          <w:numId w:val="2"/>
        </w:numPr>
        <w:kinsoku w:val="true"/>
        <w:overflowPunct w:val="true"/>
        <w:autoSpaceDE w:val="true"/>
        <w:bidi w:val="0"/>
        <w:snapToGrid w:val="true"/>
        <w:spacing w:lineRule="auto" w:line="240" w:before="157" w:after="0"/>
        <w:textAlignment w:val="auto"/>
        <w:rPr>
          <w:rFonts w:ascii="黑体" w:hAnsi="黑体" w:eastAsia="黑体" w:cs="黑体"/>
          <w:b w:val="false"/>
          <w:bCs w:val="false"/>
          <w:kern w:val="2"/>
          <w:sz w:val="30"/>
          <w:szCs w:val="30"/>
          <w:lang w:eastAsia="zh-CN"/>
        </w:rPr>
      </w:pPr>
      <w:bookmarkStart w:id="4" w:name="__RefHeading___Toc30627"/>
      <w:bookmarkEnd w:id="4"/>
      <w:r>
        <w:rPr>
          <w:rFonts w:ascii="黑体" w:hAnsi="黑体" w:cs="黑体" w:eastAsia="黑体"/>
          <w:b w:val="false"/>
          <w:bCs w:val="false"/>
          <w:kern w:val="2"/>
          <w:sz w:val="30"/>
          <w:szCs w:val="30"/>
          <w:lang w:eastAsia="zh-CN"/>
        </w:rPr>
        <w:t>差异性分析</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1、202-1-1 清理现场，依据设计后服务函及勘误回复函核对修改清单数量，审核予以调整。原合同72.9445万元，修编后70.4089万元，核减2.5356万元。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2、203-1-1-1 挖弃土方，依据设计后服务函及勘误回复函核对修改清单数量，审核予以调整。原合同244.8402万元，修编后252.5204万元，核增7.6802万元。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3、203-1-1-2 挖利用土方，依据设计后服务函及勘误回复函核对修改清单数量，审核予以调整。原合同350.5883万元，修编后344.2932万元，核减6.2951万元。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4、203-1-2-1-1 挖弃石方（爆破开挖），依据设计后服务函及勘误回复函核对修改清单数量，审核予以调整。原合同687.1124万元，修编后568.4632万元，核减118.6492万元。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5、203-1-2-1-2 挖弃石方（机械凿岩），依据设计后服务函及勘误回复函核对修改清单数量，审核予以调整。原合同222.5405万元，修编后175.2694万元，核减47.2711万元。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6、203-1-2-2-1 挖利用石方（爆破开挖），依据设计后服务函及勘误回复函核对修改清单数量，审核予以调整。原合同395.9711万元，修编后573.1093万元，核增177.1382万元。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7、203-1-2-2-2 挖利用石方（机械凿岩），依据设计后服务函及勘误回复函核对修改清单数量，审核予以调整。原合同93.8217万元，修编后160.0391万元，核增66.2174万元。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8、203-1-3 挖除非适用材料（不含淤泥），依据设计后服务函及勘误回复函核对修改清单数量，审核予以调整。原合同33.1418万元，修编后33.1317万元，核减0.0101万元。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9、204-1-1 利用土方，依据设计后服务函及勘误回复函核对修改清单数量，审核予以调整。原合同311.7741万元，修编后291.5557万元，核减20.2184万元。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10、204-1-2 利用石方，依据设计后服务函及勘误回复函核对修改清单数量，审核予以调整。原合同157.9371万元，修编后178.4117万元，核增20.4746万元。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11、204-2-4 换填碎石，依据设计后服务函及勘误回复函核对修改清单数量，审核予以调整。原合同0.6434万元，修编后0.6405万元，核减0.0029万元。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12、204-2-7 换填石渣（利用废（旧）材料加工石渣），依据设计后服务函及勘误回复函核对修改清单数量，审核予以调整。原合同124.3132万元，修编后124.2910万元，核减0.0222万元。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13、204-2-8 回填6%水泥土，依据设计后服务函及勘误回复函核对修改清单数量，审核予以调整。原合同203.6917万元，修编后203.4097万元，核减0.2820万元。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14、204-3-1 锥坡及台前溜坡填土，依据设计后服务函及勘误回复函核对修改清单数量，审核予以调整。原合同0.8098万元，修编后0.8096万元，核减0.0002万元。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15、204-3-9 回填石渣（利用废（旧）材料加工石渣），依据设计后服务函及勘误回复函核对修改清单数量，审核予以调整。原合同96.1292万元，修编后95.7440万元，核减0.3852万元。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16、204-3-10 回填C25混凝土，依据设计后服务函及勘误回复函核对修改清单数量，审核予以调整。原合同31.9232万元，修编后31.9229万元，核减0.0003万元。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17、205-1-8-2-2-3 双向钢塑土工格栅，依据设计后服务函及勘误回复函核对修改清单数量，审核予以调整。原合同134.7534万元，修编后125.1433万元，核减9.6101万元。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18、205-1-15-2 250mm×250mm以内混凝土方桩，依据设计后服务函及勘误回复函核对修改清单数量，审核予以调整。原合同4.8151万元，修编后4.8152万元，核增0.0001万元。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19、205-1-25 补强压实，依据设计后服务函及勘误回复函核对修改清单数量，审核予以调整。原合同262.8471万元，修编后222.4949万元，核减40.3522万元。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20、207-1-5-1 钢筋，依据设计后服务函及勘误回复函核对修改清单数量，审核予以调整。原合同32.3177万元，修编后32.3177万元，核减0.0000万元。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21、207-1-5-2-2 C25混凝土，依据设计后服务函及勘误回复函核对修改清单数量，审核予以调整。原合同441.3272万元，修编后412.4092万元，核减28.9180万元。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22、207-2-4-1 钢筋，依据设计后服务函及勘误回复函核对修改清单数量，审核予以调整。原合同0.9388万元，修编后0.9387万元，核减0.0001万元。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23、207-2-4-2-2 C25混凝土，依据设计后服务函及勘误回复函核对修改清单数量，审核予以调整。原合同99.0577万元，修编后99.0588万元，核增0.0011万元。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24、207-3-4-1 钢筋，依据设计后服务函及勘误回复函核对修改清单数量，审核予以调整。原合同12.3765万元，修编后12.3763万元，核减0.0002万元。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25、207-3-4-2-2 C25混凝土，依据设计后服务函及勘误回复函核对修改清单数量，审核予以调整。原合同84.0400万元，修编后84.1876万元，核增0.1476万元。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26、207-4-1 碎石料盲（渗）沟，依据设计后服务函及勘误回复函核对修改清单数量，审核予以调整。原合同204.3629万元，修编后162.3300万元，核减42.0329万元。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27、207-4-3 片石料盲（渗）沟，依据设计后服务函及勘误回复函核对修改清单数量，审核予以调整。原合同0.9658万元，修编后0.4829万元，核减0.4829万元。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28、207-7-2-7 φ300-350mmPVC排水管，依据设计后服务函及勘误回复函核对修改清单数量，审核予以调整。原合同4.9229万元，修编后2.6025万元，核减2.3204万元。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29、207-7-6-3 φ100-150mm塑料硬式透水管，依据设计后服务函及勘误回复函核对修改清单数量，审核予以调整。原合同24.9936万元，修编后24.7494万元，核减0.2442万元。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30、207-7-6-4 φ150-200mm塑料硬式透水管，依据设计后服务函及勘误回复函核对修改清单数量，审核予以调整。原合同147.4125万元，修编后75.5462万元，核减71.8663万元。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31、207-7-6-6 φ250-300mm塑料硬式透水管，依据设计后服务函及勘误回复函核对修改清单数量，审核予以调整。原合同101.8314万元，修编后69.2411万元，核减32.5903万元。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32、208-1-2 喷播草灌护坡，依据设计后服务函及勘误回复函核对修改清单数量，审核予以调整。原合同100.1934万元，修编后100.9985万元，核增0.8051万元。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33、208-1-3 三维植被网护坡，依据设计后服务函及勘误回复函核对修改清单数量，审核予以调整。原合同66.8896万元，修编后66.8901万元，核增0.0005万元。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34、208-1-7-3 客土8-10cm厚，依据设计后服务函及勘误回复函核对修改清单数量，审核予以调整。原合同256.5956万元，修编后211.5029万元，核减45.0927万元。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35、208-4-1-2 C20混凝土，依据设计后服务函及勘误回复函核对修改清单数量，审核予以调整。原合同1.3187万元，修编后1.3237万元，核增0.0050万元。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36、208-4-1-3 C25混凝土，依据设计后服务函及勘误回复函核对修改清单数量，审核予以调整。原合同92.2270万元，修编后95.6243万元，核增3.3973万元。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37、208-4-2-3 C25混凝土，依据设计后服务函及勘误回复函核对修改清单数量，审核予以调整。原合同367.2047万元，修编后375.0316万元，核增7.8269万元。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38、208-4-3-3 C20混凝土，依据设计后服务函及勘误回复函核对修改清单数量，审核予以调整。原合同0.4790万元，修编后0.4809万元，核增0.0019万元。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39、208-4-3-4 C25混凝土，依据设计后服务函及勘误回复函核对修改清单数量，审核予以调整。原合同614.4751万元，修编后617.1845万元，核增2.7094万元。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40、208-4-4-3 C20混凝土，依据设计后服务函及勘误回复函核对修改清单数量，审核予以调整。原合同3.9993万元，修编后3.9997万元，核增0.0004万元。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41、208-4-4-4 C25混凝土，依据设计后服务函及勘误回复函核对修改清单数量，审核予以调整。原合同168.4095万元，修编后186.2577万元，核增17.8482万元。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42、208-5-3-3-3 C20混凝土，依据设计后服务函及勘误回复函核对修改清单数量，审核予以调整。原合同1.2298万元，修编后1.2209万元，核减0.0089万元。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43、208-5-3-3-4 C25混凝土，依据设计后服务函及勘误回复函核对修改清单数量，审核予以调整。原合同33.3376万元，修编后33.3319万元，核减0.0057万元。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44、208-5-4 运输，依据设计后服务函及勘误回复函核对修改清单数量，审核予以调整。原合同2.9607万元，修编后2.9595万元，核减0.0012万元。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45、208-5-5 安装，依据设计后服务函及勘误回复函核对修改清单数量，审核予以调整。原合同9.5113万元，修编后9.5071万元，核减0.0042万元。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46、208-6-2-4 C25混凝土，依据设计后服务函及勘误回复函核对修改清单数量，审核予以调整。原合同12.4201万元，修编后13.3904万元，核增0.9703万元。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47、208-11 检查踏步扶手（不锈钢圆管），依据设计后服务函及勘误回复函核对修改清单数量，审核予以调整。原合同180.3120万元，修编后194.2642万元，核增13.9522万元。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48、208-12 检查踏步扶手（镀锌钢管），依据设计后服务函及勘误回复函核对修改清单数量，审核予以调整。原合同0.5039万元，修编后0.8338万元，核增0.3299万元。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49、211-1-1 普通钢筋，依据设计后服务函及勘误回复函核对修改清单数量，审核予以调整。原合同3.6689万元，修编后3.6688万元，核减0.0001万元。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50、211-2-2 碎石垫层，依据设计后服务函及勘误回复函核对修改清单数量，审核予以调整。原合同9.2139万元，修编后9.2141万元，核增0.0002万元。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51、211-2-7-3 C25混凝土，依据设计后服务函及勘误回复函核对修改清单数量，审核予以调整。原合同1.5410万元，修编后1.5415万元，核增0.0005万元。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52、211-6-2 C20混凝土，依据设计后服务函及勘误回复函核对修改清单数量，审核予以调整。原合同110.2284万元，修编后105.5668万元，核减4.6616万元。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53、211-6-3 C25混凝土，依据设计后服务函及勘误回复函核对修改清单数量，审核予以调整。原合同345.5509万元，修编后345.5476万元，核减0.0033万元。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54、213-4-1-4 φ110-130mm普通钢筋锚杆，依据设计后服务函及勘误回复函核对修改清单数量，审核予以调整。原合同466.9179万元，修编后466.9162万元，核减0.0017万元。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55、213-7-6 C35混凝土，依据设计后服务函及勘误回复函核对修改清单数量，审核予以调整。原合同248.9482万元，修编后248.9412万元，核减0.0070万元。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56、213-8-1 普通钢筋，依据设计后服务函及勘误回复函核对修改清单数量，审核予以调整。原合同246.9433万元，修编后246.9433万元，核减0.0000万元。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57、302-1-2-1-2 碎石垫层（利用废（旧）材料加工碎石），依据设计后服务函及勘误回复函核对修改清单数量，审核予以调整。原合同16.7698万元，修编后14.3608万元，核减2.4090万元。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58、307-11-1 玻纤格栅，依据设计后服务函及勘误回复函核对修改清单数量，审核予以调整。原合同1.3409万元，修编后1.3415万元，核增0.0006万元。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59、403-1-1 光圆钢筋，依据设计后服务函及勘误回复函核对修改清单数量，审核予以调整。原合同126.6358万元，修编后126.6665万元，核增0.0307万元。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60、403-1-2 带肋钢筋，依据设计后服务函及勘误回复函核对修改清单数量，审核予以调整。原合同1445.8537万元，修编后1440.4535万元，核减5.4002万元。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61、403-2-2 带肋钢筋，依据设计后服务函及勘误回复函核对修改清单数量，审核予以调整。原合同2801.2052万元，修编后2786.6471万元，核减14.5581万元。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62、403-2-9 劲性骨架，依据设计后服务函及勘误回复函核对修改清单数量，审核予以调整。原合同33.2791万元，修编后33.0198万元，核减0.2593万元。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63、403-3-1 光圆钢筋，依据设计后服务函及勘误回复函核对修改清单数量，审核予以调整。原合同0.0008万元，修编后0.0006万元，核减0.0002万元。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64、403-3-2 带肋钢筋，依据设计后服务函及勘误回复函核对修改清单数量，审核予以调整。原合同4754.5600万元，修编后4756.3237万元，核增1.7637万元。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65、403-4-2 带肋钢筋，依据设计后服务函及勘误回复函核对修改清单数量，审核予以调整。原合同753.2349万元，修编后754.5384万元，核增1.3035万元。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66、405-1-1-7 桩径160cm，依据设计后服务函及勘误回复函核对修改清单数量，审核予以调整。原合同703.2848万元，修编后703.3181万元，核增0.0333万元。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67、405-1-1-9 桩径180cm，依据设计后服务函及勘误回复函核对修改清单数量，审核予以调整。原合同2099.8010万元，修编后2099.7668万元，核减0.0342万元。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68、410-1-4 C35混凝土，依据设计后服务函及勘误回复函核对修改清单数量，审核予以调整。原合同330.7574万元，修编后332.2157万元，核增1.4583万元。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69、410-2-1-2 C35混凝土，依据设计后服务函及勘误回复函核对修改清单数量，审核予以调整。原合同2539.4888万元，修编后2542.1300万元，核增2.6412万元。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70、410-2-1-3 C40混凝土，依据设计后服务函及勘误回复函核对修改清单数量，审核予以调整。原合同383.7985万元，修编后382.3333万元，核减1.4652万元。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71、410-3-1-5 C50混凝土，依据设计后服务函及勘误回复函核对修改清单数量，审核予以调整。原合同460.4886万元，修编后488.6349万元，核增28.1463万元。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72、410-3-2-2-7-6 C55混凝土，依据设计后服务函及勘误回复函核对修改清单数量，审核予以调整。原合同12.9017万元，修编后12.9047万元，核增0.0030万元。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73、410-3-2-3 运输，依据设计后服务函及勘误回复函核对修改清单数量，审核予以调整。原合同0.4528万元，修编后0.4529万元，核增0.0001万元。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74、410-3-2-4-7 钢混组合梁混凝土安装，依据设计后服务函及勘误回复函核对修改清单数量，审核予以调整。原合同6.1678万元，修编后6.1693万元，核增0.0015万元。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75、410-3-3-5 C40混凝土，依据设计后服务函及勘误回复函核对修改清单数量，审核予以调整。原合同485.9444万元，修编后484.2033万元，核减1.7411万元。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76、410-5-1-1 C20混凝土，依据设计后服务函及勘误回复函核对修改清单数量，审核予以调整。原合同35.1120万元，修编后26.0869万元，核减9.0251万元。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77、410-5-1-3 C30混凝土，依据设计后服务函及勘误回复函核对修改清单数量，审核予以调整。原合同425.8073万元，修编后427.0733万元，核增1.2660万元。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78、410-5-1-4 C35混凝土，依据设计后服务函及勘误回复函核对修改清单数量，审核予以调整。原合同17.8990万元，修编后18.4028万元，核增0.5038万元。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79、410-5-1-7 C50混凝土，依据设计后服务函及勘误回复函核对修改清单数量，审核予以调整。原合同17.9414万元，修编后17.6799万元，核减0.2615万元。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80、411-1-5 后张法预应力钢绞线，依据设计后服务函及勘误回复函核对修改清单数量，审核予以调整。原合同1663.0562万元，修编后1660.1293万元，核减2.9269万元。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81、411-2-5 现浇预应力C50混凝土，依据设计后服务函及勘误回复函核对修改清单数量，审核予以调整。原合同180.0596万元，修编后180.0667万元，核增0.0071万元。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82、411-5-2-3-5 C50混凝土，依据设计后服务函及勘误回复函核对修改清单数量，审核予以调整。原合同2224.1722万元，修编后2222.9551万元，核减1.2171万元。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83、411-5-2-5-5 C50混凝土，依据设计后服务函及勘误回复函核对修改清单数量，审核予以调整。原合同1714.7464万元，修编后1714.8024万元，核增0.0560万元。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84、411-5-3 运输，依据设计后服务函及勘误回复函核对修改清单数量，审核予以调整。原合同77.5837万元，修编后77.5603万元，核减0.0234万元。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85、411-5-4-3 预应力混凝土小箱梁安装，依据设计后服务函及勘误回复函核对修改清单数量，审核予以调整。原合同456.0447万元，修编后455.7952万元，核减0.2495万元。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86、411-5-4-5 预应力混凝土T梁安装，依据设计后服务函及勘误回复函核对修改清单数量，审核予以调整。原合同471.4870万元，修编后471.5024万元，核增0.0154万元。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87、412-5-1 钢箱梁，依据设计后服务函及勘误回复函核对修改清单数量，审核予以调整。原合同528.9743万元，修编后528.9227万元，核减0.0516万元。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88、416-1-2-15 GBZJ600×600×130(CR)型矩形板式橡胶支座，依据设计后服务函及勘误回复函核对修改清单数量，审核予以调整。原合同47.2189万元，修编后23.6095万元，核减23.6094万元。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89、417-2-1 伸缩量80mm以内，依据设计后服务函及勘误回复函核对修改清单数量，审核予以调整。原合同158.0190万元，修编后156.6916万元，核减1.3274万元。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90、418-1-2-4 直径φ150-200mmPVC-U管，依据设计后服务函及勘误回复函核对修改清单数量，审核予以调整。原合同101.9063万元，修编后104.3724万元，核增2.4661万元。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91、418-1-4-4 直径φ150-200mmHDPE管，依据设计后服务函及勘误回复函核对修改清单数量，审核予以调整。原合同62.7762万元，修编后62.5781万元，核减0.1981万元。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92、418-2-2 铸铁排水格栅，依据设计后服务函及勘误回复函核对修改清单数量，审核予以调整。原合同10.0003万元，修编后10.2855万元，核增0.2852万元。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93、421-1 涵基开挖，依据设计后服务函及勘误回复函核对修改清单数量，审核予以调整。原合同67.9224万元，修编后67.9217万元，核减0.0007万元。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94、421-5 基础钢筋，依据设计后服务函及勘误回复函核对修改清单数量，审核予以调整。原合同154.9776万元，修编后154.6253万元，核减0.3523万元。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95、421-6-1-4 C25混凝土，依据设计后服务函及勘误回复函核对修改清单数量，审核予以调整。原合同16.9232万元，修编后15.3088万元，核减1.6144万元。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96、421-8-1-4 C25混凝土，依据设计后服务函及勘误回复函核对修改清单数量，审核予以调整。原合同3.2201万元，修编后3.0292万元，核减0.1909万元。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97、602-1-1 护栏现浇混凝土钢筋，依据设计后服务函及勘误回复函核对修改清单数量，审核予以调整。原合同89.8593万元，修编后89.8594万元，核增0.0001万元。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98、602-1-4 C30现浇混凝土，依据设计后服务函及勘误回复函核对修改清单数量，审核予以调整。原合同138.6036万元，修编后123.3827万元，核减15.2209万元。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99、610-1-1 基础钢筋，依据设计后服务函及勘误回复函核对修改清单数量，审核予以调整。原合同15.5812万元，修编后15.5806万元，核减0.0006万元。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100、610-1-5 C30混凝土基础，依据设计后服务函及勘误回复函核对修改清单数量，审核予以调整。原合同19.4231万元，修编后19.4092万元，核减0.0139万元。</w:t>
      </w:r>
    </w:p>
    <w:p>
      <w:pPr>
        <w:pStyle w:val="Normal"/>
        <w:numPr>
          <w:ilvl w:val="0"/>
          <w:numId w:val="0"/>
        </w:numPr>
        <w:spacing w:lineRule="auto" w:line="360"/>
        <w:ind w:firstLine="600" w:start="0" w:end="0"/>
        <w:rPr>
          <w:rFonts w:ascii="仿宋" w:hAnsi="仿宋" w:eastAsia="仿宋" w:cs="仿宋"/>
          <w:sz w:val="30"/>
          <w:szCs w:val="30"/>
        </w:rPr>
      </w:pPr>
      <w:r>
        <w:rPr>
          <w:rFonts w:eastAsia="仿宋" w:cs="仿宋" w:ascii="仿宋" w:hAnsi="仿宋"/>
          <w:sz w:val="30"/>
          <w:szCs w:val="30"/>
        </w:rPr>
        <w:t>101、1001-2-3-4-1 钢管支架防护棚，依据设计后服务函及勘误回复函核对修改清单数量，审核予以调整。原合同0.0000万元，修编后22.8015万元，核增22.8015万元。</w:t>
      </w:r>
    </w:p>
    <w:p>
      <w:pPr>
        <w:pStyle w:val="BodyTextIndent"/>
        <w:rPr>
          <w:rFonts w:ascii="仿宋" w:hAnsi="仿宋" w:eastAsia="仿宋" w:cs="仿宋"/>
          <w:sz w:val="30"/>
          <w:szCs w:val="30"/>
        </w:rPr>
      </w:pPr>
      <w:r>
        <w:rPr>
          <w:rFonts w:eastAsia="仿宋" w:cs="仿宋" w:ascii="仿宋" w:hAnsi="仿宋"/>
          <w:sz w:val="30"/>
          <w:szCs w:val="30"/>
        </w:rPr>
      </w:r>
    </w:p>
    <w:p>
      <w:pPr>
        <w:pStyle w:val="Heading1"/>
        <w:keepNext w:val="true"/>
        <w:keepLines/>
        <w:pageBreakBefore w:val="false"/>
        <w:widowControl w:val="false"/>
        <w:kinsoku w:val="true"/>
        <w:overflowPunct w:val="true"/>
        <w:autoSpaceDE w:val="true"/>
        <w:bidi w:val="0"/>
        <w:snapToGrid w:val="true"/>
        <w:spacing w:lineRule="auto" w:line="240" w:before="157" w:after="0"/>
        <w:ind w:hanging="0" w:start="0"/>
        <w:textAlignment w:val="auto"/>
        <w:rPr>
          <w:rFonts w:ascii="黑体" w:hAnsi="黑体" w:eastAsia="黑体" w:cs="黑体"/>
          <w:b w:val="false"/>
          <w:bCs w:val="false"/>
          <w:kern w:val="2"/>
          <w:sz w:val="30"/>
          <w:szCs w:val="30"/>
          <w:lang w:val="en-US" w:eastAsia="zh-CN"/>
        </w:rPr>
      </w:pPr>
      <w:bookmarkStart w:id="5" w:name="__RefHeading___Toc10047"/>
      <w:bookmarkEnd w:id="5"/>
      <w:r>
        <w:rPr>
          <w:rFonts w:ascii="黑体" w:hAnsi="黑体" w:cs="黑体" w:eastAsia="黑体"/>
          <w:b w:val="false"/>
          <w:bCs w:val="false"/>
          <w:kern w:val="2"/>
          <w:sz w:val="30"/>
          <w:szCs w:val="30"/>
          <w:lang w:val="en-US" w:eastAsia="zh-CN"/>
        </w:rPr>
        <w:t>六、其他</w:t>
      </w:r>
    </w:p>
    <w:p>
      <w:pPr>
        <w:pStyle w:val="Normal"/>
        <w:numPr>
          <w:ilvl w:val="0"/>
          <w:numId w:val="0"/>
        </w:numPr>
        <w:tabs>
          <w:tab w:val="clear" w:pos="420"/>
          <w:tab w:val="left" w:pos="1050" w:leader="none"/>
        </w:tabs>
        <w:spacing w:lineRule="auto" w:line="360"/>
        <w:ind w:firstLine="900" w:end="0"/>
        <w:outlineLvl w:val="0"/>
        <w:rPr>
          <w:rFonts w:ascii="仿宋" w:hAnsi="仿宋" w:eastAsia="仿宋" w:cs="仿宋"/>
          <w:bCs/>
          <w:sz w:val="30"/>
          <w:szCs w:val="30"/>
          <w:lang w:val="en-US" w:eastAsia="zh-CN"/>
        </w:rPr>
      </w:pPr>
      <w:r>
        <w:rPr>
          <w:rFonts w:ascii="仿宋" w:hAnsi="仿宋" w:cs="仿宋" w:eastAsia="仿宋"/>
          <w:bCs/>
          <w:sz w:val="30"/>
          <w:szCs w:val="30"/>
        </w:rPr>
        <w:t>附件：</w:t>
      </w:r>
      <w:r>
        <w:rPr>
          <w:rFonts w:eastAsia="仿宋" w:cs="仿宋" w:ascii="仿宋" w:hAnsi="仿宋"/>
          <w:bCs/>
          <w:sz w:val="30"/>
          <w:szCs w:val="30"/>
        </w:rPr>
        <w:t>1</w:t>
      </w:r>
      <w:r>
        <w:rPr>
          <w:rFonts w:ascii="仿宋" w:hAnsi="仿宋" w:cs="仿宋" w:eastAsia="仿宋"/>
          <w:bCs/>
          <w:sz w:val="30"/>
          <w:szCs w:val="30"/>
          <w:lang w:eastAsia="zh-CN"/>
        </w:rPr>
        <w:t>、</w:t>
      </w:r>
      <w:r>
        <w:rPr>
          <w:rFonts w:ascii="仿宋" w:hAnsi="仿宋" w:cs="仿宋" w:eastAsia="仿宋"/>
          <w:bCs/>
          <w:sz w:val="30"/>
          <w:szCs w:val="30"/>
          <w:lang w:val="en-US" w:eastAsia="zh-CN"/>
        </w:rPr>
        <w:t>工程量清单对比表</w:t>
      </w:r>
    </w:p>
    <w:p>
      <w:pPr>
        <w:pStyle w:val="Normal"/>
        <w:numPr>
          <w:ilvl w:val="0"/>
          <w:numId w:val="0"/>
        </w:numPr>
        <w:tabs>
          <w:tab w:val="clear" w:pos="420"/>
          <w:tab w:val="left" w:pos="1050" w:leader="none"/>
        </w:tabs>
        <w:spacing w:lineRule="auto" w:line="360"/>
        <w:ind w:hanging="0" w:start="1800" w:end="0"/>
        <w:outlineLvl w:val="0"/>
        <w:rPr>
          <w:rFonts w:ascii="仿宋" w:hAnsi="仿宋" w:eastAsia="仿宋" w:cs="仿宋"/>
          <w:bCs/>
          <w:sz w:val="30"/>
          <w:szCs w:val="30"/>
          <w:lang w:val="en-US" w:eastAsia="zh-CN"/>
        </w:rPr>
      </w:pPr>
      <w:r>
        <w:rPr>
          <w:rFonts w:eastAsia="仿宋" w:cs="仿宋" w:ascii="仿宋" w:hAnsi="仿宋"/>
          <w:bCs/>
          <w:sz w:val="30"/>
          <w:szCs w:val="30"/>
          <w:lang w:val="en-US" w:eastAsia="zh-CN"/>
        </w:rPr>
        <w:t>2</w:t>
      </w:r>
      <w:r>
        <w:rPr>
          <w:rFonts w:ascii="仿宋" w:hAnsi="仿宋" w:cs="仿宋" w:eastAsia="仿宋"/>
          <w:bCs/>
          <w:sz w:val="30"/>
          <w:szCs w:val="30"/>
          <w:lang w:val="en-US" w:eastAsia="zh-CN"/>
        </w:rPr>
        <w:t>、分项</w:t>
      </w:r>
      <w:r>
        <w:rPr>
          <w:rFonts w:ascii="仿宋" w:hAnsi="仿宋" w:cs="仿宋" w:eastAsia="仿宋"/>
          <w:bCs/>
          <w:sz w:val="30"/>
          <w:szCs w:val="30"/>
        </w:rPr>
        <w:t>工程量清单</w:t>
      </w:r>
      <w:r>
        <w:rPr>
          <w:rFonts w:ascii="仿宋" w:hAnsi="仿宋" w:cs="仿宋" w:eastAsia="仿宋"/>
          <w:bCs/>
          <w:sz w:val="30"/>
          <w:szCs w:val="30"/>
          <w:lang w:val="en-US" w:eastAsia="zh-CN"/>
        </w:rPr>
        <w:t>对比表</w:t>
      </w:r>
    </w:p>
    <w:p>
      <w:pPr>
        <w:pStyle w:val="Normal"/>
        <w:numPr>
          <w:ilvl w:val="0"/>
          <w:numId w:val="0"/>
        </w:numPr>
        <w:tabs>
          <w:tab w:val="clear" w:pos="420"/>
          <w:tab w:val="left" w:pos="1050" w:leader="none"/>
        </w:tabs>
        <w:spacing w:lineRule="auto" w:line="360"/>
        <w:ind w:firstLine="1800" w:end="0"/>
        <w:outlineLvl w:val="0"/>
        <w:rPr>
          <w:rFonts w:ascii="仿宋" w:hAnsi="仿宋" w:eastAsia="仿宋" w:cs="仿宋"/>
          <w:bCs/>
          <w:sz w:val="30"/>
          <w:szCs w:val="30"/>
        </w:rPr>
      </w:pPr>
      <w:r>
        <w:rPr>
          <w:rFonts w:eastAsia="仿宋" w:cs="仿宋" w:ascii="仿宋" w:hAnsi="仿宋"/>
          <w:bCs/>
          <w:sz w:val="30"/>
          <w:szCs w:val="30"/>
          <w:lang w:val="en-US" w:eastAsia="zh-CN"/>
        </w:rPr>
        <w:t>3</w:t>
      </w:r>
      <w:r>
        <w:rPr>
          <w:rFonts w:ascii="仿宋" w:hAnsi="仿宋" w:cs="仿宋" w:eastAsia="仿宋"/>
          <w:bCs/>
          <w:sz w:val="30"/>
          <w:szCs w:val="30"/>
        </w:rPr>
        <w:t>、新增单价统计表</w:t>
      </w:r>
    </w:p>
    <w:p>
      <w:pPr>
        <w:pStyle w:val="Normal"/>
        <w:numPr>
          <w:ilvl w:val="0"/>
          <w:numId w:val="0"/>
        </w:numPr>
        <w:tabs>
          <w:tab w:val="clear" w:pos="420"/>
          <w:tab w:val="left" w:pos="1050" w:leader="none"/>
        </w:tabs>
        <w:spacing w:lineRule="auto" w:line="360"/>
        <w:ind w:firstLine="1800" w:end="0"/>
        <w:outlineLvl w:val="0"/>
        <w:rPr>
          <w:rFonts w:ascii="仿宋" w:hAnsi="仿宋" w:eastAsia="仿宋" w:cs="仿宋"/>
          <w:bCs/>
          <w:sz w:val="30"/>
          <w:szCs w:val="30"/>
          <w:lang w:eastAsia="zh-CN"/>
        </w:rPr>
      </w:pPr>
      <w:r>
        <w:rPr>
          <w:rFonts w:eastAsia="仿宋" w:cs="仿宋" w:ascii="仿宋" w:hAnsi="仿宋"/>
          <w:bCs/>
          <w:sz w:val="30"/>
          <w:szCs w:val="30"/>
          <w:lang w:val="en-US" w:eastAsia="zh-CN"/>
        </w:rPr>
        <w:t>4</w:t>
      </w:r>
      <w:r>
        <w:rPr>
          <w:rFonts w:ascii="仿宋" w:hAnsi="仿宋" w:cs="仿宋" w:eastAsia="仿宋"/>
          <w:bCs/>
          <w:sz w:val="30"/>
          <w:szCs w:val="30"/>
          <w:lang w:val="en-US" w:eastAsia="zh-CN"/>
        </w:rPr>
        <w:t>、计算底稿（电子版）</w:t>
      </w:r>
    </w:p>
    <w:p>
      <w:pPr>
        <w:pStyle w:val="Normal"/>
        <w:numPr>
          <w:ilvl w:val="0"/>
          <w:numId w:val="0"/>
        </w:numPr>
        <w:tabs>
          <w:tab w:val="clear" w:pos="420"/>
          <w:tab w:val="left" w:pos="1050" w:leader="none"/>
        </w:tabs>
        <w:spacing w:lineRule="auto" w:line="360"/>
        <w:jc w:val="both"/>
        <w:outlineLvl w:val="0"/>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Normal"/>
        <w:numPr>
          <w:ilvl w:val="0"/>
          <w:numId w:val="0"/>
        </w:numPr>
        <w:tabs>
          <w:tab w:val="clear" w:pos="420"/>
          <w:tab w:val="left" w:pos="1050" w:leader="none"/>
        </w:tabs>
        <w:spacing w:lineRule="auto" w:line="360"/>
        <w:ind w:firstLine="560" w:end="0"/>
        <w:jc w:val="end"/>
        <w:outlineLvl w:val="0"/>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BodyTextIndent"/>
        <w:rPr>
          <w:rFonts w:ascii="仿宋" w:hAnsi="仿宋" w:eastAsia="仿宋" w:cs="仿宋"/>
          <w:bCs/>
          <w:sz w:val="30"/>
          <w:szCs w:val="30"/>
          <w:lang w:val="en-US" w:eastAsia="zh-CN"/>
        </w:rPr>
      </w:pPr>
      <w:r>
        <w:rPr>
          <w:rFonts w:eastAsia="仿宋" w:cs="仿宋" w:ascii="仿宋" w:hAnsi="仿宋"/>
          <w:bCs/>
          <w:sz w:val="30"/>
          <w:szCs w:val="30"/>
          <w:lang w:val="en-US" w:eastAsia="zh-CN"/>
        </w:rPr>
      </w:r>
    </w:p>
    <w:p>
      <w:pPr>
        <w:pStyle w:val="Normal"/>
        <w:jc w:val="end"/>
        <w:rPr>
          <w:rFonts w:ascii="仿宋" w:hAnsi="仿宋" w:eastAsia="仿宋" w:cs="仿宋"/>
          <w:bCs/>
          <w:sz w:val="30"/>
          <w:szCs w:val="30"/>
          <w:lang w:val="en-US" w:eastAsia="zh-CN"/>
        </w:rPr>
      </w:pPr>
      <w:r>
        <w:rPr>
          <w:rFonts w:ascii="仿宋" w:hAnsi="仿宋" w:cs="仿宋" w:eastAsia="仿宋"/>
          <w:bCs/>
          <w:sz w:val="30"/>
          <w:szCs w:val="30"/>
          <w:lang w:val="en-US" w:eastAsia="zh-CN"/>
        </w:rPr>
        <w:t>江苏交通工程投资咨询有限公司</w:t>
      </w:r>
    </w:p>
    <w:p>
      <w:pPr>
        <w:pStyle w:val="Normal"/>
        <w:jc w:val="end"/>
        <w:rPr/>
      </w:pPr>
      <w:r>
        <w:rPr>
          <w:rFonts w:eastAsia="仿宋" w:cs="仿宋" w:ascii="仿宋" w:hAnsi="仿宋"/>
          <w:bCs/>
          <w:color w:val="000000"/>
          <w:sz w:val="30"/>
          <w:szCs w:val="30"/>
        </w:rPr>
        <w:t>2026年09月15日</w:t>
      </w:r>
    </w:p>
    <w:sectPr>
      <w:headerReference w:type="default" r:id="rId8"/>
      <w:headerReference w:type="first" r:id="rId9"/>
      <w:footerReference w:type="default" r:id="rId10"/>
      <w:footerReference w:type="first" r:id="rId11"/>
      <w:type w:val="nextPage"/>
      <w:pgSz w:w="11906" w:h="16838"/>
      <w:pgMar w:left="1701" w:right="1701" w:gutter="0" w:header="1361" w:top="1701" w:footer="1361" w:bottom="170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Times New Roman">
    <w:charset w:val="86"/>
    <w:family w:val="roman"/>
    <w:pitch w:val="default"/>
  </w:font>
  <w:font w:name="宋体">
    <w:charset w:val="86"/>
    <w:family w:val="auto"/>
    <w:pitch w:val="default"/>
  </w:font>
  <w:font w:name="Liberation Sans">
    <w:altName w:val="Arial"/>
    <w:charset w:val="01" w:characterSet="utf-8"/>
    <w:family w:val="swiss"/>
    <w:pitch w:val="variable"/>
  </w:font>
  <w:font w:name="黑体">
    <w:charset w:val="86"/>
    <w:family w:val="auto"/>
    <w:pitch w:val="default"/>
  </w:font>
  <w:font w:name="仿宋">
    <w:charset w:val="86"/>
    <w:family w:val="auto"/>
    <w:pitch w:val="default"/>
  </w:font>
  <w:font w:name="Gulim">
    <w:altName w:val="Malgun Gothic"/>
    <w:charset w:val="8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exact" w:line="320"/>
      <w:jc w:val="both"/>
      <w:rPr>
        <w:rFonts w:ascii="宋体" w:hAnsi="宋体" w:eastAsia="宋体" w:cs="宋体"/>
        <w:color w:val="17365D"/>
        <w:sz w:val="21"/>
        <w:szCs w:val="21"/>
        <w:lang w:eastAsia="zh-CN"/>
      </w:rPr>
    </w:pPr>
    <w:r>
      <mc:AlternateContent>
        <mc:Choice Requires="wps">
          <w:drawing>
            <wp:anchor behindDoc="1" distT="0" distB="0" distL="114935" distR="114935" simplePos="0" locked="0" layoutInCell="1" allowOverlap="1" relativeHeight="7">
              <wp:simplePos x="0" y="0"/>
              <wp:positionH relativeFrom="column">
                <wp:posOffset>20955</wp:posOffset>
              </wp:positionH>
              <wp:positionV relativeFrom="paragraph">
                <wp:posOffset>-635</wp:posOffset>
              </wp:positionV>
              <wp:extent cx="5817235" cy="1270"/>
              <wp:effectExtent l="5080" t="5080" r="5080" b="5080"/>
              <wp:wrapNone/>
              <wp:docPr id="2" name="直接箭头连接符 1"/>
              <a:graphic xmlns:a="http://schemas.openxmlformats.org/drawingml/2006/main">
                <a:graphicData uri="http://schemas.microsoft.com/office/word/2010/wordprocessingShape">
                  <wps:wsp>
                    <wps:cNvCnPr/>
                    <wps:spPr>
                      <a:xfrm>
                        <a:off x="0" y="0"/>
                        <a:ext cx="5817600" cy="1800"/>
                      </a:xfrm>
                      <a:prstGeom prst="straightConnector1">
                        <a:avLst/>
                      </a:prstGeom>
                      <a:ln w="9360">
                        <a:solidFill>
                          <a:srgbClr val="000000"/>
                        </a:solidFill>
                        <a:round/>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ID="直接箭头连接符 1" stroked="t" o:allowincell="f" style="position:absolute;margin-left:1.65pt;margin-top:-0.05pt;width:458.05pt;height:0.1pt" type="_x0000_t32">
              <v:stroke color="black" weight="9360" joinstyle="round" endcap="flat"/>
              <v:fill o:detectmouseclick="t" on="false"/>
              <w10:wrap type="none"/>
            </v:shape>
          </w:pict>
        </mc:Fallback>
      </mc:AlternateContent>
    </w:r>
    <w:r>
      <w:rPr>
        <w:rFonts w:ascii="宋体" w:hAnsi="宋体" w:cs="宋体"/>
        <w:color w:val="17365D"/>
        <w:sz w:val="21"/>
        <w:szCs w:val="21"/>
      </w:rPr>
      <w:t>公司价值观：科学严谨、公正规范、优质服务、持续改进</w:t>
    </w:r>
  </w:p>
  <w:p>
    <w:pPr>
      <w:pStyle w:val="Normal"/>
      <w:tabs>
        <w:tab w:val="clear" w:pos="420"/>
        <w:tab w:val="left" w:pos="7237" w:leader="none"/>
      </w:tabs>
      <w:spacing w:lineRule="exact" w:line="320"/>
      <w:rPr>
        <w:rFonts w:ascii="宋体" w:hAnsi="宋体" w:cs="宋体"/>
        <w:color w:val="17365D"/>
        <w:szCs w:val="21"/>
      </w:rPr>
    </w:pPr>
    <w:r>
      <w:rPr>
        <w:rFonts w:ascii="宋体" w:hAnsi="宋体" w:cs="宋体"/>
        <w:color w:val="17365D"/>
        <w:szCs w:val="21"/>
      </w:rPr>
      <w:t>广州分公司地址：越秀区白云</w:t>
    </w:r>
    <w:r>
      <w:rPr>
        <w:rFonts w:cs="宋体" w:ascii="宋体" w:hAnsi="宋体"/>
        <w:color w:val="17365D"/>
        <w:szCs w:val="21"/>
      </w:rPr>
      <w:t>83</w:t>
    </w:r>
    <w:r>
      <w:rPr>
        <w:rFonts w:ascii="宋体" w:hAnsi="宋体" w:cs="宋体"/>
        <w:color w:val="17365D"/>
        <w:szCs w:val="21"/>
      </w:rPr>
      <w:t>号广东高速公路大厦</w:t>
    </w:r>
    <w:r>
      <w:rPr>
        <w:rFonts w:cs="宋体" w:ascii="宋体" w:hAnsi="宋体"/>
        <w:color w:val="17365D"/>
        <w:szCs w:val="21"/>
      </w:rPr>
      <w:t>22</w:t>
    </w:r>
    <w:r>
      <w:rPr>
        <w:rFonts w:ascii="宋体" w:hAnsi="宋体" w:cs="宋体"/>
        <w:color w:val="17365D"/>
        <w:szCs w:val="21"/>
      </w:rPr>
      <w:t>楼</w:t>
    </w:r>
  </w:p>
  <w:p>
    <w:pPr>
      <w:pStyle w:val="Normal"/>
      <w:spacing w:lineRule="exact" w:line="320"/>
      <w:rPr/>
    </w:pPr>
    <w:r>
      <w:rPr>
        <w:rFonts w:ascii="宋体" w:hAnsi="宋体" w:cs="宋体"/>
        <w:color w:val="17365D"/>
        <w:szCs w:val="21"/>
      </w:rPr>
      <w:t>网站：</w:t>
    </w:r>
    <w:hyperlink r:id="rId1">
      <w:r>
        <w:rPr>
          <w:rStyle w:val="Hyperlink"/>
          <w:rFonts w:cs="宋体" w:ascii="宋体" w:hAnsi="宋体"/>
          <w:szCs w:val="21"/>
        </w:rPr>
        <w:t>http://www.jsjtzx.com/</w:t>
      </w:r>
    </w:hyperlink>
    <w:r>
      <w:rPr>
        <w:rFonts w:ascii="宋体" w:hAnsi="宋体" w:cs="宋体"/>
        <w:color w:val="17365D"/>
        <w:szCs w:val="21"/>
      </w:rPr>
      <w:t>电话：</w:t>
    </w:r>
    <w:r>
      <w:rPr>
        <w:rFonts w:cs="宋体" w:ascii="宋体" w:hAnsi="宋体"/>
        <w:color w:val="17365D"/>
        <w:szCs w:val="21"/>
      </w:rPr>
      <w:t>020-87516234</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eastAsia="宋体" w:cs="Times New Roman"/>
        <w:sz w:val="21"/>
        <w:lang w:val="en-US" w:eastAsia="zh-CN"/>
      </w:rPr>
    </w:pPr>
    <w:r>
      <w:rPr>
        <w:rFonts w:ascii="Times New Roman" w:hAnsi="Times New Roman" w:cs="Times New Roman"/>
        <w:sz w:val="21"/>
        <w:lang w:val="en-US" w:eastAsia="zh-CN"/>
      </w:rPr>
      <w:t>江苏交通工程投资咨询有限公司</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Times New Roman" w:hAnsi="Times New Roman" w:eastAsia="宋体" w:cs="Times New Roman"/>
        <w:sz w:val="21"/>
        <w:lang w:val="en-US" w:eastAsia="zh-CN"/>
      </w:rPr>
    </w:pPr>
    <w:r>
      <w:rPr>
        <w:rFonts w:ascii="Times New Roman" w:hAnsi="Times New Roman" w:cs="Times New Roman"/>
        <w:sz w:val="21"/>
        <w:lang w:val="en-US" w:eastAsia="zh-CN"/>
      </w:rPr>
      <w:t>江苏交通工程投资咨询有限公司</w:t>
    </w:r>
    <w:r>
      <mc:AlternateContent>
        <mc:Choice Requires="wps">
          <w:drawing>
            <wp:anchor behindDoc="1" distT="0" distB="0" distL="114935" distR="0" simplePos="0" locked="0" layoutInCell="0" allowOverlap="1" relativeHeight="31">
              <wp:simplePos x="0" y="0"/>
              <wp:positionH relativeFrom="margin">
                <wp:align>right</wp:align>
              </wp:positionH>
              <wp:positionV relativeFrom="paragraph">
                <wp:posOffset>635</wp:posOffset>
              </wp:positionV>
              <wp:extent cx="830580" cy="186055"/>
              <wp:effectExtent l="0" t="0" r="0" b="0"/>
              <wp:wrapNone/>
              <wp:docPr id="3" name="Frame1"/>
              <a:graphic xmlns:a="http://schemas.openxmlformats.org/drawingml/2006/main">
                <a:graphicData uri="http://schemas.microsoft.com/office/word/2010/wordprocessingShape">
                  <wps:wsp>
                    <wps:cNvSpPr txBox="1"/>
                    <wps:spPr>
                      <a:xfrm>
                        <a:off x="0" y="0"/>
                        <a:ext cx="830580" cy="186055"/>
                      </a:xfrm>
                      <a:prstGeom prst="rect"/>
                      <a:solidFill>
                        <a:srgbClr val="FFFFFF">
                          <a:alpha val="0"/>
                        </a:srgbClr>
                      </a:solidFill>
                    </wps:spPr>
                    <wps:txbx>
                      <w:txbxContent>
                        <w:p>
                          <w:pPr>
                            <w:pStyle w:val="Footer"/>
                            <w:rPr/>
                          </w:pPr>
                          <w:r>
                            <w:rPr/>
                            <w:t>第</w:t>
                          </w:r>
                          <w:r>
                            <w:rPr>
                              <w:rFonts w:eastAsia="Times New Roman"/>
                            </w:rPr>
                            <w:t xml:space="preserve"> </w:t>
                          </w:r>
                          <w:r>
                            <w:rPr/>
                            <w:fldChar w:fldCharType="begin"/>
                          </w:r>
                          <w:r>
                            <w:rPr/>
                            <w:instrText xml:space="preserve"> PAGE </w:instrText>
                          </w:r>
                          <w:r>
                            <w:rPr/>
                            <w:fldChar w:fldCharType="separate"/>
                          </w:r>
                          <w:r>
                            <w:rPr/>
                            <w:t>24</w:t>
                          </w:r>
                          <w:r>
                            <w:rPr/>
                            <w:fldChar w:fldCharType="end"/>
                          </w:r>
                          <w:r>
                            <w:rPr>
                              <w:rFonts w:eastAsia="Times New Roman"/>
                            </w:rPr>
                            <w:t xml:space="preserve"> </w:t>
                          </w:r>
                          <w:r>
                            <w:rPr/>
                            <w:t>页</w:t>
                          </w:r>
                          <w:r>
                            <w:rPr>
                              <w:rFonts w:eastAsia="Times New Roman"/>
                            </w:rPr>
                            <w:t xml:space="preserve"> </w:t>
                          </w:r>
                          <w:r>
                            <w:rPr/>
                            <w:t>共</w:t>
                          </w:r>
                          <w:r>
                            <w:rPr>
                              <w:rFonts w:eastAsia="Times New Roman"/>
                            </w:rPr>
                            <w:t xml:space="preserve"> </w:t>
                          </w:r>
                          <w:r>
                            <w:rPr>
                              <w:lang w:val="en-US" w:eastAsia="zh-CN"/>
                            </w:rPr>
                            <w:t>17</w:t>
                          </w:r>
                          <w:r>
                            <w:rPr/>
                            <w:t xml:space="preserve"> </w:t>
                          </w:r>
                          <w:r>
                            <w:rPr/>
                            <w:t>页</w:t>
                          </w:r>
                        </w:p>
                      </w:txbxContent>
                    </wps:txbx>
                    <wps:bodyPr anchor="t" lIns="635" tIns="635" rIns="635" bIns="635">
                      <a:spAutoFit/>
                    </wps:bodyPr>
                  </wps:wsp>
                </a:graphicData>
              </a:graphic>
            </wp:anchor>
          </w:drawing>
        </mc:Choice>
        <mc:Fallback>
          <w:pict>
            <v:rect fillcolor="#FFFFFF" style="position:absolute;rotation:-0;width:65.4pt;height:14.65pt;mso-wrap-distance-left:9.05pt;mso-wrap-distance-right:0pt;mso-wrap-distance-top:0pt;mso-wrap-distance-bottom:0pt;margin-top:0pt;mso-position-vertical-relative:text;margin-left:359.8pt;mso-position-horizontal:right;mso-position-horizontal-relative:margin">
              <v:fill opacity="0f"/>
              <v:textbox inset="0.000694444444444445in,0.000694444444444445in,0.000694444444444445in,0.000694444444444445in">
                <w:txbxContent>
                  <w:p>
                    <w:pPr>
                      <w:pStyle w:val="Footer"/>
                      <w:rPr/>
                    </w:pPr>
                    <w:r>
                      <w:rPr/>
                      <w:t>第</w:t>
                    </w:r>
                    <w:r>
                      <w:rPr>
                        <w:rFonts w:eastAsia="Times New Roman"/>
                      </w:rPr>
                      <w:t xml:space="preserve"> </w:t>
                    </w:r>
                    <w:r>
                      <w:rPr/>
                      <w:fldChar w:fldCharType="begin"/>
                    </w:r>
                    <w:r>
                      <w:rPr/>
                      <w:instrText xml:space="preserve"> PAGE </w:instrText>
                    </w:r>
                    <w:r>
                      <w:rPr/>
                      <w:fldChar w:fldCharType="separate"/>
                    </w:r>
                    <w:r>
                      <w:rPr/>
                      <w:t>24</w:t>
                    </w:r>
                    <w:r>
                      <w:rPr/>
                      <w:fldChar w:fldCharType="end"/>
                    </w:r>
                    <w:r>
                      <w:rPr>
                        <w:rFonts w:eastAsia="Times New Roman"/>
                      </w:rPr>
                      <w:t xml:space="preserve"> </w:t>
                    </w:r>
                    <w:r>
                      <w:rPr/>
                      <w:t>页</w:t>
                    </w:r>
                    <w:r>
                      <w:rPr>
                        <w:rFonts w:eastAsia="Times New Roman"/>
                      </w:rPr>
                      <w:t xml:space="preserve"> </w:t>
                    </w:r>
                    <w:r>
                      <w:rPr/>
                      <w:t>共</w:t>
                    </w:r>
                    <w:r>
                      <w:rPr>
                        <w:rFonts w:eastAsia="Times New Roman"/>
                      </w:rPr>
                      <w:t xml:space="preserve"> </w:t>
                    </w:r>
                    <w:r>
                      <w:rPr>
                        <w:lang w:val="en-US" w:eastAsia="zh-CN"/>
                      </w:rPr>
                      <w:t>17</w:t>
                    </w:r>
                    <w:r>
                      <w:rPr/>
                      <w:t xml:space="preserve"> </w:t>
                    </w:r>
                    <w:r>
                      <w:rPr/>
                      <w:t>页</w:t>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0" w:color="000000"/>
      </w:pBdr>
      <w:rPr>
        <w:b/>
        <w:color w:val="17365D"/>
        <w:sz w:val="36"/>
      </w:rPr>
    </w:pPr>
    <w:r>
      <w:drawing>
        <wp:anchor behindDoc="0" distT="0" distB="0" distL="114935" distR="114935" simplePos="0" locked="0" layoutInCell="0" allowOverlap="1" relativeHeight="4">
          <wp:simplePos x="0" y="0"/>
          <wp:positionH relativeFrom="margin">
            <wp:posOffset>179070</wp:posOffset>
          </wp:positionH>
          <wp:positionV relativeFrom="margin">
            <wp:posOffset>-808990</wp:posOffset>
          </wp:positionV>
          <wp:extent cx="591185" cy="591185"/>
          <wp:effectExtent l="0" t="0" r="0" b="0"/>
          <wp:wrapSquare wrapText="bothSides"/>
          <wp:docPr id="1" name="图片 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 title=""/>
                  <pic:cNvPicPr>
                    <a:picLocks noChangeAspect="1" noChangeArrowheads="1"/>
                  </pic:cNvPicPr>
                </pic:nvPicPr>
                <pic:blipFill>
                  <a:blip r:embed="rId1"/>
                  <a:srcRect l="-61" t="-61" r="-61" b="-61"/>
                  <a:stretch>
                    <a:fillRect/>
                  </a:stretch>
                </pic:blipFill>
                <pic:spPr bwMode="auto">
                  <a:xfrm>
                    <a:off x="0" y="0"/>
                    <a:ext cx="591185" cy="591185"/>
                  </a:xfrm>
                  <a:prstGeom prst="rect">
                    <a:avLst/>
                  </a:prstGeom>
                </pic:spPr>
              </pic:pic>
            </a:graphicData>
          </a:graphic>
        </wp:anchor>
      </w:drawing>
    </w:r>
    <w:r>
      <w:rPr>
        <w:b/>
        <w:color w:val="17365D"/>
        <w:sz w:val="32"/>
        <w:szCs w:val="32"/>
      </w:rPr>
      <w:t>江苏交通工程投资咨询有限公司</w:t>
    </w:r>
  </w:p>
  <w:p>
    <w:pPr>
      <w:pStyle w:val="Header"/>
      <w:pBdr>
        <w:bottom w:val="single" w:sz="6" w:space="0" w:color="000000"/>
      </w:pBdr>
      <w:rPr/>
    </w:pPr>
    <w:r>
      <w:rPr>
        <w:b/>
        <w:color w:val="17365D"/>
        <w:sz w:val="36"/>
      </w:rPr>
      <w:tab/>
    </w:r>
    <w:r>
      <w:rPr>
        <w:rFonts w:eastAsia="Gulim;Malgun Gothic" w:cs="Gulim;Malgun Gothic" w:ascii="Gulim;Malgun Gothic" w:hAnsi="Gulim;Malgun Gothic"/>
        <w:b/>
        <w:color w:val="17365D"/>
      </w:rPr>
      <w:t>JIANGSUCOMMUNICATIONENGINEERINGINVESTMENTCONSULTANTCO.,LTD</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jc w:val="end"/>
      <w:rPr/>
    </w:pPr>
    <w:r>
      <w:rPr>
        <w:sz w:val="21"/>
        <w:szCs w:val="21"/>
        <w:lang w:val="en-US" w:eastAsia="zh-CN"/>
      </w:rPr>
      <w:t>TJ4</w:t>
    </w:r>
    <w:r>
      <w:rPr>
        <w:sz w:val="21"/>
        <w:szCs w:val="21"/>
        <w:lang w:val="en-US" w:eastAsia="zh-CN"/>
      </w:rPr>
      <w:t>合同段</w:t>
    </w:r>
    <w:r>
      <w:rPr>
        <w:sz w:val="21"/>
        <w:szCs w:val="21"/>
        <w:lang w:val="en-US" w:eastAsia="zh-CN"/>
      </w:rPr>
      <w:t>0#</w:t>
    </w:r>
    <w:r>
      <w:rPr>
        <w:sz w:val="21"/>
        <w:szCs w:val="21"/>
        <w:lang w:val="en-US" w:eastAsia="zh-CN"/>
      </w:rPr>
      <w:t>变更修编清单</w:t>
    </w:r>
    <w:r>
      <w:rPr>
        <w:sz w:val="21"/>
        <w:szCs w:val="21"/>
      </w:rPr>
      <w:t>审核报告</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4" w:space="1" w:color="000000"/>
      </w:pBdr>
      <w:jc w:val="end"/>
      <w:rPr/>
    </w:pPr>
    <w:r>
      <w:rPr>
        <w:sz w:val="21"/>
        <w:szCs w:val="21"/>
        <w:lang w:val="en-US" w:eastAsia="zh-CN"/>
      </w:rPr>
      <w:t>TJ4</w:t>
    </w:r>
    <w:r>
      <w:rPr>
        <w:sz w:val="21"/>
        <w:szCs w:val="21"/>
        <w:lang w:val="en-US" w:eastAsia="zh-CN"/>
      </w:rPr>
      <w:t>合同段</w:t>
    </w:r>
    <w:r>
      <w:rPr>
        <w:sz w:val="21"/>
        <w:szCs w:val="21"/>
        <w:lang w:val="en-US" w:eastAsia="zh-CN"/>
      </w:rPr>
      <w:t>0#</w:t>
    </w:r>
    <w:r>
      <w:rPr>
        <w:sz w:val="21"/>
        <w:szCs w:val="21"/>
        <w:lang w:val="en-US" w:eastAsia="zh-CN"/>
      </w:rPr>
      <w:t>变更修编清单</w:t>
    </w:r>
    <w:r>
      <w:rPr>
        <w:sz w:val="21"/>
        <w:szCs w:val="21"/>
      </w:rPr>
      <w:t>审核报告</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5"/>
      <w:numFmt w:val="chineseCountingThousand"/>
      <w:suff w:val="nothing"/>
      <w:lvlText w:val="%1、"/>
      <w:lvlJc w:val="start"/>
      <w:pPr>
        <w:tabs>
          <w:tab w:val="num" w:pos="0"/>
        </w:tabs>
        <w:ind w:start="0" w:hanging="0"/>
      </w:pPr>
      <w:rPr/>
    </w:lvl>
  </w:abstractNum>
  <w:num w:numId="1">
    <w:abstractNumId w:val="1"/>
  </w:num>
  <w:num w:numId="2">
    <w:abstractNumId w:val="2"/>
  </w:num>
</w:numbering>
</file>

<file path=word/settings.xml><?xml version="1.0" encoding="utf-8"?>
<w:settings xmlns:w="http://schemas.openxmlformats.org/wordprocessingml/2006/main">
  <w:zoom w:percent="120"/>
  <w:defaultTabStop w:val="420"/>
  <w:autoHyphenation w:val="true"/>
  <w:compat>
    <w:noLeading/>
    <w:doNotExpandShiftReturn/>
    <w:compatSetting w:name="compatibilityMode" w:uri="http://schemas.microsoft.com/office/word" w:val="11"/>
  </w:compat>
  <w:docVars>
    <w:docVar w:name="commondata" w:val="eyJoZGlkIjoiZjk4YTAyODIzNjVmOGU4ZWE4Y2VmNzI0MzA4MmExYzQ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next w:val="BodyTextIndent"/>
    <w:qFormat/>
    <w:pPr>
      <w:widowControl w:val="false"/>
      <w:bidi w:val="0"/>
      <w:jc w:val="both"/>
    </w:pPr>
    <w:rPr>
      <w:rFonts w:ascii="Times New Roman" w:hAnsi="Times New Roman" w:eastAsia="宋体" w:cs="Times New Roman"/>
      <w:color w:val="auto"/>
      <w:kern w:val="2"/>
      <w:sz w:val="21"/>
      <w:szCs w:val="24"/>
      <w:lang w:val="en-US" w:eastAsia="zh-CN" w:bidi="ar-SA"/>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character" w:styleId="WW8Num1z0">
    <w:name w:val="WW8Num1z0"/>
    <w:qFormat/>
    <w:rPr/>
  </w:style>
  <w:style w:type="character" w:styleId="Style13">
    <w:name w:val="默认段落字体"/>
    <w:qFormat/>
    <w:rPr/>
  </w:style>
  <w:style w:type="character" w:styleId="1Char">
    <w:name w:val="标题 1 Char"/>
    <w:basedOn w:val="Style13"/>
    <w:qFormat/>
    <w:rPr>
      <w:rFonts w:eastAsia="宋体"/>
      <w:b/>
      <w:bCs/>
      <w:kern w:val="2"/>
      <w:sz w:val="44"/>
      <w:szCs w:val="44"/>
      <w:lang w:val="en-US" w:eastAsia="zh-CN" w:bidi="ar-SA"/>
    </w:rPr>
  </w:style>
  <w:style w:type="character" w:styleId="PageNumber">
    <w:name w:val="Page Number"/>
    <w:basedOn w:val="Style13"/>
    <w:rPr/>
  </w:style>
  <w:style w:type="character" w:styleId="Hyperlink">
    <w:name w:val="Hyperlink"/>
    <w:basedOn w:val="Style13"/>
    <w:rPr>
      <w:color w:val="0000FF"/>
      <w:u w:val="single"/>
    </w:rPr>
  </w:style>
  <w:style w:type="character" w:styleId="font71">
    <w:name w:val="font71"/>
    <w:basedOn w:val="Style13"/>
    <w:qFormat/>
    <w:rPr>
      <w:rFonts w:ascii="Times New Roman" w:hAnsi="Times New Roman" w:cs="Times New Roman"/>
      <w:i w:val="false"/>
      <w:color w:val="000000"/>
      <w:sz w:val="16"/>
      <w:szCs w:val="16"/>
      <w:u w:val="none"/>
    </w:rPr>
  </w:style>
  <w:style w:type="character" w:styleId="font41">
    <w:name w:val="font41"/>
    <w:basedOn w:val="Style13"/>
    <w:qFormat/>
    <w:rPr>
      <w:rFonts w:ascii="宋体" w:hAnsi="宋体" w:eastAsia="宋体" w:cs="宋体"/>
      <w:i w:val="false"/>
      <w:color w:val="000000"/>
      <w:sz w:val="16"/>
      <w:szCs w:val="16"/>
      <w:u w:val="none"/>
    </w:rPr>
  </w:style>
  <w:style w:type="character" w:styleId="font51">
    <w:name w:val="font51"/>
    <w:basedOn w:val="Style13"/>
    <w:qFormat/>
    <w:rPr>
      <w:rFonts w:ascii="Times New Roman" w:hAnsi="Times New Roman" w:cs="Times New Roman"/>
      <w:i w:val="false"/>
      <w:color w:val="000000"/>
      <w:sz w:val="16"/>
      <w:szCs w:val="16"/>
      <w:u w:val="none"/>
    </w:rPr>
  </w:style>
  <w:style w:type="character" w:styleId="font61">
    <w:name w:val="font61"/>
    <w:basedOn w:val="Style13"/>
    <w:qFormat/>
    <w:rPr>
      <w:rFonts w:ascii="宋体" w:hAnsi="宋体" w:eastAsia="宋体" w:cs="宋体"/>
      <w:i w:val="false"/>
      <w:color w:val="000000"/>
      <w:sz w:val="16"/>
      <w:szCs w:val="16"/>
      <w:u w:val="non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Indent">
    <w:name w:val="Body Text Indent"/>
    <w:basedOn w:val="Normal"/>
    <w:pPr>
      <w:spacing w:before="0" w:after="120"/>
      <w:ind w:hanging="0" w:start="420" w:end="0"/>
    </w:pPr>
    <w:rPr>
      <w:sz w:val="20"/>
      <w:szCs w:val="24"/>
    </w:rPr>
  </w:style>
  <w:style w:type="paragraph" w:styleId="Style14">
    <w:name w:val="文档结构图"/>
    <w:basedOn w:val="Normal"/>
    <w:qFormat/>
    <w:pPr>
      <w:shd w:fill="000080" w:val="clear"/>
    </w:pPr>
    <w:rPr/>
  </w:style>
  <w:style w:type="paragraph" w:styleId="Style15">
    <w:name w:val="批注文字"/>
    <w:basedOn w:val="Normal"/>
    <w:qFormat/>
    <w:pPr>
      <w:jc w:val="start"/>
    </w:pPr>
    <w:rPr/>
  </w:style>
  <w:style w:type="paragraph" w:styleId="Style16">
    <w:name w:val="纯文本"/>
    <w:basedOn w:val="Normal"/>
    <w:qFormat/>
    <w:pPr/>
    <w:rPr>
      <w:rFonts w:ascii="宋体" w:hAnsi="宋体" w:cs="Courier New"/>
    </w:rPr>
  </w:style>
  <w:style w:type="paragraph" w:styleId="Style17">
    <w:name w:val="日期"/>
    <w:basedOn w:val="Normal"/>
    <w:next w:val="Normal"/>
    <w:qFormat/>
    <w:pPr>
      <w:ind w:hanging="0" w:start="100" w:end="0"/>
    </w:pPr>
    <w:rPr/>
  </w:style>
  <w:style w:type="paragraph" w:styleId="Style18">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986" w:leader="none"/>
        <w:tab w:val="right" w:pos="9972" w:leader="none"/>
      </w:tabs>
    </w:pPr>
    <w:rPr/>
  </w:style>
  <w:style w:type="paragraph" w:styleId="Footer">
    <w:name w:val="Footer"/>
    <w:basedOn w:val="Normal"/>
    <w:pPr>
      <w:pBdr>
        <w:top w:val="single" w:sz="4" w:space="1" w:color="000000"/>
      </w:pBd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TOC1">
    <w:name w:val="TOC 1"/>
    <w:basedOn w:val="Normal"/>
    <w:next w:val="Normal"/>
    <w:pPr/>
    <w:rPr/>
  </w:style>
  <w:style w:type="paragraph" w:styleId="WPSOffice1">
    <w:name w:val="WPSOffice手动目录 1"/>
    <w:qFormat/>
    <w:pPr>
      <w:widowControl/>
      <w:bidi w:val="0"/>
    </w:pPr>
    <w:rPr>
      <w:rFonts w:ascii="Times New Roman" w:hAnsi="Times New Roman" w:eastAsia="宋体" w:cs="Times New Roman"/>
      <w:color w:val="auto"/>
      <w:sz w:val="20"/>
      <w:szCs w:val="20"/>
      <w:lang w:val="en-US" w:eastAsia="zh-CN" w:bidi="hi-IN"/>
    </w:rPr>
  </w:style>
  <w:style w:type="paragraph" w:styleId="Char">
    <w:name w:val="Cha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jsjtzx.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5760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2015-04-22T09:25:00Z</dcterms:created>
  <dc:creator>微软用户</dc:creator>
  <dc:description/>
  <dc:language>en-US</dc:language>
  <cp:lastModifiedBy>聂云峰</cp:lastModifiedBy>
  <cp:lastPrinted>2015-04-24T08:56:00Z</cp:lastPrinted>
  <dcterms:modified xsi:type="dcterms:W3CDTF">2026-06-25T17:29:14Z</dcterms:modified>
  <cp:revision>44</cp:revision>
  <dc:subject/>
  <dc:title>深圳至中山跨江通道（全长24.005km）</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7FA16E0514A34DC29A3B09BBEE42E51D_13</vt:lpwstr>
  </property>
  <property fmtid="{D5CDD505-2E9C-101B-9397-08002B2CF9AE}" pid="3" name="KSOProductBuildVer">
    <vt:lpwstr>2052-12.1.0.26895</vt:lpwstr>
  </property>
  <property fmtid="{D5CDD505-2E9C-101B-9397-08002B2CF9AE}" pid="4" name="KSOTemplateDocerSaveRecord">
    <vt:lpwstr>eyJoZGlkIjoiZDcyYzY4YmQ3ZDg1NzEwZWYxYWNiYTUyMWU4YTQ5MDAiLCJ1c2VySWQiOiIxNjAyMTY2NDEwIn0=</vt:lpwstr>
  </property>
</Properties>
</file>