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48"/>
        </w:rPr>
        <w:t>PlantMR研究内容与投稿准备说明</w:t>
      </w:r>
    </w:p>
    <w:p>
      <w:pPr>
        <w:jc w:val="center"/>
      </w:pPr>
      <w:r>
        <w:rPr>
          <w:color w:val="0F6B78"/>
          <w:sz w:val="28"/>
        </w:rPr>
        <w:t>植物/作物摘要统计孟德尔随机化与环境效应异质性分析</w:t>
      </w:r>
    </w:p>
    <w:p>
      <w:pPr>
        <w:spacing w:before="500"/>
        <w:jc w:val="center"/>
      </w:pPr>
      <w:r>
        <w:rPr>
          <w:color w:val="666666"/>
          <w:sz w:val="22"/>
        </w:rPr>
        <w:t>研究版本：PlantMR v1.1.0</w:t>
        <w:br/>
        <w:t>论文包：v1.1.0-paper</w:t>
        <w:br/>
        <w:t>整理日期：2026年9月19日</w:t>
      </w:r>
    </w:p>
    <w:tbl>
      <w:tblPr>
        <w:tblW w:type="auto" w:w="0"/>
        <w:jc w:val="center"/>
        <w:tblLook w:firstColumn="1" w:firstRow="1" w:lastColumn="0" w:lastRow="0" w:noHBand="0" w:noVBand="1" w:val="04A0"/>
      </w:tblPr>
      <w:tblGrid>
        <w:gridCol w:w="9858"/>
      </w:tblGrid>
      <w:tr>
        <w:tc>
          <w:tcPr>
            <w:tcW w:type="dxa" w:w="9858"/>
            <w:shd w:fill="E8F2F7"/>
            <w:tcBorders>
              <w:top w:val="single" w:sz="8" w:color="0F6B78"/>
              <w:left w:val="single" w:sz="8" w:color="0F6B78"/>
              <w:bottom w:val="single" w:sz="8" w:color="0F6B78"/>
              <w:right w:val="single" w:sz="8" w:color="0F6B78"/>
            </w:tcBorders>
          </w:tcPr>
          <w:p>
            <w:r/>
            <w:r>
              <w:rPr>
                <w:b/>
                <w:color w:val="0F6B78"/>
                <w:sz w:val="20"/>
              </w:rPr>
              <w:t>一句话概括</w:t>
              <w:br/>
            </w:r>
            <w:r>
              <w:rPr>
                <w:sz w:val="19"/>
              </w:rPr>
              <w:t>我们不是简单把人类MR代码换成植物数据，而是建立了一个明确声明物种、参考组装、环境、倍性、LD和样本重叠边界的植物MR工作流，并增加了一个能处理环境效应异质性的协方差感知模型。</w:t>
            </w:r>
          </w:p>
        </w:tc>
      </w:tr>
    </w:tbl>
    <w:p>
      <w:pPr>
        <w:spacing w:after="0"/>
      </w:pPr>
    </w:p>
    <w:p>
      <w:r>
        <w:br w:type="page"/>
      </w:r>
    </w:p>
    <w:p>
      <w:pPr>
        <w:pStyle w:val="Heading1"/>
      </w:pPr>
      <w:r>
        <w:t>目录</w:t>
      </w:r>
    </w:p>
    <w:p>
      <w:pPr>
        <w:pStyle w:val="ListBullet"/>
        <w:spacing w:after="40"/>
      </w:pPr>
      <w:r>
        <w:t>一、当前结论和研究定位</w:t>
      </w:r>
    </w:p>
    <w:p>
      <w:pPr>
        <w:pStyle w:val="ListBullet"/>
        <w:spacing w:after="40"/>
      </w:pPr>
      <w:r>
        <w:t>二、为什么要做植物版MR</w:t>
      </w:r>
    </w:p>
    <w:p>
      <w:pPr>
        <w:pStyle w:val="ListBullet"/>
        <w:spacing w:after="40"/>
      </w:pPr>
      <w:r>
        <w:t>三、与已有方法和软件的关系</w:t>
      </w:r>
    </w:p>
    <w:p>
      <w:pPr>
        <w:pStyle w:val="ListBullet"/>
        <w:spacing w:after="40"/>
      </w:pPr>
      <w:r>
        <w:t>四、我们实际实现了什么</w:t>
      </w:r>
    </w:p>
    <w:p>
      <w:pPr>
        <w:pStyle w:val="ListBullet"/>
        <w:spacing w:after="40"/>
      </w:pPr>
      <w:r>
        <w:t>五、核心统计模型</w:t>
      </w:r>
    </w:p>
    <w:p>
      <w:pPr>
        <w:pStyle w:val="ListBullet"/>
        <w:spacing w:after="40"/>
      </w:pPr>
      <w:r>
        <w:t>六、模拟验证设计与结果</w:t>
      </w:r>
    </w:p>
    <w:p>
      <w:pPr>
        <w:pStyle w:val="ListBullet"/>
        <w:spacing w:after="40"/>
      </w:pPr>
      <w:r>
        <w:t>七、Arabidopsis真实数据案例</w:t>
      </w:r>
    </w:p>
    <w:p>
      <w:pPr>
        <w:pStyle w:val="ListBullet"/>
        <w:spacing w:after="40"/>
      </w:pPr>
      <w:r>
        <w:t>八、软件结构、输入输出与复现</w:t>
      </w:r>
    </w:p>
    <w:p>
      <w:pPr>
        <w:pStyle w:val="ListBullet"/>
        <w:spacing w:after="40"/>
      </w:pPr>
      <w:r>
        <w:t>九、当前不能声称的内容</w:t>
      </w:r>
    </w:p>
    <w:p>
      <w:pPr>
        <w:pStyle w:val="ListBullet"/>
        <w:spacing w:after="40"/>
      </w:pPr>
      <w:r>
        <w:t>十、投稿期刊建议</w:t>
      </w:r>
    </w:p>
    <w:p>
      <w:pPr>
        <w:pStyle w:val="ListBullet"/>
        <w:spacing w:after="40"/>
      </w:pPr>
      <w:r>
        <w:t>十一、下一步投稿前Gate</w:t>
      </w:r>
    </w:p>
    <w:p>
      <w:pPr>
        <w:pStyle w:val="ListBullet"/>
        <w:spacing w:after="40"/>
      </w:pPr>
      <w:r>
        <w:t>十二、参考资料与项目文件</w:t>
      </w:r>
    </w:p>
    <w:p>
      <w:r>
        <w:br w:type="page"/>
      </w:r>
    </w:p>
    <w:p>
      <w:pPr>
        <w:pStyle w:val="Heading1"/>
      </w:pPr>
      <w:r>
        <w:t>一、当前结论和研究定位</w:t>
      </w:r>
    </w:p>
    <w:p>
      <w:pPr>
        <w:spacing w:line="276" w:lineRule="auto" w:after="120"/>
      </w:pPr>
      <w:r>
        <w:t>当前研究已经从“植物MR软件原型”推进到“可进行编辑预询和方法学预审的软件/方法论文包”。软件、模拟、真实植物数据案例、论文初稿、审稿风险表和投稿清单均已生成并通过本机验证。</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17365D"/>
          </w:tcPr>
          <w:p>
            <w:pPr>
              <w:spacing w:after="0"/>
            </w:pPr>
            <w:r/>
            <w:r>
              <w:rPr>
                <w:b/>
                <w:color w:val="FFFFFF"/>
                <w:sz w:val="17"/>
              </w:rPr>
              <w:t>项目项</w:t>
            </w:r>
          </w:p>
        </w:tc>
        <w:tc>
          <w:tcPr>
            <w:tcW w:type="dxa" w:w="2154"/>
            <w:vAlign w:val="center"/>
            <w:shd w:fill="17365D"/>
          </w:tcPr>
          <w:p>
            <w:pPr>
              <w:spacing w:after="0"/>
            </w:pPr>
            <w:r/>
            <w:r>
              <w:rPr>
                <w:b/>
                <w:color w:val="FFFFFF"/>
                <w:sz w:val="17"/>
              </w:rPr>
              <w:t>当前状态</w:t>
            </w:r>
          </w:p>
        </w:tc>
        <w:tc>
          <w:tcPr>
            <w:tcW w:type="dxa" w:w="5102"/>
            <w:vAlign w:val="center"/>
            <w:shd w:fill="17365D"/>
          </w:tcPr>
          <w:p>
            <w:pPr>
              <w:spacing w:after="0"/>
            </w:pPr>
            <w:r/>
            <w:r>
              <w:rPr>
                <w:b/>
                <w:color w:val="FFFFFF"/>
                <w:sz w:val="17"/>
              </w:rPr>
              <w:t>说明</w:t>
            </w:r>
          </w:p>
        </w:tc>
      </w:tr>
      <w:tr>
        <w:tc>
          <w:tcPr>
            <w:tcW w:type="dxa" w:w="1701"/>
            <w:vAlign w:val="center"/>
          </w:tcPr>
          <w:p>
            <w:pPr>
              <w:spacing w:after="0"/>
            </w:pPr>
            <w:r/>
            <w:r>
              <w:rPr>
                <w:b w:val="0"/>
                <w:sz w:val="17"/>
              </w:rPr>
              <w:t>软件版本</w:t>
            </w:r>
          </w:p>
        </w:tc>
        <w:tc>
          <w:tcPr>
            <w:tcW w:type="dxa" w:w="2154"/>
            <w:vAlign w:val="center"/>
          </w:tcPr>
          <w:p>
            <w:pPr>
              <w:spacing w:after="0"/>
            </w:pPr>
            <w:r/>
            <w:r>
              <w:rPr>
                <w:b w:val="0"/>
                <w:sz w:val="17"/>
              </w:rPr>
              <w:t>v1.1.0</w:t>
            </w:r>
          </w:p>
        </w:tc>
        <w:tc>
          <w:tcPr>
            <w:tcW w:type="dxa" w:w="5102"/>
            <w:vAlign w:val="center"/>
          </w:tcPr>
          <w:p>
            <w:pPr>
              <w:spacing w:after="0"/>
            </w:pPr>
            <w:r/>
            <w:r>
              <w:rPr>
                <w:b w:val="0"/>
                <w:sz w:val="17"/>
              </w:rPr>
              <w:t>Python CLI与库；MIT许可证</w:t>
            </w:r>
          </w:p>
        </w:tc>
      </w:tr>
      <w:tr>
        <w:tc>
          <w:tcPr>
            <w:tcW w:type="dxa" w:w="1701"/>
            <w:vAlign w:val="center"/>
            <w:shd w:fill="F7FAFB"/>
          </w:tcPr>
          <w:p>
            <w:pPr>
              <w:spacing w:after="0"/>
            </w:pPr>
            <w:r/>
            <w:r>
              <w:rPr>
                <w:b w:val="0"/>
                <w:sz w:val="17"/>
              </w:rPr>
              <w:t>论文包</w:t>
            </w:r>
          </w:p>
        </w:tc>
        <w:tc>
          <w:tcPr>
            <w:tcW w:type="dxa" w:w="2154"/>
            <w:vAlign w:val="center"/>
            <w:shd w:fill="F7FAFB"/>
          </w:tcPr>
          <w:p>
            <w:pPr>
              <w:spacing w:after="0"/>
            </w:pPr>
            <w:r/>
            <w:r>
              <w:rPr>
                <w:b w:val="0"/>
                <w:sz w:val="17"/>
              </w:rPr>
              <w:t>v1.1.0-paper</w:t>
            </w:r>
          </w:p>
        </w:tc>
        <w:tc>
          <w:tcPr>
            <w:tcW w:type="dxa" w:w="5102"/>
            <w:vAlign w:val="center"/>
            <w:shd w:fill="F7FAFB"/>
          </w:tcPr>
          <w:p>
            <w:pPr>
              <w:spacing w:after="0"/>
            </w:pPr>
            <w:r/>
            <w:r>
              <w:rPr>
                <w:b w:val="0"/>
                <w:sz w:val="17"/>
              </w:rPr>
              <w:t>包含论文、模拟、真实案例、图、表和投稿清单</w:t>
            </w:r>
          </w:p>
        </w:tc>
      </w:tr>
      <w:tr>
        <w:tc>
          <w:tcPr>
            <w:tcW w:type="dxa" w:w="1701"/>
            <w:vAlign w:val="center"/>
          </w:tcPr>
          <w:p>
            <w:pPr>
              <w:spacing w:after="0"/>
            </w:pPr>
            <w:r/>
            <w:r>
              <w:rPr>
                <w:b w:val="0"/>
                <w:sz w:val="17"/>
              </w:rPr>
              <w:t>自动化测试</w:t>
            </w:r>
          </w:p>
        </w:tc>
        <w:tc>
          <w:tcPr>
            <w:tcW w:type="dxa" w:w="2154"/>
            <w:vAlign w:val="center"/>
          </w:tcPr>
          <w:p>
            <w:pPr>
              <w:spacing w:after="0"/>
            </w:pPr>
            <w:r/>
            <w:r>
              <w:rPr>
                <w:b w:val="0"/>
                <w:sz w:val="17"/>
              </w:rPr>
              <w:t>23个通过</w:t>
            </w:r>
          </w:p>
        </w:tc>
        <w:tc>
          <w:tcPr>
            <w:tcW w:type="dxa" w:w="5102"/>
            <w:vAlign w:val="center"/>
          </w:tcPr>
          <w:p>
            <w:pPr>
              <w:spacing w:after="0"/>
            </w:pPr>
            <w:r/>
            <w:r>
              <w:rPr>
                <w:b w:val="0"/>
                <w:sz w:val="17"/>
              </w:rPr>
              <w:t>包括GxE完整网格和奇异LD自由度测试</w:t>
            </w:r>
          </w:p>
        </w:tc>
      </w:tr>
      <w:tr>
        <w:tc>
          <w:tcPr>
            <w:tcW w:type="dxa" w:w="1701"/>
            <w:vAlign w:val="center"/>
            <w:shd w:fill="F7FAFB"/>
          </w:tcPr>
          <w:p>
            <w:pPr>
              <w:spacing w:after="0"/>
            </w:pPr>
            <w:r/>
            <w:r>
              <w:rPr>
                <w:b w:val="0"/>
                <w:sz w:val="17"/>
              </w:rPr>
              <w:t>主要方法</w:t>
            </w:r>
          </w:p>
        </w:tc>
        <w:tc>
          <w:tcPr>
            <w:tcW w:type="dxa" w:w="2154"/>
            <w:vAlign w:val="center"/>
            <w:shd w:fill="F7FAFB"/>
          </w:tcPr>
          <w:p>
            <w:pPr>
              <w:spacing w:after="0"/>
            </w:pPr>
            <w:r/>
            <w:r>
              <w:rPr>
                <w:b w:val="0"/>
                <w:sz w:val="17"/>
              </w:rPr>
              <w:t>环境效应异质性GLS</w:t>
            </w:r>
          </w:p>
        </w:tc>
        <w:tc>
          <w:tcPr>
            <w:tcW w:type="dxa" w:w="5102"/>
            <w:vAlign w:val="center"/>
            <w:shd w:fill="F7FAFB"/>
          </w:tcPr>
          <w:p>
            <w:pPr>
              <w:spacing w:after="0"/>
            </w:pPr>
            <w:r/>
            <w:r>
              <w:rPr>
                <w:b w:val="0"/>
                <w:sz w:val="17"/>
              </w:rPr>
              <w:t>不是MR-GxE多效性校正的替代品</w:t>
            </w:r>
          </w:p>
        </w:tc>
      </w:tr>
      <w:tr>
        <w:tc>
          <w:tcPr>
            <w:tcW w:type="dxa" w:w="1701"/>
            <w:vAlign w:val="center"/>
          </w:tcPr>
          <w:p>
            <w:pPr>
              <w:spacing w:after="0"/>
            </w:pPr>
            <w:r/>
            <w:r>
              <w:rPr>
                <w:b w:val="0"/>
                <w:sz w:val="17"/>
              </w:rPr>
              <w:t>真实案例</w:t>
            </w:r>
          </w:p>
        </w:tc>
        <w:tc>
          <w:tcPr>
            <w:tcW w:type="dxa" w:w="2154"/>
            <w:vAlign w:val="center"/>
          </w:tcPr>
          <w:p>
            <w:pPr>
              <w:spacing w:after="0"/>
            </w:pPr>
            <w:r/>
            <w:r>
              <w:rPr>
                <w:b w:val="0"/>
                <w:sz w:val="17"/>
              </w:rPr>
              <w:t>Arabidopsis AT1G11560</w:t>
            </w:r>
          </w:p>
        </w:tc>
        <w:tc>
          <w:tcPr>
            <w:tcW w:type="dxa" w:w="5102"/>
            <w:vAlign w:val="center"/>
          </w:tcPr>
          <w:p>
            <w:pPr>
              <w:spacing w:after="0"/>
            </w:pPr>
            <w:r/>
            <w:r>
              <w:rPr>
                <w:b w:val="0"/>
                <w:sz w:val="17"/>
              </w:rPr>
              <w:t>数据契约和审计案例，不是独立因果验证</w:t>
            </w:r>
          </w:p>
        </w:tc>
      </w:tr>
      <w:tr>
        <w:tc>
          <w:tcPr>
            <w:tcW w:type="dxa" w:w="1701"/>
            <w:vAlign w:val="center"/>
            <w:shd w:fill="F7FAFB"/>
          </w:tcPr>
          <w:p>
            <w:pPr>
              <w:spacing w:after="0"/>
            </w:pPr>
            <w:r/>
            <w:r>
              <w:rPr>
                <w:b w:val="0"/>
                <w:sz w:val="17"/>
              </w:rPr>
              <w:t>当前首选期刊</w:t>
            </w:r>
          </w:p>
        </w:tc>
        <w:tc>
          <w:tcPr>
            <w:tcW w:type="dxa" w:w="2154"/>
            <w:vAlign w:val="center"/>
            <w:shd w:fill="F7FAFB"/>
          </w:tcPr>
          <w:p>
            <w:pPr>
              <w:spacing w:after="0"/>
            </w:pPr>
            <w:r/>
            <w:r>
              <w:rPr>
                <w:b w:val="0"/>
                <w:sz w:val="17"/>
              </w:rPr>
              <w:t>Plant Methods</w:t>
            </w:r>
          </w:p>
        </w:tc>
        <w:tc>
          <w:tcPr>
            <w:tcW w:type="dxa" w:w="5102"/>
            <w:vAlign w:val="center"/>
            <w:shd w:fill="F7FAFB"/>
          </w:tcPr>
          <w:p>
            <w:pPr>
              <w:spacing w:after="0"/>
            </w:pPr>
            <w:r/>
            <w:r>
              <w:rPr>
                <w:b w:val="0"/>
                <w:sz w:val="17"/>
              </w:rPr>
              <w:t>最符合软件/植物方法论文定位</w:t>
            </w:r>
          </w:p>
        </w:tc>
      </w:tr>
    </w:tbl>
    <w:p>
      <w:pPr>
        <w:spacing w:after="0"/>
      </w:pPr>
    </w:p>
    <w:tbl>
      <w:tblPr>
        <w:tblW w:type="auto" w:w="0"/>
        <w:jc w:val="center"/>
        <w:tblLook w:firstColumn="1" w:firstRow="1" w:lastColumn="0" w:lastRow="0" w:noHBand="0" w:noVBand="1" w:val="04A0"/>
      </w:tblPr>
      <w:tblGrid>
        <w:gridCol w:w="9858"/>
      </w:tblGrid>
      <w:tr>
        <w:tc>
          <w:tcPr>
            <w:tcW w:type="dxa" w:w="9858"/>
            <w:shd w:fill="FFF2CC"/>
            <w:tcBorders>
              <w:top w:val="single" w:sz="8" w:color="0F6B78"/>
              <w:left w:val="single" w:sz="8" w:color="0F6B78"/>
              <w:bottom w:val="single" w:sz="8" w:color="0F6B78"/>
              <w:right w:val="single" w:sz="8" w:color="0F6B78"/>
            </w:tcBorders>
          </w:tcPr>
          <w:p>
            <w:r/>
            <w:r>
              <w:rPr>
                <w:b/>
                <w:color w:val="0F6B78"/>
                <w:sz w:val="20"/>
              </w:rPr>
              <w:t>最重要的边界</w:t>
              <w:br/>
            </w:r>
            <w:r>
              <w:rPr>
                <w:sz w:val="19"/>
              </w:rPr>
              <w:t>当前稿件适合投软件/方法方向，不适合包装成“发现AT1G11560因果作用”的生物学应用论文。Arabidopsis案例用于证明软件能够处理真实植物数据、LD和环境分层，不作为独立验证。</w:t>
            </w:r>
          </w:p>
        </w:tc>
      </w:tr>
    </w:tbl>
    <w:p>
      <w:pPr>
        <w:spacing w:after="0"/>
      </w:pPr>
    </w:p>
    <w:p>
      <w:pPr>
        <w:pStyle w:val="Heading1"/>
      </w:pPr>
      <w:r>
        <w:t>二、为什么要做植物版MR</w:t>
      </w:r>
    </w:p>
    <w:p>
      <w:pPr>
        <w:spacing w:line="276" w:lineRule="auto" w:after="120"/>
      </w:pPr>
      <w:r>
        <w:t>孟德尔随机化（Mendelian randomization，MR）利用遗传变异作为工具变量，估计遗传预测的分子暴露对表型结局的影响。人类MR的常规流程通常默认研究群体、参考基因组、LD面板、样本重叠和暴露定义比较标准化；植物数据往往不是这样。</w:t>
      </w:r>
    </w:p>
    <w:p>
      <w:pPr>
        <w:pStyle w:val="ListBullet"/>
        <w:spacing w:after="40"/>
      </w:pPr>
      <w:r>
        <w:t>植物自然群体常有明显地理结构、育种历史和亲缘关系，遗传关联容易混入群体结构。</w:t>
      </w:r>
    </w:p>
    <w:p>
      <w:pPr>
        <w:pStyle w:val="ListBullet"/>
        <w:spacing w:after="40"/>
      </w:pPr>
      <w:r>
        <w:t>不同植物群体的LD衰减速度差异较大，局部eQTL常包含高度相关的SNP，不能把每个SNP当作独立工具。</w:t>
      </w:r>
    </w:p>
    <w:p>
      <w:pPr>
        <w:pStyle w:val="ListBullet"/>
        <w:spacing w:after="40"/>
      </w:pPr>
      <w:r>
        <w:t>表达数据高度依赖组织、发育阶段、处理条件和环境，WW/DS、10°C/16°C等条件不能简单合并。</w:t>
      </w:r>
    </w:p>
    <w:p>
      <w:pPr>
        <w:pStyle w:val="ListBullet"/>
        <w:spacing w:after="40"/>
      </w:pPr>
      <w:r>
        <w:t>植物还可能有多倍体剂量、PAV、SV、同源亚基因组和泛基因组坐标问题，不能静默按普通二等位SNP处理。</w:t>
      </w:r>
    </w:p>
    <w:p>
      <w:pPr>
        <w:spacing w:line="276" w:lineRule="auto" w:after="120"/>
      </w:pPr>
      <w:r>
        <w:t>因此，植物MR软件的第一任务不是增加更多MR估计器，而是把输入数据的生物学语境和统计假设写进机器可检查的分析契约。</w:t>
      </w:r>
    </w:p>
    <w:p>
      <w:pPr>
        <w:pStyle w:val="Heading1"/>
      </w:pPr>
      <w:r>
        <w:t>三、与已有方法和软件的关系</w:t>
      </w:r>
    </w:p>
    <w:p>
      <w:pPr>
        <w:spacing w:line="276" w:lineRule="auto" w:after="120"/>
      </w:pPr>
      <w:r>
        <w:t>我们专门查阅了植物MR、MR-GxE和异质GWAS/MR方法。结论是：环境交互MR并不是空白领域，不能把“植物版实现”写成理论首创。</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701"/>
            <w:vAlign w:val="center"/>
            <w:shd w:fill="17365D"/>
          </w:tcPr>
          <w:p>
            <w:pPr>
              <w:spacing w:after="0"/>
            </w:pPr>
            <w:r/>
            <w:r>
              <w:rPr>
                <w:b/>
                <w:color w:val="FFFFFF"/>
                <w:sz w:val="16"/>
              </w:rPr>
              <w:t>方法/软件</w:t>
            </w:r>
          </w:p>
        </w:tc>
        <w:tc>
          <w:tcPr>
            <w:tcW w:type="dxa" w:w="2835"/>
            <w:vAlign w:val="center"/>
            <w:shd w:fill="17365D"/>
          </w:tcPr>
          <w:p>
            <w:pPr>
              <w:spacing w:after="0"/>
            </w:pPr>
            <w:r/>
            <w:r>
              <w:rPr>
                <w:b/>
                <w:color w:val="FFFFFF"/>
                <w:sz w:val="16"/>
              </w:rPr>
              <w:t>主要目标</w:t>
            </w:r>
          </w:p>
        </w:tc>
        <w:tc>
          <w:tcPr>
            <w:tcW w:type="dxa" w:w="2835"/>
            <w:vAlign w:val="center"/>
            <w:shd w:fill="17365D"/>
          </w:tcPr>
          <w:p>
            <w:pPr>
              <w:spacing w:after="0"/>
            </w:pPr>
            <w:r/>
            <w:r>
              <w:rPr>
                <w:b/>
                <w:color w:val="FFFFFF"/>
                <w:sz w:val="16"/>
              </w:rPr>
              <w:t>与PlantMR的关系</w:t>
            </w:r>
          </w:p>
        </w:tc>
        <w:tc>
          <w:tcPr>
            <w:tcW w:type="dxa" w:w="1701"/>
            <w:vAlign w:val="center"/>
            <w:shd w:fill="17365D"/>
          </w:tcPr>
          <w:p>
            <w:pPr>
              <w:spacing w:after="0"/>
            </w:pPr>
            <w:r/>
            <w:r>
              <w:rPr>
                <w:b/>
                <w:color w:val="FFFFFF"/>
                <w:sz w:val="16"/>
              </w:rPr>
              <w:t>当前处理</w:t>
            </w:r>
          </w:p>
        </w:tc>
      </w:tr>
      <w:tr>
        <w:tc>
          <w:tcPr>
            <w:tcW w:type="dxa" w:w="1701"/>
            <w:vAlign w:val="center"/>
          </w:tcPr>
          <w:p>
            <w:pPr>
              <w:spacing w:after="0"/>
            </w:pPr>
            <w:r/>
            <w:r>
              <w:rPr>
                <w:b w:val="0"/>
                <w:sz w:val="16"/>
              </w:rPr>
              <w:t>MRBIGR</w:t>
            </w:r>
          </w:p>
        </w:tc>
        <w:tc>
          <w:tcPr>
            <w:tcW w:type="dxa" w:w="2835"/>
            <w:vAlign w:val="center"/>
          </w:tcPr>
          <w:p>
            <w:pPr>
              <w:spacing w:after="0"/>
            </w:pPr>
            <w:r/>
            <w:r>
              <w:rPr>
                <w:b w:val="0"/>
                <w:sz w:val="16"/>
              </w:rPr>
              <w:t>植物多组学、GWAS、MR、网络和富集分析工作流</w:t>
            </w:r>
          </w:p>
        </w:tc>
        <w:tc>
          <w:tcPr>
            <w:tcW w:type="dxa" w:w="2835"/>
            <w:vAlign w:val="center"/>
          </w:tcPr>
          <w:p>
            <w:pPr>
              <w:spacing w:after="0"/>
            </w:pPr>
            <w:r/>
            <w:r>
              <w:rPr>
                <w:b w:val="0"/>
                <w:sz w:val="16"/>
              </w:rPr>
              <w:t>植物软件方向的重要先例</w:t>
            </w:r>
          </w:p>
        </w:tc>
        <w:tc>
          <w:tcPr>
            <w:tcW w:type="dxa" w:w="1701"/>
            <w:vAlign w:val="center"/>
          </w:tcPr>
          <w:p>
            <w:pPr>
              <w:spacing w:after="0"/>
            </w:pPr>
            <w:r/>
            <w:r>
              <w:rPr>
                <w:b w:val="0"/>
                <w:sz w:val="16"/>
              </w:rPr>
              <w:t>作为植物软件比较对象</w:t>
            </w:r>
          </w:p>
        </w:tc>
      </w:tr>
      <w:tr>
        <w:tc>
          <w:tcPr>
            <w:tcW w:type="dxa" w:w="1701"/>
            <w:vAlign w:val="center"/>
            <w:shd w:fill="F7FAFB"/>
          </w:tcPr>
          <w:p>
            <w:pPr>
              <w:spacing w:after="0"/>
            </w:pPr>
            <w:r/>
            <w:r>
              <w:rPr>
                <w:b w:val="0"/>
                <w:sz w:val="16"/>
              </w:rPr>
              <w:t>原玉米干旱MR</w:t>
            </w:r>
          </w:p>
        </w:tc>
        <w:tc>
          <w:tcPr>
            <w:tcW w:type="dxa" w:w="2835"/>
            <w:vAlign w:val="center"/>
            <w:shd w:fill="F7FAFB"/>
          </w:tcPr>
          <w:p>
            <w:pPr>
              <w:spacing w:after="0"/>
            </w:pPr>
            <w:r/>
            <w:r>
              <w:rPr>
                <w:b w:val="0"/>
                <w:sz w:val="16"/>
              </w:rPr>
              <w:t>使用lead-eQTL和2SLS优先候选基因</w:t>
            </w:r>
          </w:p>
        </w:tc>
        <w:tc>
          <w:tcPr>
            <w:tcW w:type="dxa" w:w="2835"/>
            <w:vAlign w:val="center"/>
            <w:shd w:fill="F7FAFB"/>
          </w:tcPr>
          <w:p>
            <w:pPr>
              <w:spacing w:after="0"/>
            </w:pPr>
            <w:r/>
            <w:r>
              <w:rPr>
                <w:b w:val="0"/>
                <w:sz w:val="16"/>
              </w:rPr>
              <w:t>提供植物MR应用基线</w:t>
            </w:r>
          </w:p>
        </w:tc>
        <w:tc>
          <w:tcPr>
            <w:tcW w:type="dxa" w:w="1701"/>
            <w:vAlign w:val="center"/>
            <w:shd w:fill="F7FAFB"/>
          </w:tcPr>
          <w:p>
            <w:pPr>
              <w:spacing w:after="0"/>
            </w:pPr>
            <w:r/>
            <w:r>
              <w:rPr>
                <w:b w:val="0"/>
                <w:sz w:val="16"/>
              </w:rPr>
              <w:t>用于数据和方法审计</w:t>
            </w:r>
          </w:p>
        </w:tc>
      </w:tr>
      <w:tr>
        <w:tc>
          <w:tcPr>
            <w:tcW w:type="dxa" w:w="1701"/>
            <w:vAlign w:val="center"/>
          </w:tcPr>
          <w:p>
            <w:pPr>
              <w:spacing w:after="0"/>
            </w:pPr>
            <w:r/>
            <w:r>
              <w:rPr>
                <w:b w:val="0"/>
                <w:sz w:val="16"/>
              </w:rPr>
              <w:t>MR-GxE</w:t>
            </w:r>
          </w:p>
        </w:tc>
        <w:tc>
          <w:tcPr>
            <w:tcW w:type="dxa" w:w="2835"/>
            <w:vAlign w:val="center"/>
          </w:tcPr>
          <w:p>
            <w:pPr>
              <w:spacing w:after="0"/>
            </w:pPr>
            <w:r/>
            <w:r>
              <w:rPr>
                <w:b w:val="0"/>
                <w:sz w:val="16"/>
              </w:rPr>
              <w:t>利用基因×协变量交互识别/校正多效性</w:t>
            </w:r>
          </w:p>
        </w:tc>
        <w:tc>
          <w:tcPr>
            <w:tcW w:type="dxa" w:w="2835"/>
            <w:vAlign w:val="center"/>
          </w:tcPr>
          <w:p>
            <w:pPr>
              <w:spacing w:after="0"/>
            </w:pPr>
            <w:r/>
            <w:r>
              <w:rPr>
                <w:b w:val="0"/>
                <w:sz w:val="16"/>
              </w:rPr>
              <w:t>目标和截距解释不同</w:t>
            </w:r>
          </w:p>
        </w:tc>
        <w:tc>
          <w:tcPr>
            <w:tcW w:type="dxa" w:w="1701"/>
            <w:vAlign w:val="center"/>
          </w:tcPr>
          <w:p>
            <w:pPr>
              <w:spacing w:after="0"/>
            </w:pPr>
            <w:r/>
            <w:r>
              <w:rPr>
                <w:b w:val="0"/>
                <w:sz w:val="16"/>
              </w:rPr>
              <w:t>不静默替代</w:t>
            </w:r>
          </w:p>
        </w:tc>
      </w:tr>
      <w:tr>
        <w:tc>
          <w:tcPr>
            <w:tcW w:type="dxa" w:w="1701"/>
            <w:vAlign w:val="center"/>
            <w:shd w:fill="F7FAFB"/>
          </w:tcPr>
          <w:p>
            <w:pPr>
              <w:spacing w:after="0"/>
            </w:pPr>
            <w:r/>
            <w:r>
              <w:rPr>
                <w:b w:val="0"/>
                <w:sz w:val="16"/>
              </w:rPr>
              <w:t>MR-GENIUS</w:t>
            </w:r>
          </w:p>
        </w:tc>
        <w:tc>
          <w:tcPr>
            <w:tcW w:type="dxa" w:w="2835"/>
            <w:vAlign w:val="center"/>
            <w:shd w:fill="F7FAFB"/>
          </w:tcPr>
          <w:p>
            <w:pPr>
              <w:spacing w:after="0"/>
            </w:pPr>
            <w:r/>
            <w:r>
              <w:rPr>
                <w:b w:val="0"/>
                <w:sz w:val="16"/>
              </w:rPr>
              <w:t>不要求显式观测交互，但依赖全局假设</w:t>
            </w:r>
          </w:p>
        </w:tc>
        <w:tc>
          <w:tcPr>
            <w:tcW w:type="dxa" w:w="2835"/>
            <w:vAlign w:val="center"/>
            <w:shd w:fill="F7FAFB"/>
          </w:tcPr>
          <w:p>
            <w:pPr>
              <w:spacing w:after="0"/>
            </w:pPr>
            <w:r/>
            <w:r>
              <w:rPr>
                <w:b w:val="0"/>
                <w:sz w:val="16"/>
              </w:rPr>
              <w:t>统计识别假设不同</w:t>
            </w:r>
          </w:p>
        </w:tc>
        <w:tc>
          <w:tcPr>
            <w:tcW w:type="dxa" w:w="1701"/>
            <w:vAlign w:val="center"/>
            <w:shd w:fill="F7FAFB"/>
          </w:tcPr>
          <w:p>
            <w:pPr>
              <w:spacing w:after="0"/>
            </w:pPr>
            <w:r/>
            <w:r>
              <w:rPr>
                <w:b w:val="0"/>
                <w:sz w:val="16"/>
              </w:rPr>
              <w:t>未内置</w:t>
            </w:r>
          </w:p>
        </w:tc>
      </w:tr>
      <w:tr>
        <w:tc>
          <w:tcPr>
            <w:tcW w:type="dxa" w:w="1701"/>
            <w:vAlign w:val="center"/>
          </w:tcPr>
          <w:p>
            <w:pPr>
              <w:spacing w:after="0"/>
            </w:pPr>
            <w:r/>
            <w:r>
              <w:rPr>
                <w:b w:val="0"/>
                <w:sz w:val="16"/>
              </w:rPr>
              <w:t>MR-EILLS</w:t>
            </w:r>
          </w:p>
        </w:tc>
        <w:tc>
          <w:tcPr>
            <w:tcW w:type="dxa" w:w="2835"/>
            <w:vAlign w:val="center"/>
          </w:tcPr>
          <w:p>
            <w:pPr>
              <w:spacing w:after="0"/>
            </w:pPr>
            <w:r/>
            <w:r>
              <w:rPr>
                <w:b w:val="0"/>
                <w:sz w:val="16"/>
              </w:rPr>
              <w:t>跨异质GWAS数据估计不变因果效应</w:t>
            </w:r>
          </w:p>
        </w:tc>
        <w:tc>
          <w:tcPr>
            <w:tcW w:type="dxa" w:w="2835"/>
            <w:vAlign w:val="center"/>
          </w:tcPr>
          <w:p>
            <w:pPr>
              <w:spacing w:after="0"/>
            </w:pPr>
            <w:r/>
            <w:r>
              <w:rPr>
                <w:b w:val="0"/>
                <w:sz w:val="16"/>
              </w:rPr>
              <w:t>不是同一环境效应异质性估计量</w:t>
            </w:r>
          </w:p>
        </w:tc>
        <w:tc>
          <w:tcPr>
            <w:tcW w:type="dxa" w:w="1701"/>
            <w:vAlign w:val="center"/>
          </w:tcPr>
          <w:p>
            <w:pPr>
              <w:spacing w:after="0"/>
            </w:pPr>
            <w:r/>
            <w:r>
              <w:rPr>
                <w:b w:val="0"/>
                <w:sz w:val="16"/>
              </w:rPr>
              <w:t>列为后续比较器</w:t>
            </w:r>
          </w:p>
        </w:tc>
      </w:tr>
      <w:tr>
        <w:tc>
          <w:tcPr>
            <w:tcW w:type="dxa" w:w="1701"/>
            <w:vAlign w:val="center"/>
            <w:shd w:fill="F7FAFB"/>
          </w:tcPr>
          <w:p>
            <w:pPr>
              <w:spacing w:after="0"/>
            </w:pPr>
            <w:r/>
            <w:r>
              <w:rPr>
                <w:b w:val="0"/>
                <w:sz w:val="16"/>
              </w:rPr>
              <w:t>PlantMR环境斜率</w:t>
            </w:r>
          </w:p>
        </w:tc>
        <w:tc>
          <w:tcPr>
            <w:tcW w:type="dxa" w:w="2835"/>
            <w:vAlign w:val="center"/>
            <w:shd w:fill="F7FAFB"/>
          </w:tcPr>
          <w:p>
            <w:pPr>
              <w:spacing w:after="0"/>
            </w:pPr>
            <w:r/>
            <w:r>
              <w:rPr>
                <w:b w:val="0"/>
                <w:sz w:val="16"/>
              </w:rPr>
              <w:t>估计MR效应随预设环境分数变化的斜率</w:t>
            </w:r>
          </w:p>
        </w:tc>
        <w:tc>
          <w:tcPr>
            <w:tcW w:type="dxa" w:w="2835"/>
            <w:vAlign w:val="center"/>
            <w:shd w:fill="F7FAFB"/>
          </w:tcPr>
          <w:p>
            <w:pPr>
              <w:spacing w:after="0"/>
            </w:pPr>
            <w:r/>
            <w:r>
              <w:rPr>
                <w:b w:val="0"/>
                <w:sz w:val="16"/>
              </w:rPr>
              <w:t>本文的核心实现</w:t>
            </w:r>
          </w:p>
        </w:tc>
        <w:tc>
          <w:tcPr>
            <w:tcW w:type="dxa" w:w="1701"/>
            <w:vAlign w:val="center"/>
            <w:shd w:fill="F7FAFB"/>
          </w:tcPr>
          <w:p>
            <w:pPr>
              <w:spacing w:after="0"/>
            </w:pPr>
            <w:r/>
            <w:r>
              <w:rPr>
                <w:b w:val="0"/>
                <w:sz w:val="16"/>
              </w:rPr>
              <w:t>已实现并验证</w:t>
            </w:r>
          </w:p>
        </w:tc>
      </w:tr>
    </w:tbl>
    <w:p>
      <w:pPr>
        <w:spacing w:after="0"/>
      </w:pPr>
    </w:p>
    <w:tbl>
      <w:tblPr>
        <w:tblW w:type="auto" w:w="0"/>
        <w:jc w:val="center"/>
        <w:tblLook w:firstColumn="1" w:firstRow="1" w:lastColumn="0" w:lastRow="0" w:noHBand="0" w:noVBand="1" w:val="04A0"/>
      </w:tblPr>
      <w:tblGrid>
        <w:gridCol w:w="9858"/>
      </w:tblGrid>
      <w:tr>
        <w:tc>
          <w:tcPr>
            <w:tcW w:type="dxa" w:w="9858"/>
            <w:shd w:fill="E8F2F7"/>
            <w:tcBorders>
              <w:top w:val="single" w:sz="8" w:color="0F6B78"/>
              <w:left w:val="single" w:sz="8" w:color="0F6B78"/>
              <w:bottom w:val="single" w:sz="8" w:color="0F6B78"/>
              <w:right w:val="single" w:sz="8" w:color="0F6B78"/>
            </w:tcBorders>
          </w:tcPr>
          <w:p>
            <w:r/>
            <w:r>
              <w:rPr>
                <w:b/>
                <w:color w:val="0F6B78"/>
                <w:sz w:val="20"/>
              </w:rPr>
              <w:t>定位变化</w:t>
              <w:br/>
            </w:r>
            <w:r>
              <w:rPr>
                <w:sz w:val="19"/>
              </w:rPr>
              <w:t>PlantMR的可发表贡献不是“提出环境交互MR”，而是把植物数据契约、环境/LD协方差、完整SNP×环境网格和可复现审计组合成一个能实际运行的植物MR工具。</w:t>
            </w:r>
          </w:p>
        </w:tc>
      </w:tr>
    </w:tbl>
    <w:p>
      <w:pPr>
        <w:spacing w:after="0"/>
      </w:pPr>
    </w:p>
    <w:p>
      <w:pPr>
        <w:pStyle w:val="Heading1"/>
      </w:pPr>
      <w:r>
        <w:t>四、我们实际实现了什么</w:t>
      </w:r>
    </w:p>
    <w:p>
      <w:pPr>
        <w:pStyle w:val="Heading2"/>
      </w:pPr>
      <w:r>
        <w:t>4.1 普通摘要统计MR</w:t>
      </w:r>
    </w:p>
    <w:p>
      <w:pPr>
        <w:pStyle w:val="ListBullet"/>
        <w:spacing w:after="40"/>
      </w:pPr>
      <w:r>
        <w:t>输入暴露和结局摘要统计，要求SNP、效应等位基因、另一等位基因、beta、SE和P值。</w:t>
      </w:r>
    </w:p>
    <w:p>
      <w:pPr>
        <w:pStyle w:val="ListBullet"/>
        <w:spacing w:after="40"/>
      </w:pPr>
      <w:r>
        <w:t>进行等位基因协调，包括反向等位基因、互补链和回文位点处理。</w:t>
      </w:r>
    </w:p>
    <w:p>
      <w:pPr>
        <w:pStyle w:val="ListBullet"/>
        <w:spacing w:after="40"/>
      </w:pPr>
      <w:r>
        <w:t>根据暴露P值、MAF和F统计量筛选工具变量。</w:t>
      </w:r>
    </w:p>
    <w:p>
      <w:pPr>
        <w:pStyle w:val="ListBullet"/>
        <w:spacing w:after="40"/>
      </w:pPr>
      <w:r>
        <w:t>支持Wald ratio、固定效应IVW、随机效应IVW、MR-Egger、Cochran异质性和逐工具变量留一分析。</w:t>
      </w:r>
    </w:p>
    <w:p>
      <w:pPr>
        <w:pStyle w:val="ListBullet"/>
        <w:spacing w:after="40"/>
      </w:pPr>
      <w:r>
        <w:t>可输入带符号LD相关矩阵进行LD clumping，并在缺失LD信息时显式警告。</w:t>
      </w:r>
    </w:p>
    <w:p>
      <w:pPr>
        <w:pStyle w:val="Heading2"/>
      </w:pPr>
      <w:r>
        <w:t>4.2 环境分层分析</w:t>
      </w:r>
    </w:p>
    <w:p>
      <w:pPr>
        <w:spacing w:line="276" w:lineRule="auto" w:after="120"/>
      </w:pPr>
      <w:r>
        <w:t>`run-stratified`在每个环境中独立运行MR，输出每个环境的固定/随机IVW和MR-Egger结果。它只是条件性分层，不等于正式环境效应异质性模型。</w:t>
      </w:r>
    </w:p>
    <w:p>
      <w:pPr>
        <w:pStyle w:val="Heading2"/>
      </w:pPr>
      <w:r>
        <w:t>4.3 环境效应异质性模型</w:t>
      </w:r>
    </w:p>
    <w:p>
      <w:pPr>
        <w:spacing w:line="276" w:lineRule="auto" w:after="120"/>
      </w:pPr>
      <w:r>
        <w:t>`run-gxe`要求每个SNP在所有环境中都有记录，并只保留在所有环境均通过P值、F统计量和MAF筛选的SNP。它对每个SNP×环境单元计算比值估计，再用两参数GLS估计总体效应和环境斜率。</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7365D"/>
          </w:tcPr>
          <w:p>
            <w:pPr>
              <w:spacing w:after="0"/>
            </w:pPr>
            <w:r/>
            <w:r>
              <w:rPr>
                <w:b/>
                <w:color w:val="FFFFFF"/>
                <w:sz w:val="17"/>
              </w:rPr>
              <w:t>输出量</w:t>
            </w:r>
          </w:p>
        </w:tc>
        <w:tc>
          <w:tcPr>
            <w:tcW w:type="dxa" w:w="3969"/>
            <w:vAlign w:val="center"/>
            <w:shd w:fill="17365D"/>
          </w:tcPr>
          <w:p>
            <w:pPr>
              <w:spacing w:after="0"/>
            </w:pPr>
            <w:r/>
            <w:r>
              <w:rPr>
                <w:b/>
                <w:color w:val="FFFFFF"/>
                <w:sz w:val="17"/>
              </w:rPr>
              <w:t>含义</w:t>
            </w:r>
          </w:p>
        </w:tc>
        <w:tc>
          <w:tcPr>
            <w:tcW w:type="dxa" w:w="2835"/>
            <w:vAlign w:val="center"/>
            <w:shd w:fill="17365D"/>
          </w:tcPr>
          <w:p>
            <w:pPr>
              <w:spacing w:after="0"/>
            </w:pPr>
            <w:r/>
            <w:r>
              <w:rPr>
                <w:b/>
                <w:color w:val="FFFFFF"/>
                <w:sz w:val="17"/>
              </w:rPr>
              <w:t>不能解释成</w:t>
            </w:r>
          </w:p>
        </w:tc>
      </w:tr>
      <w:tr>
        <w:tc>
          <w:tcPr>
            <w:tcW w:type="dxa" w:w="2268"/>
            <w:vAlign w:val="center"/>
          </w:tcPr>
          <w:p>
            <w:pPr>
              <w:spacing w:after="0"/>
            </w:pPr>
            <w:r/>
            <w:r>
              <w:rPr>
                <w:b w:val="0"/>
                <w:sz w:val="17"/>
              </w:rPr>
              <w:t>theta_0 / intercept</w:t>
            </w:r>
          </w:p>
        </w:tc>
        <w:tc>
          <w:tcPr>
            <w:tcW w:type="dxa" w:w="3969"/>
            <w:vAlign w:val="center"/>
          </w:tcPr>
          <w:p>
            <w:pPr>
              <w:spacing w:after="0"/>
            </w:pPr>
            <w:r/>
            <w:r>
              <w:rPr>
                <w:b w:val="0"/>
                <w:sz w:val="17"/>
              </w:rPr>
              <w:t>环境分数z=0时的遗传预测暴露效应</w:t>
            </w:r>
          </w:p>
        </w:tc>
        <w:tc>
          <w:tcPr>
            <w:tcW w:type="dxa" w:w="2835"/>
            <w:vAlign w:val="center"/>
          </w:tcPr>
          <w:p>
            <w:pPr>
              <w:spacing w:after="0"/>
            </w:pPr>
            <w:r/>
            <w:r>
              <w:rPr>
                <w:b w:val="0"/>
                <w:sz w:val="17"/>
              </w:rPr>
              <w:t>MR-GxE多效性截距</w:t>
            </w:r>
          </w:p>
        </w:tc>
      </w:tr>
      <w:tr>
        <w:tc>
          <w:tcPr>
            <w:tcW w:type="dxa" w:w="2268"/>
            <w:vAlign w:val="center"/>
            <w:shd w:fill="F7FAFB"/>
          </w:tcPr>
          <w:p>
            <w:pPr>
              <w:spacing w:after="0"/>
            </w:pPr>
            <w:r/>
            <w:r>
              <w:rPr>
                <w:b w:val="0"/>
                <w:sz w:val="17"/>
              </w:rPr>
              <w:t>theta_1 / slope</w:t>
            </w:r>
          </w:p>
        </w:tc>
        <w:tc>
          <w:tcPr>
            <w:tcW w:type="dxa" w:w="3969"/>
            <w:vAlign w:val="center"/>
            <w:shd w:fill="F7FAFB"/>
          </w:tcPr>
          <w:p>
            <w:pPr>
              <w:spacing w:after="0"/>
            </w:pPr>
            <w:r/>
            <w:r>
              <w:rPr>
                <w:b w:val="0"/>
                <w:sz w:val="17"/>
              </w:rPr>
              <w:t>环境分数每增加一个单位时，MR效应的变化</w:t>
            </w:r>
          </w:p>
        </w:tc>
        <w:tc>
          <w:tcPr>
            <w:tcW w:type="dxa" w:w="2835"/>
            <w:vAlign w:val="center"/>
            <w:shd w:fill="F7FAFB"/>
          </w:tcPr>
          <w:p>
            <w:pPr>
              <w:spacing w:after="0"/>
            </w:pPr>
            <w:r/>
            <w:r>
              <w:rPr>
                <w:b w:val="0"/>
                <w:sz w:val="17"/>
              </w:rPr>
              <w:t>环境处理本身的因果效应</w:t>
            </w:r>
          </w:p>
        </w:tc>
      </w:tr>
      <w:tr>
        <w:tc>
          <w:tcPr>
            <w:tcW w:type="dxa" w:w="2268"/>
            <w:vAlign w:val="center"/>
          </w:tcPr>
          <w:p>
            <w:pPr>
              <w:spacing w:after="0"/>
            </w:pPr>
            <w:r/>
            <w:r>
              <w:rPr>
                <w:b w:val="0"/>
                <w:sz w:val="17"/>
              </w:rPr>
              <w:t>Q和Q P值</w:t>
            </w:r>
          </w:p>
        </w:tc>
        <w:tc>
          <w:tcPr>
            <w:tcW w:type="dxa" w:w="3969"/>
            <w:vAlign w:val="center"/>
          </w:tcPr>
          <w:p>
            <w:pPr>
              <w:spacing w:after="0"/>
            </w:pPr>
            <w:r/>
            <w:r>
              <w:rPr>
                <w:b w:val="0"/>
                <w:sz w:val="17"/>
              </w:rPr>
              <w:t>模型残差异质性诊断</w:t>
            </w:r>
          </w:p>
        </w:tc>
        <w:tc>
          <w:tcPr>
            <w:tcW w:type="dxa" w:w="2835"/>
            <w:vAlign w:val="center"/>
          </w:tcPr>
          <w:p>
            <w:pPr>
              <w:spacing w:after="0"/>
            </w:pPr>
            <w:r/>
            <w:r>
              <w:rPr>
                <w:b w:val="0"/>
                <w:sz w:val="17"/>
              </w:rPr>
              <w:t>因果关系已被证实</w:t>
            </w:r>
          </w:p>
        </w:tc>
      </w:tr>
      <w:tr>
        <w:tc>
          <w:tcPr>
            <w:tcW w:type="dxa" w:w="2268"/>
            <w:vAlign w:val="center"/>
            <w:shd w:fill="F7FAFB"/>
          </w:tcPr>
          <w:p>
            <w:pPr>
              <w:spacing w:after="0"/>
            </w:pPr>
            <w:r/>
            <w:r>
              <w:rPr>
                <w:b w:val="0"/>
                <w:sz w:val="17"/>
              </w:rPr>
              <w:t>covariance_rank</w:t>
            </w:r>
          </w:p>
        </w:tc>
        <w:tc>
          <w:tcPr>
            <w:tcW w:type="dxa" w:w="3969"/>
            <w:vAlign w:val="center"/>
            <w:shd w:fill="F7FAFB"/>
          </w:tcPr>
          <w:p>
            <w:pPr>
              <w:spacing w:after="0"/>
            </w:pPr>
            <w:r/>
            <w:r>
              <w:rPr>
                <w:b w:val="0"/>
                <w:sz w:val="17"/>
              </w:rPr>
              <w:t>LD/环境协方差矩阵的数值秩</w:t>
            </w:r>
          </w:p>
        </w:tc>
        <w:tc>
          <w:tcPr>
            <w:tcW w:type="dxa" w:w="2835"/>
            <w:vAlign w:val="center"/>
            <w:shd w:fill="F7FAFB"/>
          </w:tcPr>
          <w:p>
            <w:pPr>
              <w:spacing w:after="0"/>
            </w:pPr>
            <w:r/>
            <w:r>
              <w:rPr>
                <w:b w:val="0"/>
                <w:sz w:val="17"/>
              </w:rPr>
              <w:t>工具变量有效性证明</w:t>
            </w:r>
          </w:p>
        </w:tc>
      </w:tr>
    </w:tbl>
    <w:p>
      <w:pPr>
        <w:spacing w:after="0"/>
      </w:pPr>
    </w:p>
    <w:p>
      <w:pPr>
        <w:pStyle w:val="Heading1"/>
      </w:pPr>
      <w:r>
        <w:t>五、核心统计模型</w:t>
      </w:r>
    </w:p>
    <w:p>
      <w:pPr>
        <w:spacing w:line="276" w:lineRule="auto" w:after="120"/>
      </w:pPr>
      <w:r>
        <w:t>对第j个SNP和第k个环境，先计算比值估计：</w:t>
      </w:r>
    </w:p>
    <w:tbl>
      <w:tblPr>
        <w:tblW w:type="auto" w:w="0"/>
        <w:jc w:val="center"/>
        <w:tblLook w:firstColumn="1" w:firstRow="1" w:lastColumn="0" w:lastRow="0" w:noHBand="0" w:noVBand="1" w:val="04A0"/>
      </w:tblPr>
      <w:tblGrid>
        <w:gridCol w:w="9858"/>
      </w:tblGrid>
      <w:tr>
        <w:tc>
          <w:tcPr>
            <w:tcW w:type="dxa" w:w="9858"/>
            <w:shd w:fill="F2F2F2"/>
            <w:tcBorders>
              <w:top w:val="single" w:sz="8" w:color="0F6B78"/>
              <w:left w:val="single" w:sz="8" w:color="0F6B78"/>
              <w:bottom w:val="single" w:sz="8" w:color="0F6B78"/>
              <w:right w:val="single" w:sz="8" w:color="0F6B78"/>
            </w:tcBorders>
          </w:tcPr>
          <w:p>
            <w:r/>
            <w:r>
              <w:rPr>
                <w:b/>
                <w:color w:val="0F6B78"/>
                <w:sz w:val="20"/>
              </w:rPr>
              <w:t>比值估计</w:t>
              <w:br/>
            </w:r>
            <w:r>
              <w:rPr>
                <w:sz w:val="19"/>
              </w:rPr>
              <w:t>r_jk = beta_y,jk / beta_x,jk</w:t>
              <w:br/>
              <w:br/>
              <w:t>其中beta_x是SNP对分子暴露的效应，beta_y是SNP对表型结局的效应。</w:t>
            </w:r>
          </w:p>
        </w:tc>
      </w:tr>
    </w:tbl>
    <w:p>
      <w:pPr>
        <w:spacing w:after="0"/>
      </w:pPr>
    </w:p>
    <w:p>
      <w:pPr>
        <w:spacing w:line="276" w:lineRule="auto" w:after="120"/>
      </w:pPr>
      <w:r>
        <w:t>环境效应模型为：</w:t>
      </w:r>
    </w:p>
    <w:tbl>
      <w:tblPr>
        <w:tblW w:type="auto" w:w="0"/>
        <w:jc w:val="center"/>
        <w:tblLook w:firstColumn="1" w:firstRow="1" w:lastColumn="0" w:lastRow="0" w:noHBand="0" w:noVBand="1" w:val="04A0"/>
      </w:tblPr>
      <w:tblGrid>
        <w:gridCol w:w="9858"/>
      </w:tblGrid>
      <w:tr>
        <w:tc>
          <w:tcPr>
            <w:tcW w:type="dxa" w:w="9858"/>
            <w:shd w:fill="F2F2F2"/>
            <w:tcBorders>
              <w:top w:val="single" w:sz="8" w:color="0F6B78"/>
              <w:left w:val="single" w:sz="8" w:color="0F6B78"/>
              <w:bottom w:val="single" w:sz="8" w:color="0F6B78"/>
              <w:right w:val="single" w:sz="8" w:color="0F6B78"/>
            </w:tcBorders>
          </w:tcPr>
          <w:p>
            <w:r/>
            <w:r>
              <w:rPr>
                <w:b/>
                <w:color w:val="0F6B78"/>
                <w:sz w:val="20"/>
              </w:rPr>
              <w:t>两参数模型</w:t>
              <w:br/>
            </w:r>
            <w:r>
              <w:rPr>
                <w:sz w:val="19"/>
              </w:rPr>
              <w:t>r_jk = theta_0 + theta_1 z_k + epsilon_jk</w:t>
              <w:br/>
              <w:br/>
              <w:t>这里z_k是预先指定的环境数值。它可以是温度、干旱等级、处理强度或经过中心化的环境编码。工具不会自动替用户选择环境编码。</w:t>
            </w:r>
          </w:p>
        </w:tc>
      </w:tr>
    </w:tbl>
    <w:p>
      <w:pPr>
        <w:spacing w:after="0"/>
      </w:pPr>
    </w:p>
    <w:p>
      <w:pPr>
        <w:spacing w:line="276" w:lineRule="auto" w:after="120"/>
      </w:pPr>
      <w:r>
        <w:t>比值估计的近似方差由暴露和结局两部分组成：</w:t>
      </w:r>
    </w:p>
    <w:tbl>
      <w:tblPr>
        <w:tblW w:type="auto" w:w="0"/>
        <w:jc w:val="center"/>
        <w:tblLook w:firstColumn="1" w:firstRow="1" w:lastColumn="0" w:lastRow="0" w:noHBand="0" w:noVBand="1" w:val="04A0"/>
      </w:tblPr>
      <w:tblGrid>
        <w:gridCol w:w="9858"/>
      </w:tblGrid>
      <w:tr>
        <w:tc>
          <w:tcPr>
            <w:tcW w:type="dxa" w:w="9858"/>
            <w:shd w:fill="F2F2F2"/>
            <w:tcBorders>
              <w:top w:val="single" w:sz="8" w:color="0F6B78"/>
              <w:left w:val="single" w:sz="8" w:color="0F6B78"/>
              <w:bottom w:val="single" w:sz="8" w:color="0F6B78"/>
              <w:right w:val="single" w:sz="8" w:color="0F6B78"/>
            </w:tcBorders>
          </w:tcPr>
          <w:p>
            <w:r/>
            <w:r>
              <w:rPr>
                <w:b/>
                <w:color w:val="0F6B78"/>
                <w:sz w:val="20"/>
              </w:rPr>
              <w:t>一阶delta方差</w:t>
              <w:br/>
            </w:r>
            <w:r>
              <w:rPr>
                <w:sz w:val="19"/>
              </w:rPr>
              <w:t>v_jk = se_y,jk² / beta_x,jk² + beta_y,jk² × se_x,jk² / beta_x,jk⁴</w:t>
            </w:r>
          </w:p>
        </w:tc>
      </w:tr>
    </w:tbl>
    <w:p>
      <w:pPr>
        <w:spacing w:after="0"/>
      </w:pPr>
    </w:p>
    <w:p>
      <w:pPr>
        <w:spacing w:line="276" w:lineRule="auto" w:after="120"/>
      </w:pPr>
      <w:r>
        <w:t>如果提供SNP-LD相关矩阵R_SNP和环境误差相关矩阵R_ENV，工具构造：</w:t>
      </w:r>
    </w:p>
    <w:tbl>
      <w:tblPr>
        <w:tblW w:type="auto" w:w="0"/>
        <w:jc w:val="center"/>
        <w:tblLook w:firstColumn="1" w:firstRow="1" w:lastColumn="0" w:lastRow="0" w:noHBand="0" w:noVBand="1" w:val="04A0"/>
      </w:tblPr>
      <w:tblGrid>
        <w:gridCol w:w="9858"/>
      </w:tblGrid>
      <w:tr>
        <w:tc>
          <w:tcPr>
            <w:tcW w:type="dxa" w:w="9858"/>
            <w:shd w:fill="F2F2F2"/>
            <w:tcBorders>
              <w:top w:val="single" w:sz="8" w:color="0F6B78"/>
              <w:left w:val="single" w:sz="8" w:color="0F6B78"/>
              <w:bottom w:val="single" w:sz="8" w:color="0F6B78"/>
              <w:right w:val="single" w:sz="8" w:color="0F6B78"/>
            </w:tcBorders>
          </w:tcPr>
          <w:p>
            <w:r/>
            <w:r>
              <w:rPr>
                <w:b/>
                <w:color w:val="0F6B78"/>
                <w:sz w:val="20"/>
              </w:rPr>
              <w:t>协方差矩阵</w:t>
              <w:br/>
            </w:r>
            <w:r>
              <w:rPr>
                <w:sz w:val="19"/>
              </w:rPr>
              <w:t>V = D (R_SNP ⊗ R_ENV) D</w:t>
              <w:br/>
              <w:br/>
              <w:t>D是由每个比值标准误组成的对角矩阵，⊗表示Kronecker积。缺失的相关矩阵按单位矩阵处理，但报告会明确警告。</w:t>
            </w:r>
          </w:p>
        </w:tc>
      </w:tr>
    </w:tbl>
    <w:p>
      <w:pPr>
        <w:spacing w:after="0"/>
      </w:pPr>
    </w:p>
    <w:p>
      <w:pPr>
        <w:spacing w:line="276" w:lineRule="auto" w:after="120"/>
      </w:pPr>
      <w:r>
        <w:t>GLS估计为：</w:t>
      </w:r>
    </w:p>
    <w:tbl>
      <w:tblPr>
        <w:tblW w:type="auto" w:w="0"/>
        <w:jc w:val="center"/>
        <w:tblLook w:firstColumn="1" w:firstRow="1" w:lastColumn="0" w:lastRow="0" w:noHBand="0" w:noVBand="1" w:val="04A0"/>
      </w:tblPr>
      <w:tblGrid>
        <w:gridCol w:w="9858"/>
      </w:tblGrid>
      <w:tr>
        <w:tc>
          <w:tcPr>
            <w:tcW w:type="dxa" w:w="9858"/>
            <w:shd w:fill="F2F2F2"/>
            <w:tcBorders>
              <w:top w:val="single" w:sz="8" w:color="0F6B78"/>
              <w:left w:val="single" w:sz="8" w:color="0F6B78"/>
              <w:bottom w:val="single" w:sz="8" w:color="0F6B78"/>
              <w:right w:val="single" w:sz="8" w:color="0F6B78"/>
            </w:tcBorders>
          </w:tcPr>
          <w:p>
            <w:r/>
            <w:r>
              <w:rPr>
                <w:b/>
                <w:color w:val="0F6B78"/>
                <w:sz w:val="20"/>
              </w:rPr>
              <w:t>GLS估计</w:t>
              <w:br/>
            </w:r>
            <w:r>
              <w:rPr>
                <w:sz w:val="19"/>
              </w:rPr>
              <w:t>theta_hat = (X'V⁻¹X)⁻¹ X'V⁻¹r</w:t>
              <w:br/>
              <w:br/>
              <w:t>X的两列为[1,z]。如果LD导致V秩亏，Q检验自由度使用rank(V)-rank(X)，避免把高度相关的SNP重复计数。</w:t>
            </w:r>
          </w:p>
        </w:tc>
      </w:tr>
    </w:tbl>
    <w:p>
      <w:pPr>
        <w:spacing w:after="0"/>
      </w:pPr>
    </w:p>
    <w:tbl>
      <w:tblPr>
        <w:tblW w:type="auto" w:w="0"/>
        <w:jc w:val="center"/>
        <w:tblLook w:firstColumn="1" w:firstRow="1" w:lastColumn="0" w:lastRow="0" w:noHBand="0" w:noVBand="1" w:val="04A0"/>
      </w:tblPr>
      <w:tblGrid>
        <w:gridCol w:w="9858"/>
      </w:tblGrid>
      <w:tr>
        <w:tc>
          <w:tcPr>
            <w:tcW w:type="dxa" w:w="9858"/>
            <w:shd w:fill="FFF2CC"/>
            <w:tcBorders>
              <w:top w:val="single" w:sz="8" w:color="0F6B78"/>
              <w:left w:val="single" w:sz="8" w:color="0F6B78"/>
              <w:bottom w:val="single" w:sz="8" w:color="0F6B78"/>
              <w:right w:val="single" w:sz="8" w:color="0F6B78"/>
            </w:tcBorders>
          </w:tcPr>
          <w:p>
            <w:r/>
            <w:r>
              <w:rPr>
                <w:b/>
                <w:color w:val="0F6B78"/>
                <w:sz w:val="20"/>
              </w:rPr>
              <w:t>统计边界</w:t>
              <w:br/>
            </w:r>
            <w:r>
              <w:rPr>
                <w:sz w:val="19"/>
              </w:rPr>
              <w:t>该模型是环境效应异质性模型，不是MR-GxE多效性校正模型。它不能自动消除水平多效性，也不能从边际摘要统计中自动恢复样本重叠协方差。</w:t>
            </w:r>
          </w:p>
        </w:tc>
      </w:tr>
    </w:tbl>
    <w:p>
      <w:pPr>
        <w:spacing w:after="0"/>
      </w:pPr>
    </w:p>
    <w:p>
      <w:pPr>
        <w:pStyle w:val="Heading1"/>
      </w:pPr>
      <w:r>
        <w:t>六、模拟验证设计与结果</w:t>
      </w:r>
    </w:p>
    <w:p>
      <w:pPr>
        <w:spacing w:line="276" w:lineRule="auto" w:after="120"/>
      </w:pPr>
      <w:r>
        <w:t>我们把模拟结果和真实植物数据严格分开。模拟只验证代码和统计实现，不作为植物生物学证据。</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7365D"/>
          </w:tcPr>
          <w:p>
            <w:pPr>
              <w:spacing w:after="0"/>
            </w:pPr>
            <w:r/>
            <w:r>
              <w:rPr>
                <w:b/>
                <w:color w:val="FFFFFF"/>
                <w:sz w:val="17"/>
              </w:rPr>
              <w:t>模拟组</w:t>
            </w:r>
          </w:p>
        </w:tc>
        <w:tc>
          <w:tcPr>
            <w:tcW w:type="dxa" w:w="3969"/>
            <w:vAlign w:val="center"/>
            <w:shd w:fill="17365D"/>
          </w:tcPr>
          <w:p>
            <w:pPr>
              <w:spacing w:after="0"/>
            </w:pPr>
            <w:r/>
            <w:r>
              <w:rPr>
                <w:b/>
                <w:color w:val="FFFFFF"/>
                <w:sz w:val="17"/>
              </w:rPr>
              <w:t>设置</w:t>
            </w:r>
          </w:p>
        </w:tc>
        <w:tc>
          <w:tcPr>
            <w:tcW w:type="dxa" w:w="3402"/>
            <w:vAlign w:val="center"/>
            <w:shd w:fill="17365D"/>
          </w:tcPr>
          <w:p>
            <w:pPr>
              <w:spacing w:after="0"/>
            </w:pPr>
            <w:r/>
            <w:r>
              <w:rPr>
                <w:b/>
                <w:color w:val="FFFFFF"/>
                <w:sz w:val="17"/>
              </w:rPr>
              <w:t>主要结果</w:t>
            </w:r>
          </w:p>
        </w:tc>
      </w:tr>
      <w:tr>
        <w:tc>
          <w:tcPr>
            <w:tcW w:type="dxa" w:w="2268"/>
            <w:vAlign w:val="center"/>
          </w:tcPr>
          <w:p>
            <w:pPr>
              <w:spacing w:after="0"/>
            </w:pPr>
            <w:r/>
            <w:r>
              <w:rPr>
                <w:b w:val="0"/>
                <w:sz w:val="17"/>
              </w:rPr>
              <w:t>Null</w:t>
            </w:r>
          </w:p>
        </w:tc>
        <w:tc>
          <w:tcPr>
            <w:tcW w:type="dxa" w:w="3969"/>
            <w:vAlign w:val="center"/>
          </w:tcPr>
          <w:p>
            <w:pPr>
              <w:spacing w:after="0"/>
            </w:pPr>
            <w:r/>
            <w:r>
              <w:rPr>
                <w:b w:val="0"/>
                <w:sz w:val="17"/>
              </w:rPr>
              <w:t>20 SNP、4环境、环境相关0.5、500次</w:t>
            </w:r>
          </w:p>
        </w:tc>
        <w:tc>
          <w:tcPr>
            <w:tcW w:type="dxa" w:w="3402"/>
            <w:vAlign w:val="center"/>
          </w:tcPr>
          <w:p>
            <w:pPr>
              <w:spacing w:after="0"/>
            </w:pPr>
            <w:r/>
            <w:r>
              <w:rPr>
                <w:b w:val="0"/>
                <w:sz w:val="17"/>
              </w:rPr>
              <w:t>正确模型拒绝率0.054，覆盖率0.946</w:t>
            </w:r>
          </w:p>
        </w:tc>
      </w:tr>
      <w:tr>
        <w:tc>
          <w:tcPr>
            <w:tcW w:type="dxa" w:w="2268"/>
            <w:vAlign w:val="center"/>
            <w:shd w:fill="F7FAFB"/>
          </w:tcPr>
          <w:p>
            <w:pPr>
              <w:spacing w:after="0"/>
            </w:pPr>
            <w:r/>
            <w:r>
              <w:rPr>
                <w:b w:val="0"/>
                <w:sz w:val="17"/>
              </w:rPr>
              <w:t>Causal G×E</w:t>
            </w:r>
          </w:p>
        </w:tc>
        <w:tc>
          <w:tcPr>
            <w:tcW w:type="dxa" w:w="3969"/>
            <w:vAlign w:val="center"/>
            <w:shd w:fill="F7FAFB"/>
          </w:tcPr>
          <w:p>
            <w:pPr>
              <w:spacing w:after="0"/>
            </w:pPr>
            <w:r/>
            <w:r>
              <w:rPr>
                <w:b w:val="0"/>
                <w:sz w:val="17"/>
              </w:rPr>
              <w:t>真实环境斜率0.25、500次</w:t>
            </w:r>
          </w:p>
        </w:tc>
        <w:tc>
          <w:tcPr>
            <w:tcW w:type="dxa" w:w="3402"/>
            <w:vAlign w:val="center"/>
            <w:shd w:fill="F7FAFB"/>
          </w:tcPr>
          <w:p>
            <w:pPr>
              <w:spacing w:after="0"/>
            </w:pPr>
            <w:r/>
            <w:r>
              <w:rPr>
                <w:b w:val="0"/>
                <w:sz w:val="17"/>
              </w:rPr>
              <w:t>均值0.24982，偏差−0.00018，功效1.00</w:t>
            </w:r>
          </w:p>
        </w:tc>
      </w:tr>
      <w:tr>
        <w:tc>
          <w:tcPr>
            <w:tcW w:type="dxa" w:w="2268"/>
            <w:vAlign w:val="center"/>
          </w:tcPr>
          <w:p>
            <w:pPr>
              <w:spacing w:after="0"/>
            </w:pPr>
            <w:r/>
            <w:r>
              <w:rPr>
                <w:b w:val="0"/>
                <w:sz w:val="17"/>
              </w:rPr>
              <w:t>Directional pleiotropy</w:t>
            </w:r>
          </w:p>
        </w:tc>
        <w:tc>
          <w:tcPr>
            <w:tcW w:type="dxa" w:w="3969"/>
            <w:vAlign w:val="center"/>
          </w:tcPr>
          <w:p>
            <w:pPr>
              <w:spacing w:after="0"/>
            </w:pPr>
            <w:r/>
            <w:r>
              <w:rPr>
                <w:b w:val="0"/>
                <w:sz w:val="17"/>
              </w:rPr>
              <w:t>共同多效性0.04、真实斜率0</w:t>
            </w:r>
          </w:p>
        </w:tc>
        <w:tc>
          <w:tcPr>
            <w:tcW w:type="dxa" w:w="3402"/>
            <w:vAlign w:val="center"/>
          </w:tcPr>
          <w:p>
            <w:pPr>
              <w:spacing w:after="0"/>
            </w:pPr>
            <w:r/>
            <w:r>
              <w:rPr>
                <w:b w:val="0"/>
                <w:sz w:val="17"/>
              </w:rPr>
              <w:t>斜率近似无偏，但截距偏差+0.216</w:t>
            </w:r>
          </w:p>
        </w:tc>
      </w:tr>
      <w:tr>
        <w:tc>
          <w:tcPr>
            <w:tcW w:type="dxa" w:w="2268"/>
            <w:vAlign w:val="center"/>
            <w:shd w:fill="F7FAFB"/>
          </w:tcPr>
          <w:p>
            <w:pPr>
              <w:spacing w:after="0"/>
            </w:pPr>
            <w:r/>
            <w:r>
              <w:rPr>
                <w:b w:val="0"/>
                <w:sz w:val="17"/>
              </w:rPr>
              <w:t>LD stress</w:t>
            </w:r>
          </w:p>
        </w:tc>
        <w:tc>
          <w:tcPr>
            <w:tcW w:type="dxa" w:w="3969"/>
            <w:vAlign w:val="center"/>
            <w:shd w:fill="F7FAFB"/>
          </w:tcPr>
          <w:p>
            <w:pPr>
              <w:spacing w:after="0"/>
            </w:pPr>
            <w:r/>
            <w:r>
              <w:rPr>
                <w:b w:val="0"/>
                <w:sz w:val="17"/>
              </w:rPr>
              <w:t>AR(1) LD rho=0.6、环境相关0.5、500次</w:t>
            </w:r>
          </w:p>
        </w:tc>
        <w:tc>
          <w:tcPr>
            <w:tcW w:type="dxa" w:w="3402"/>
            <w:vAlign w:val="center"/>
            <w:shd w:fill="F7FAFB"/>
          </w:tcPr>
          <w:p>
            <w:pPr>
              <w:spacing w:after="0"/>
            </w:pPr>
            <w:r/>
            <w:r>
              <w:rPr>
                <w:b w:val="0"/>
                <w:sz w:val="17"/>
              </w:rPr>
              <w:t>正确模型拒绝率0.044；独立性错配0.126</w:t>
            </w:r>
          </w:p>
        </w:tc>
      </w:tr>
    </w:tbl>
    <w:p>
      <w:pPr>
        <w:spacing w:after="0"/>
      </w:pPr>
    </w:p>
    <w:p>
      <w:pPr>
        <w:spacing w:line="276" w:lineRule="auto" w:after="120"/>
      </w:pPr>
      <w:r>
        <w:t>下图是主要模拟图。左侧展示环境斜率的抽样分布，右侧展示拒绝率和置信区间覆盖率。Null场景的拒绝率应接近0.05，Causal G×E场景的功效应接近1，方向性多效性场景用于展示模型的失效边界。</w:t>
      </w:r>
    </w:p>
    <w:p>
      <w:r>
        <w:drawing>
          <wp:inline xmlns:a="http://schemas.openxmlformats.org/drawingml/2006/main" xmlns:pic="http://schemas.openxmlformats.org/drawingml/2006/picture">
            <wp:extent cx="5806440" cy="2619979"/>
            <wp:docPr id="1" name="Picture 1"/>
            <wp:cNvGraphicFramePr>
              <a:graphicFrameLocks noChangeAspect="1"/>
            </wp:cNvGraphicFramePr>
            <a:graphic>
              <a:graphicData uri="http://schemas.openxmlformats.org/drawingml/2006/picture">
                <pic:pic>
                  <pic:nvPicPr>
                    <pic:cNvPr id="0" name="gxe_simulation.png"/>
                    <pic:cNvPicPr/>
                  </pic:nvPicPr>
                  <pic:blipFill>
                    <a:blip r:embed="rId11"/>
                    <a:stretch>
                      <a:fillRect/>
                    </a:stretch>
                  </pic:blipFill>
                  <pic:spPr>
                    <a:xfrm>
                      <a:off x="0" y="0"/>
                      <a:ext cx="5806440" cy="2619979"/>
                    </a:xfrm>
                    <a:prstGeom prst="rect"/>
                  </pic:spPr>
                </pic:pic>
              </a:graphicData>
            </a:graphic>
          </wp:inline>
        </w:drawing>
      </w:r>
    </w:p>
    <w:p>
      <w:pPr>
        <w:jc w:val="center"/>
      </w:pPr>
      <w:r>
        <w:rPr>
          <w:i/>
          <w:sz w:val="18"/>
        </w:rPr>
        <w:t>图1  PlantMR环境斜率模拟结果。蓝色为协方差感知模型，橙色为对角协方差比较模型。该图只代表模拟验证，不代表任何真实植物基因的因果结果。</w:t>
      </w:r>
    </w:p>
    <w:p>
      <w:pPr>
        <w:spacing w:line="276" w:lineRule="auto" w:after="120"/>
      </w:pPr>
      <w:r>
        <w:t>LD压力测试是本轮新增的关键增强。真实错误结构同时包含环境相关和SNP间LD相关；如果按独立SNP处理，零效应下的错误拒绝率从0.044升到0.126，95%覆盖率从0.956降到0.874。这个结果支持把LD协方差作为主要分析输入，而不是可选的装饰信息。</w:t>
      </w:r>
    </w:p>
    <w:p>
      <w:pPr>
        <w:pStyle w:val="Heading1"/>
      </w:pPr>
      <w:r>
        <w:t>七、Arabidopsis真实数据案例</w:t>
      </w:r>
    </w:p>
    <w:p>
      <w:pPr>
        <w:pStyle w:val="Heading2"/>
      </w:pPr>
      <w:r>
        <w:t>7.1 案例目的</w:t>
      </w:r>
    </w:p>
    <w:p>
      <w:pPr>
        <w:spacing w:line="276" w:lineRule="auto" w:after="120"/>
      </w:pPr>
      <w:r>
        <w:t>这个案例不是为了重新发现AT1G11560，而是为了验证PlantMR能否在真实植物数据上完成：数据下载、ID对应、等位基因映射、群体结构校正、局部LD、环境标签、完整网格筛选和可审计报告。</w:t>
      </w:r>
    </w:p>
    <w:p>
      <w:pPr>
        <w:pStyle w:val="Heading2"/>
      </w:pPr>
      <w:r>
        <w:t>7.2 数据组成</w:t>
      </w:r>
    </w:p>
    <w:tbl>
      <w:tblPr>
        <w:tblStyle w:val="TableGrid"/>
        <w:tblW w:type="auto" w:w="0"/>
        <w:jc w:val="center"/>
        <w:tblLook w:firstColumn="1" w:firstRow="1" w:lastColumn="0" w:lastRow="0" w:noHBand="0" w:noVBand="1" w:val="04A0"/>
      </w:tblPr>
      <w:tblGrid>
        <w:gridCol w:w="3286"/>
        <w:gridCol w:w="3286"/>
        <w:gridCol w:w="3286"/>
      </w:tblGrid>
      <w:tr>
        <w:tc>
          <w:tcPr>
            <w:tcW w:type="dxa" w:w="1814"/>
            <w:vAlign w:val="center"/>
            <w:shd w:fill="17365D"/>
          </w:tcPr>
          <w:p>
            <w:pPr>
              <w:spacing w:after="0"/>
            </w:pPr>
            <w:r/>
            <w:r>
              <w:rPr>
                <w:b/>
                <w:color w:val="FFFFFF"/>
                <w:sz w:val="16"/>
              </w:rPr>
              <w:t>数据层</w:t>
            </w:r>
          </w:p>
        </w:tc>
        <w:tc>
          <w:tcPr>
            <w:tcW w:type="dxa" w:w="2835"/>
            <w:vAlign w:val="center"/>
            <w:shd w:fill="17365D"/>
          </w:tcPr>
          <w:p>
            <w:pPr>
              <w:spacing w:after="0"/>
            </w:pPr>
            <w:r/>
            <w:r>
              <w:rPr>
                <w:b/>
                <w:color w:val="FFFFFF"/>
                <w:sz w:val="16"/>
              </w:rPr>
              <w:t>来源</w:t>
            </w:r>
          </w:p>
        </w:tc>
        <w:tc>
          <w:tcPr>
            <w:tcW w:type="dxa" w:w="4535"/>
            <w:vAlign w:val="center"/>
            <w:shd w:fill="17365D"/>
          </w:tcPr>
          <w:p>
            <w:pPr>
              <w:spacing w:after="0"/>
            </w:pPr>
            <w:r/>
            <w:r>
              <w:rPr>
                <w:b/>
                <w:color w:val="FFFFFF"/>
                <w:sz w:val="16"/>
              </w:rPr>
              <w:t>本项目处理</w:t>
            </w:r>
          </w:p>
        </w:tc>
      </w:tr>
      <w:tr>
        <w:tc>
          <w:tcPr>
            <w:tcW w:type="dxa" w:w="1814"/>
            <w:vAlign w:val="center"/>
          </w:tcPr>
          <w:p>
            <w:pPr>
              <w:spacing w:after="0"/>
            </w:pPr>
            <w:r/>
            <w:r>
              <w:rPr>
                <w:b w:val="0"/>
                <w:sz w:val="16"/>
              </w:rPr>
              <w:t>分子暴露</w:t>
            </w:r>
          </w:p>
        </w:tc>
        <w:tc>
          <w:tcPr>
            <w:tcW w:type="dxa" w:w="2835"/>
            <w:vAlign w:val="center"/>
          </w:tcPr>
          <w:p>
            <w:pPr>
              <w:spacing w:after="0"/>
            </w:pPr>
            <w:r/>
            <w:r>
              <w:rPr>
                <w:b w:val="0"/>
                <w:sz w:val="16"/>
              </w:rPr>
              <w:t>GSE80744归一化表达矩阵</w:t>
            </w:r>
          </w:p>
        </w:tc>
        <w:tc>
          <w:tcPr>
            <w:tcW w:type="dxa" w:w="4535"/>
            <w:vAlign w:val="center"/>
          </w:tcPr>
          <w:p>
            <w:pPr>
              <w:spacing w:after="0"/>
            </w:pPr>
            <w:r/>
            <w:r>
              <w:rPr>
                <w:b w:val="0"/>
                <w:sz w:val="16"/>
              </w:rPr>
              <w:t>提取AT1G11560，log1p处理，作为基线暴露</w:t>
            </w:r>
          </w:p>
        </w:tc>
      </w:tr>
      <w:tr>
        <w:tc>
          <w:tcPr>
            <w:tcW w:type="dxa" w:w="1814"/>
            <w:vAlign w:val="center"/>
            <w:shd w:fill="F7FAFB"/>
          </w:tcPr>
          <w:p>
            <w:pPr>
              <w:spacing w:after="0"/>
            </w:pPr>
            <w:r/>
            <w:r>
              <w:rPr>
                <w:b w:val="0"/>
                <w:sz w:val="16"/>
              </w:rPr>
              <w:t>基因型</w:t>
            </w:r>
          </w:p>
        </w:tc>
        <w:tc>
          <w:tcPr>
            <w:tcW w:type="dxa" w:w="2835"/>
            <w:vAlign w:val="center"/>
            <w:shd w:fill="F7FAFB"/>
          </w:tcPr>
          <w:p>
            <w:pPr>
              <w:spacing w:after="0"/>
            </w:pPr>
            <w:r/>
            <w:r>
              <w:rPr>
                <w:b w:val="0"/>
                <w:sz w:val="16"/>
              </w:rPr>
              <w:t>1001 Genomes v3.1</w:t>
            </w:r>
          </w:p>
        </w:tc>
        <w:tc>
          <w:tcPr>
            <w:tcW w:type="dxa" w:w="4535"/>
            <w:vAlign w:val="center"/>
            <w:shd w:fill="F7FAFB"/>
          </w:tcPr>
          <w:p>
            <w:pPr>
              <w:spacing w:after="0"/>
            </w:pPr>
            <w:r/>
            <w:r>
              <w:rPr>
                <w:b w:val="0"/>
                <w:sz w:val="16"/>
              </w:rPr>
              <w:t>提取Chr1:3,861,124–3,901,085局部区域，共3,352个SNP</w:t>
            </w:r>
          </w:p>
        </w:tc>
      </w:tr>
      <w:tr>
        <w:tc>
          <w:tcPr>
            <w:tcW w:type="dxa" w:w="1814"/>
            <w:vAlign w:val="center"/>
          </w:tcPr>
          <w:p>
            <w:pPr>
              <w:spacing w:after="0"/>
            </w:pPr>
            <w:r/>
            <w:r>
              <w:rPr>
                <w:b w:val="0"/>
                <w:sz w:val="16"/>
              </w:rPr>
              <w:t>群体结构</w:t>
            </w:r>
          </w:p>
        </w:tc>
        <w:tc>
          <w:tcPr>
            <w:tcW w:type="dxa" w:w="2835"/>
            <w:vAlign w:val="center"/>
          </w:tcPr>
          <w:p>
            <w:pPr>
              <w:spacing w:after="0"/>
            </w:pPr>
            <w:r/>
            <w:r>
              <w:rPr>
                <w:b w:val="0"/>
                <w:sz w:val="16"/>
              </w:rPr>
              <w:t>同一1001 Genomes矩阵</w:t>
            </w:r>
          </w:p>
        </w:tc>
        <w:tc>
          <w:tcPr>
            <w:tcW w:type="dxa" w:w="4535"/>
            <w:vAlign w:val="center"/>
          </w:tcPr>
          <w:p>
            <w:pPr>
              <w:spacing w:after="0"/>
            </w:pPr>
            <w:r/>
            <w:r>
              <w:rPr>
                <w:b w:val="0"/>
                <w:sz w:val="16"/>
              </w:rPr>
              <w:t>从稀疏全基因组标记计算PC1–PC5</w:t>
            </w:r>
          </w:p>
        </w:tc>
      </w:tr>
      <w:tr>
        <w:tc>
          <w:tcPr>
            <w:tcW w:type="dxa" w:w="1814"/>
            <w:vAlign w:val="center"/>
            <w:shd w:fill="F7FAFB"/>
          </w:tcPr>
          <w:p>
            <w:pPr>
              <w:spacing w:after="0"/>
            </w:pPr>
            <w:r/>
            <w:r>
              <w:rPr>
                <w:b w:val="0"/>
                <w:sz w:val="16"/>
              </w:rPr>
              <w:t>结局环境1</w:t>
            </w:r>
          </w:p>
        </w:tc>
        <w:tc>
          <w:tcPr>
            <w:tcW w:type="dxa" w:w="2835"/>
            <w:vAlign w:val="center"/>
            <w:shd w:fill="F7FAFB"/>
          </w:tcPr>
          <w:p>
            <w:pPr>
              <w:spacing w:after="0"/>
            </w:pPr>
            <w:r/>
            <w:r>
              <w:rPr>
                <w:b w:val="0"/>
                <w:sz w:val="16"/>
              </w:rPr>
              <w:t>AraPheno FT10</w:t>
            </w:r>
          </w:p>
        </w:tc>
        <w:tc>
          <w:tcPr>
            <w:tcW w:type="dxa" w:w="4535"/>
            <w:vAlign w:val="center"/>
            <w:shd w:fill="F7FAFB"/>
          </w:tcPr>
          <w:p>
            <w:pPr>
              <w:spacing w:after="0"/>
            </w:pPr>
            <w:r/>
            <w:r>
              <w:rPr>
                <w:b w:val="0"/>
                <w:sz w:val="16"/>
              </w:rPr>
              <w:t>10°C开花时间，环境分数−3</w:t>
            </w:r>
          </w:p>
        </w:tc>
      </w:tr>
      <w:tr>
        <w:tc>
          <w:tcPr>
            <w:tcW w:type="dxa" w:w="1814"/>
            <w:vAlign w:val="center"/>
          </w:tcPr>
          <w:p>
            <w:pPr>
              <w:spacing w:after="0"/>
            </w:pPr>
            <w:r/>
            <w:r>
              <w:rPr>
                <w:b w:val="0"/>
                <w:sz w:val="16"/>
              </w:rPr>
              <w:t>结局环境2</w:t>
            </w:r>
          </w:p>
        </w:tc>
        <w:tc>
          <w:tcPr>
            <w:tcW w:type="dxa" w:w="2835"/>
            <w:vAlign w:val="center"/>
          </w:tcPr>
          <w:p>
            <w:pPr>
              <w:spacing w:after="0"/>
            </w:pPr>
            <w:r/>
            <w:r>
              <w:rPr>
                <w:b w:val="0"/>
                <w:sz w:val="16"/>
              </w:rPr>
              <w:t>AraPheno FT16</w:t>
            </w:r>
          </w:p>
        </w:tc>
        <w:tc>
          <w:tcPr>
            <w:tcW w:type="dxa" w:w="4535"/>
            <w:vAlign w:val="center"/>
          </w:tcPr>
          <w:p>
            <w:pPr>
              <w:spacing w:after="0"/>
            </w:pPr>
            <w:r/>
            <w:r>
              <w:rPr>
                <w:b w:val="0"/>
                <w:sz w:val="16"/>
              </w:rPr>
              <w:t>16°C开花时间，环境分数+3</w:t>
            </w:r>
          </w:p>
        </w:tc>
      </w:tr>
      <w:tr>
        <w:tc>
          <w:tcPr>
            <w:tcW w:type="dxa" w:w="1814"/>
            <w:vAlign w:val="center"/>
            <w:shd w:fill="F7FAFB"/>
          </w:tcPr>
          <w:p>
            <w:pPr>
              <w:spacing w:after="0"/>
            </w:pPr>
            <w:r/>
            <w:r>
              <w:rPr>
                <w:b w:val="0"/>
                <w:sz w:val="16"/>
              </w:rPr>
              <w:t>等位基因</w:t>
            </w:r>
          </w:p>
        </w:tc>
        <w:tc>
          <w:tcPr>
            <w:tcW w:type="dxa" w:w="2835"/>
            <w:vAlign w:val="center"/>
            <w:shd w:fill="F7FAFB"/>
          </w:tcPr>
          <w:p>
            <w:pPr>
              <w:spacing w:after="0"/>
            </w:pPr>
            <w:r/>
            <w:r>
              <w:rPr>
                <w:b w:val="0"/>
                <w:sz w:val="16"/>
              </w:rPr>
              <w:t>1001 Genomes accession VCF</w:t>
            </w:r>
          </w:p>
        </w:tc>
        <w:tc>
          <w:tcPr>
            <w:tcW w:type="dxa" w:w="4535"/>
            <w:vAlign w:val="center"/>
            <w:shd w:fill="F7FAFB"/>
          </w:tcPr>
          <w:p>
            <w:pPr>
              <w:spacing w:after="0"/>
            </w:pPr>
            <w:r/>
            <w:r>
              <w:rPr>
                <w:b w:val="0"/>
                <w:sz w:val="16"/>
              </w:rPr>
              <w:t>用于把二进制剂量映射为真实REF/ALT</w:t>
            </w:r>
          </w:p>
        </w:tc>
      </w:tr>
    </w:tbl>
    <w:p>
      <w:pPr>
        <w:spacing w:after="0"/>
      </w:pPr>
    </w:p>
    <w:p>
      <w:pPr>
        <w:pStyle w:val="Heading2"/>
      </w:pPr>
      <w:r>
        <w:t>7.3 工具筛选和主要结果</w:t>
      </w:r>
    </w:p>
    <w:p>
      <w:pPr>
        <w:pStyle w:val="ListBullet"/>
        <w:spacing w:after="40"/>
      </w:pPr>
      <w:r>
        <w:t>预设工具条件：暴露P≤5×10^-8、F≥10、MAF≥0.05。</w:t>
      </w:r>
    </w:p>
    <w:p>
      <w:pPr>
        <w:pStyle w:val="ListBullet"/>
        <w:spacing w:after="40"/>
      </w:pPr>
      <w:r>
        <w:t>要求SNP在两个环境都通过筛选，最终保留48个工具变量。</w:t>
      </w:r>
    </w:p>
    <w:p>
      <w:pPr>
        <w:pStyle w:val="ListBullet"/>
        <w:spacing w:after="40"/>
      </w:pPr>
      <w:r>
        <w:t>48个工具高度相关，因此主分析输入签名LD矩阵。</w:t>
      </w:r>
    </w:p>
    <w:p>
      <w:pPr>
        <w:pStyle w:val="ListBullet"/>
        <w:spacing w:after="40"/>
      </w:pPr>
      <w:r>
        <w:t>主分析环境斜率−0.03705，SE=0.15617，P=0.81249。</w:t>
      </w:r>
    </w:p>
    <w:p>
      <w:pPr>
        <w:pStyle w:val="ListBullet"/>
        <w:spacing w:after="40"/>
      </w:pPr>
      <w:r>
        <w:t>主分析截距2.3601，SE=0.4685，P=4.72×10^-7。</w:t>
      </w:r>
    </w:p>
    <w:p>
      <w:pPr>
        <w:pStyle w:val="ListBullet"/>
        <w:spacing w:after="40"/>
      </w:pPr>
      <w:r>
        <w:t>残余异质性Q=192.89，秩调整后df=60，P=7.33×10^-16。</w:t>
      </w:r>
    </w:p>
    <w:p>
      <w:pPr>
        <w:pStyle w:val="ListBullet"/>
        <w:spacing w:after="40"/>
      </w:pPr>
      <w:r>
        <w:t>用FT10/FT16表型相关r=0.88195做敏感性代理时，斜率−0.08228，P=0.21491；这不是已知的ratio-error covariance。</w:t>
      </w:r>
    </w:p>
    <w:tbl>
      <w:tblPr>
        <w:tblW w:type="auto" w:w="0"/>
        <w:jc w:val="center"/>
        <w:tblLook w:firstColumn="1" w:firstRow="1" w:lastColumn="0" w:lastRow="0" w:noHBand="0" w:noVBand="1" w:val="04A0"/>
      </w:tblPr>
      <w:tblGrid>
        <w:gridCol w:w="9858"/>
      </w:tblGrid>
      <w:tr>
        <w:tc>
          <w:tcPr>
            <w:tcW w:type="dxa" w:w="9858"/>
            <w:shd w:fill="E8F2F7"/>
            <w:tcBorders>
              <w:top w:val="single" w:sz="8" w:color="0F6B78"/>
              <w:left w:val="single" w:sz="8" w:color="0F6B78"/>
              <w:bottom w:val="single" w:sz="8" w:color="0F6B78"/>
              <w:right w:val="single" w:sz="8" w:color="0F6B78"/>
            </w:tcBorders>
          </w:tcPr>
          <w:p>
            <w:r/>
            <w:r>
              <w:rPr>
                <w:b/>
                <w:color w:val="0F6B78"/>
                <w:sz w:val="20"/>
              </w:rPr>
              <w:t>真实案例结论</w:t>
              <w:br/>
            </w:r>
            <w:r>
              <w:rPr>
                <w:sz w:val="19"/>
              </w:rPr>
              <w:t>当前数据不支持AT1G11560在10°C和16°C之间存在显著MR效应差异。更重要的发现是：局部LD和环境协方差会实质改变不确定性，因此不能把独立SNP的普通IVW当作默认答案。</w:t>
            </w:r>
          </w:p>
        </w:tc>
      </w:tr>
    </w:tbl>
    <w:p>
      <w:pPr>
        <w:spacing w:after="0"/>
      </w:pPr>
    </w:p>
    <w:p>
      <w:pPr>
        <w:pStyle w:val="Heading2"/>
      </w:pPr>
      <w:r>
        <w:t>7.4 为什么不能称为独立验证</w:t>
      </w:r>
    </w:p>
    <w:p>
      <w:pPr>
        <w:pStyle w:val="ListBullet"/>
        <w:spacing w:after="40"/>
      </w:pPr>
      <w:r>
        <w:t>表达和FT10/FT16数据共享accessions，样本重叠协方差没有被精确估计。</w:t>
      </w:r>
    </w:p>
    <w:p>
      <w:pPr>
        <w:pStyle w:val="ListBullet"/>
        <w:spacing w:after="40"/>
      </w:pPr>
      <w:r>
        <w:t>本案例使用local OLS+PC1–PC5，不是原论文的正式LMM/SMR结果。</w:t>
      </w:r>
    </w:p>
    <w:p>
      <w:pPr>
        <w:pStyle w:val="ListBullet"/>
        <w:spacing w:after="40"/>
      </w:pPr>
      <w:r>
        <w:t>基线表达暴露复制到两个结局环境，斜率表示结局环境上的效应异质性，不是环境特异eQTL机制。</w:t>
      </w:r>
    </w:p>
    <w:p>
      <w:pPr>
        <w:pStyle w:val="ListBullet"/>
        <w:spacing w:after="40"/>
      </w:pPr>
      <w:r>
        <w:t>没有把已有论文的SMR/HEIDI结果伪装成PlantMR独立验证。</w:t>
      </w:r>
    </w:p>
    <w:p>
      <w:pPr>
        <w:pStyle w:val="Heading1"/>
      </w:pPr>
      <w:r>
        <w:t>八、软件结构、输入输出与复现</w:t>
      </w:r>
    </w:p>
    <w:tbl>
      <w:tblPr>
        <w:tblStyle w:val="TableGrid"/>
        <w:tblW w:type="auto" w:w="0"/>
        <w:jc w:val="center"/>
        <w:tblLook w:firstColumn="1" w:firstRow="1" w:lastColumn="0" w:lastRow="0" w:noHBand="0" w:noVBand="1" w:val="04A0"/>
      </w:tblPr>
      <w:tblGrid>
        <w:gridCol w:w="4929"/>
        <w:gridCol w:w="4929"/>
      </w:tblGrid>
      <w:tr>
        <w:tc>
          <w:tcPr>
            <w:tcW w:type="dxa" w:w="3118"/>
            <w:vAlign w:val="center"/>
            <w:shd w:fill="17365D"/>
          </w:tcPr>
          <w:p>
            <w:pPr>
              <w:spacing w:after="0"/>
            </w:pPr>
            <w:r/>
            <w:r>
              <w:rPr>
                <w:b/>
                <w:color w:val="FFFFFF"/>
                <w:sz w:val="16"/>
              </w:rPr>
              <w:t>路径</w:t>
            </w:r>
          </w:p>
        </w:tc>
        <w:tc>
          <w:tcPr>
            <w:tcW w:type="dxa" w:w="6236"/>
            <w:vAlign w:val="center"/>
            <w:shd w:fill="17365D"/>
          </w:tcPr>
          <w:p>
            <w:pPr>
              <w:spacing w:after="0"/>
            </w:pPr>
            <w:r/>
            <w:r>
              <w:rPr>
                <w:b/>
                <w:color w:val="FFFFFF"/>
                <w:sz w:val="16"/>
              </w:rPr>
              <w:t>作用</w:t>
            </w:r>
          </w:p>
        </w:tc>
      </w:tr>
      <w:tr>
        <w:tc>
          <w:tcPr>
            <w:tcW w:type="dxa" w:w="3118"/>
            <w:vAlign w:val="center"/>
          </w:tcPr>
          <w:p>
            <w:pPr>
              <w:spacing w:after="0"/>
            </w:pPr>
            <w:r/>
            <w:r>
              <w:rPr>
                <w:b w:val="0"/>
                <w:sz w:val="16"/>
              </w:rPr>
              <w:t>src/plant_mr/schema.py</w:t>
            </w:r>
          </w:p>
        </w:tc>
        <w:tc>
          <w:tcPr>
            <w:tcW w:type="dxa" w:w="6236"/>
            <w:vAlign w:val="center"/>
          </w:tcPr>
          <w:p>
            <w:pPr>
              <w:spacing w:after="0"/>
            </w:pPr>
            <w:r/>
            <w:r>
              <w:rPr>
                <w:b w:val="0"/>
                <w:sz w:val="16"/>
              </w:rPr>
              <w:t>摘要统计输入验证和植物元数据</w:t>
            </w:r>
          </w:p>
        </w:tc>
      </w:tr>
      <w:tr>
        <w:tc>
          <w:tcPr>
            <w:tcW w:type="dxa" w:w="3118"/>
            <w:vAlign w:val="center"/>
            <w:shd w:fill="F7FAFB"/>
          </w:tcPr>
          <w:p>
            <w:pPr>
              <w:spacing w:after="0"/>
            </w:pPr>
            <w:r/>
            <w:r>
              <w:rPr>
                <w:b w:val="0"/>
                <w:sz w:val="16"/>
              </w:rPr>
              <w:t>src/plant_mr/harmonize.py</w:t>
            </w:r>
          </w:p>
        </w:tc>
        <w:tc>
          <w:tcPr>
            <w:tcW w:type="dxa" w:w="6236"/>
            <w:vAlign w:val="center"/>
            <w:shd w:fill="F7FAFB"/>
          </w:tcPr>
          <w:p>
            <w:pPr>
              <w:spacing w:after="0"/>
            </w:pPr>
            <w:r/>
            <w:r>
              <w:rPr>
                <w:b w:val="0"/>
                <w:sz w:val="16"/>
              </w:rPr>
              <w:t>等位基因协调和回文位点处理</w:t>
            </w:r>
          </w:p>
        </w:tc>
      </w:tr>
      <w:tr>
        <w:tc>
          <w:tcPr>
            <w:tcW w:type="dxa" w:w="3118"/>
            <w:vAlign w:val="center"/>
          </w:tcPr>
          <w:p>
            <w:pPr>
              <w:spacing w:after="0"/>
            </w:pPr>
            <w:r/>
            <w:r>
              <w:rPr>
                <w:b w:val="0"/>
                <w:sz w:val="16"/>
              </w:rPr>
              <w:t>src/plant_mr/instruments.py</w:t>
            </w:r>
          </w:p>
        </w:tc>
        <w:tc>
          <w:tcPr>
            <w:tcW w:type="dxa" w:w="6236"/>
            <w:vAlign w:val="center"/>
          </w:tcPr>
          <w:p>
            <w:pPr>
              <w:spacing w:after="0"/>
            </w:pPr>
            <w:r/>
            <w:r>
              <w:rPr>
                <w:b w:val="0"/>
                <w:sz w:val="16"/>
              </w:rPr>
              <w:t>P值、MAF、F统计量和LD筛选</w:t>
            </w:r>
          </w:p>
        </w:tc>
      </w:tr>
      <w:tr>
        <w:tc>
          <w:tcPr>
            <w:tcW w:type="dxa" w:w="3118"/>
            <w:vAlign w:val="center"/>
            <w:shd w:fill="F7FAFB"/>
          </w:tcPr>
          <w:p>
            <w:pPr>
              <w:spacing w:after="0"/>
            </w:pPr>
            <w:r/>
            <w:r>
              <w:rPr>
                <w:b w:val="0"/>
                <w:sz w:val="16"/>
              </w:rPr>
              <w:t>src/plant_mr/estimators.py</w:t>
            </w:r>
          </w:p>
        </w:tc>
        <w:tc>
          <w:tcPr>
            <w:tcW w:type="dxa" w:w="6236"/>
            <w:vAlign w:val="center"/>
            <w:shd w:fill="F7FAFB"/>
          </w:tcPr>
          <w:p>
            <w:pPr>
              <w:spacing w:after="0"/>
            </w:pPr>
            <w:r/>
            <w:r>
              <w:rPr>
                <w:b w:val="0"/>
                <w:sz w:val="16"/>
              </w:rPr>
              <w:t>Wald、IVW、随机效应、MR-Egger和留一分析</w:t>
            </w:r>
          </w:p>
        </w:tc>
      </w:tr>
      <w:tr>
        <w:tc>
          <w:tcPr>
            <w:tcW w:type="dxa" w:w="3118"/>
            <w:vAlign w:val="center"/>
          </w:tcPr>
          <w:p>
            <w:pPr>
              <w:spacing w:after="0"/>
            </w:pPr>
            <w:r/>
            <w:r>
              <w:rPr>
                <w:b w:val="0"/>
                <w:sz w:val="16"/>
              </w:rPr>
              <w:t>src/plant_mr/gxe.py</w:t>
            </w:r>
          </w:p>
        </w:tc>
        <w:tc>
          <w:tcPr>
            <w:tcW w:type="dxa" w:w="6236"/>
            <w:vAlign w:val="center"/>
          </w:tcPr>
          <w:p>
            <w:pPr>
              <w:spacing w:after="0"/>
            </w:pPr>
            <w:r/>
            <w:r>
              <w:rPr>
                <w:b w:val="0"/>
                <w:sz w:val="16"/>
              </w:rPr>
              <w:t>环境斜率GLS、协方差和秩调整Q检验</w:t>
            </w:r>
          </w:p>
        </w:tc>
      </w:tr>
      <w:tr>
        <w:tc>
          <w:tcPr>
            <w:tcW w:type="dxa" w:w="3118"/>
            <w:vAlign w:val="center"/>
            <w:shd w:fill="F7FAFB"/>
          </w:tcPr>
          <w:p>
            <w:pPr>
              <w:spacing w:after="0"/>
            </w:pPr>
            <w:r/>
            <w:r>
              <w:rPr>
                <w:b w:val="0"/>
                <w:sz w:val="16"/>
              </w:rPr>
              <w:t>src/plant_mr/cli.py</w:t>
            </w:r>
          </w:p>
        </w:tc>
        <w:tc>
          <w:tcPr>
            <w:tcW w:type="dxa" w:w="6236"/>
            <w:vAlign w:val="center"/>
            <w:shd w:fill="F7FAFB"/>
          </w:tcPr>
          <w:p>
            <w:pPr>
              <w:spacing w:after="0"/>
            </w:pPr>
            <w:r/>
            <w:r>
              <w:rPr>
                <w:b w:val="0"/>
                <w:sz w:val="16"/>
              </w:rPr>
              <w:t>validate、run、run-stratified、run-gxe命令</w:t>
            </w:r>
          </w:p>
        </w:tc>
      </w:tr>
      <w:tr>
        <w:tc>
          <w:tcPr>
            <w:tcW w:type="dxa" w:w="3118"/>
            <w:vAlign w:val="center"/>
          </w:tcPr>
          <w:p>
            <w:pPr>
              <w:spacing w:after="0"/>
            </w:pPr>
            <w:r/>
            <w:r>
              <w:rPr>
                <w:b w:val="0"/>
                <w:sz w:val="16"/>
              </w:rPr>
              <w:t>scripts/run_gxe_simulation.py</w:t>
            </w:r>
          </w:p>
        </w:tc>
        <w:tc>
          <w:tcPr>
            <w:tcW w:type="dxa" w:w="6236"/>
            <w:vAlign w:val="center"/>
          </w:tcPr>
          <w:p>
            <w:pPr>
              <w:spacing w:after="0"/>
            </w:pPr>
            <w:r/>
            <w:r>
              <w:rPr>
                <w:b w:val="0"/>
                <w:sz w:val="16"/>
              </w:rPr>
              <w:t>基础模拟</w:t>
            </w:r>
          </w:p>
        </w:tc>
      </w:tr>
      <w:tr>
        <w:tc>
          <w:tcPr>
            <w:tcW w:type="dxa" w:w="3118"/>
            <w:vAlign w:val="center"/>
            <w:shd w:fill="F7FAFB"/>
          </w:tcPr>
          <w:p>
            <w:pPr>
              <w:spacing w:after="0"/>
            </w:pPr>
            <w:r/>
            <w:r>
              <w:rPr>
                <w:b w:val="0"/>
                <w:sz w:val="16"/>
              </w:rPr>
              <w:t>scripts/run_gxe_ld_stress.py</w:t>
            </w:r>
          </w:p>
        </w:tc>
        <w:tc>
          <w:tcPr>
            <w:tcW w:type="dxa" w:w="6236"/>
            <w:vAlign w:val="center"/>
            <w:shd w:fill="F7FAFB"/>
          </w:tcPr>
          <w:p>
            <w:pPr>
              <w:spacing w:after="0"/>
            </w:pPr>
            <w:r/>
            <w:r>
              <w:rPr>
                <w:b w:val="0"/>
                <w:sz w:val="16"/>
              </w:rPr>
              <w:t>LD/环境相关压力测试</w:t>
            </w:r>
          </w:p>
        </w:tc>
      </w:tr>
      <w:tr>
        <w:tc>
          <w:tcPr>
            <w:tcW w:type="dxa" w:w="3118"/>
            <w:vAlign w:val="center"/>
          </w:tcPr>
          <w:p>
            <w:pPr>
              <w:spacing w:after="0"/>
            </w:pPr>
            <w:r/>
            <w:r>
              <w:rPr>
                <w:b w:val="0"/>
                <w:sz w:val="16"/>
              </w:rPr>
              <w:t>scripts/benchmark_runtime.py</w:t>
            </w:r>
          </w:p>
        </w:tc>
        <w:tc>
          <w:tcPr>
            <w:tcW w:type="dxa" w:w="6236"/>
            <w:vAlign w:val="center"/>
          </w:tcPr>
          <w:p>
            <w:pPr>
              <w:spacing w:after="0"/>
            </w:pPr>
            <w:r/>
            <w:r>
              <w:rPr>
                <w:b w:val="0"/>
                <w:sz w:val="16"/>
              </w:rPr>
              <w:t>运行时间和峰值RSS</w:t>
            </w:r>
          </w:p>
        </w:tc>
      </w:tr>
    </w:tbl>
    <w:p>
      <w:pPr>
        <w:spacing w:after="0"/>
      </w:pPr>
    </w:p>
    <w:p>
      <w:pPr>
        <w:pStyle w:val="Heading2"/>
      </w:pPr>
      <w:r>
        <w:t>8.1 最小复现命令</w:t>
      </w:r>
    </w:p>
    <w:p>
      <w:pPr>
        <w:spacing w:after="60"/>
        <w:ind w:left="283"/>
      </w:pPr>
      <w:r>
        <w:rPr>
          <w:rFonts w:ascii="Consolas" w:hAnsi="Consolas"/>
          <w:sz w:val="17"/>
        </w:rPr>
        <w:t>python -m pip install --no-deps -e .</w:t>
      </w:r>
    </w:p>
    <w:p>
      <w:pPr>
        <w:spacing w:after="60"/>
        <w:ind w:left="283"/>
      </w:pPr>
      <w:r>
        <w:rPr>
          <w:rFonts w:ascii="Consolas" w:hAnsi="Consolas"/>
          <w:sz w:val="17"/>
        </w:rPr>
        <w:t>plantmr validate --exposure examples/synthetic/exposure.tsv --outcome examples/synthetic/outcome.tsv --metadata examples/synthetic/metadata.json</w:t>
      </w:r>
    </w:p>
    <w:p>
      <w:pPr>
        <w:spacing w:after="60"/>
        <w:ind w:left="283"/>
      </w:pPr>
      <w:r>
        <w:rPr>
          <w:rFonts w:ascii="Consolas" w:hAnsi="Consolas"/>
          <w:sz w:val="17"/>
        </w:rPr>
        <w:t>plantmr run-gxe --exposure examples/synthetic/environment_exposure.tsv --outcome examples/synthetic/environment_outcome.tsv --metadata examples/synthetic/environment_metadata.json --outdir gxe_result</w:t>
      </w:r>
    </w:p>
    <w:p>
      <w:pPr>
        <w:spacing w:after="60"/>
        <w:ind w:left="283"/>
      </w:pPr>
      <w:r>
        <w:rPr>
          <w:rFonts w:ascii="Consolas" w:hAnsi="Consolas"/>
          <w:sz w:val="17"/>
        </w:rPr>
        <w:t>pytest -q</w:t>
      </w:r>
    </w:p>
    <w:p>
      <w:pPr>
        <w:spacing w:after="60"/>
        <w:ind w:left="283"/>
      </w:pPr>
      <w:r>
        <w:rPr>
          <w:rFonts w:ascii="Consolas" w:hAnsi="Consolas"/>
          <w:sz w:val="17"/>
        </w:rPr>
        <w:t>python scripts/run_gxe_simulation.py --reps 500 --outdir results/benchmarks/gxe_simulation</w:t>
      </w:r>
    </w:p>
    <w:p>
      <w:pPr>
        <w:spacing w:after="60"/>
        <w:ind w:left="283"/>
      </w:pPr>
      <w:r>
        <w:rPr>
          <w:rFonts w:ascii="Consolas" w:hAnsi="Consolas"/>
          <w:sz w:val="17"/>
        </w:rPr>
        <w:t>python scripts/run_gxe_ld_stress.py --reps 500 --outdir results/benchmarks/gxe_ld_stress</w:t>
      </w:r>
    </w:p>
    <w:p>
      <w:pPr>
        <w:spacing w:line="276" w:lineRule="auto" w:after="120"/>
      </w:pPr>
      <w:r>
        <w:t>验证主机上，普通验证约9.7秒，合成GxE约9.8秒，Arabidopsis真实案例约9.9秒，峰值RSS约123–131MB。容器构建在当前主机未完成，因为没有可用Docker/Podman运行时。</w:t>
      </w:r>
    </w:p>
    <w:p>
      <w:pPr>
        <w:pStyle w:val="Heading1"/>
      </w:pPr>
      <w:r>
        <w:t>九、当前不能声称的内容</w:t>
      </w:r>
    </w:p>
    <w:tbl>
      <w:tblPr>
        <w:tblStyle w:val="TableGrid"/>
        <w:tblW w:type="auto" w:w="0"/>
        <w:jc w:val="center"/>
        <w:tblLook w:firstColumn="1" w:firstRow="1" w:lastColumn="0" w:lastRow="0" w:noHBand="0" w:noVBand="1" w:val="04A0"/>
      </w:tblPr>
      <w:tblGrid>
        <w:gridCol w:w="4929"/>
        <w:gridCol w:w="4929"/>
      </w:tblGrid>
      <w:tr>
        <w:tc>
          <w:tcPr>
            <w:tcW w:type="dxa" w:w="3969"/>
            <w:vAlign w:val="center"/>
            <w:shd w:fill="17365D"/>
          </w:tcPr>
          <w:p>
            <w:pPr>
              <w:spacing w:after="0"/>
            </w:pPr>
            <w:r/>
            <w:r>
              <w:rPr>
                <w:b/>
                <w:color w:val="FFFFFF"/>
                <w:sz w:val="17"/>
              </w:rPr>
              <w:t>不能这样写</w:t>
            </w:r>
          </w:p>
        </w:tc>
        <w:tc>
          <w:tcPr>
            <w:tcW w:type="dxa" w:w="5669"/>
            <w:vAlign w:val="center"/>
            <w:shd w:fill="17365D"/>
          </w:tcPr>
          <w:p>
            <w:pPr>
              <w:spacing w:after="0"/>
            </w:pPr>
            <w:r/>
            <w:r>
              <w:rPr>
                <w:b/>
                <w:color w:val="FFFFFF"/>
                <w:sz w:val="17"/>
              </w:rPr>
              <w:t>应该这样写</w:t>
            </w:r>
          </w:p>
        </w:tc>
      </w:tr>
      <w:tr>
        <w:tc>
          <w:tcPr>
            <w:tcW w:type="dxa" w:w="3969"/>
            <w:vAlign w:val="center"/>
          </w:tcPr>
          <w:p>
            <w:pPr>
              <w:spacing w:after="0"/>
            </w:pPr>
            <w:r/>
            <w:r>
              <w:rPr>
                <w:b w:val="0"/>
                <w:sz w:val="17"/>
              </w:rPr>
              <w:t>PlantMR首次提出环境交互MR</w:t>
            </w:r>
          </w:p>
        </w:tc>
        <w:tc>
          <w:tcPr>
            <w:tcW w:type="dxa" w:w="5669"/>
            <w:vAlign w:val="center"/>
          </w:tcPr>
          <w:p>
            <w:pPr>
              <w:spacing w:after="0"/>
            </w:pPr>
            <w:r/>
            <w:r>
              <w:rPr>
                <w:b w:val="0"/>
                <w:sz w:val="17"/>
              </w:rPr>
              <w:t>PlantMR提供植物数据契约和环境效应异质性实现；已有MR-GxE等相关方法</w:t>
            </w:r>
          </w:p>
        </w:tc>
      </w:tr>
      <w:tr>
        <w:tc>
          <w:tcPr>
            <w:tcW w:type="dxa" w:w="3969"/>
            <w:vAlign w:val="center"/>
            <w:shd w:fill="F7FAFB"/>
          </w:tcPr>
          <w:p>
            <w:pPr>
              <w:spacing w:after="0"/>
            </w:pPr>
            <w:r/>
            <w:r>
              <w:rPr>
                <w:b w:val="0"/>
                <w:sz w:val="17"/>
              </w:rPr>
              <w:t>AT1G11560已被证明为因果基因</w:t>
            </w:r>
          </w:p>
        </w:tc>
        <w:tc>
          <w:tcPr>
            <w:tcW w:type="dxa" w:w="5669"/>
            <w:vAlign w:val="center"/>
            <w:shd w:fill="F7FAFB"/>
          </w:tcPr>
          <w:p>
            <w:pPr>
              <w:spacing w:after="0"/>
            </w:pPr>
            <w:r/>
            <w:r>
              <w:rPr>
                <w:b w:val="0"/>
                <w:sz w:val="17"/>
              </w:rPr>
              <w:t>AT1G11560案例用于展示真实数据契约和审计流程，不能作为独立因果验证</w:t>
            </w:r>
          </w:p>
        </w:tc>
      </w:tr>
      <w:tr>
        <w:tc>
          <w:tcPr>
            <w:tcW w:type="dxa" w:w="3969"/>
            <w:vAlign w:val="center"/>
          </w:tcPr>
          <w:p>
            <w:pPr>
              <w:spacing w:after="0"/>
            </w:pPr>
            <w:r/>
            <w:r>
              <w:rPr>
                <w:b w:val="0"/>
                <w:sz w:val="17"/>
              </w:rPr>
              <w:t>PlantMR消除了水平多效性</w:t>
            </w:r>
          </w:p>
        </w:tc>
        <w:tc>
          <w:tcPr>
            <w:tcW w:type="dxa" w:w="5669"/>
            <w:vAlign w:val="center"/>
          </w:tcPr>
          <w:p>
            <w:pPr>
              <w:spacing w:after="0"/>
            </w:pPr>
            <w:r/>
            <w:r>
              <w:rPr>
                <w:b w:val="0"/>
                <w:sz w:val="17"/>
              </w:rPr>
              <w:t>方向性多效性模拟显示截距仍会偏差，模型不自动修复多效性</w:t>
            </w:r>
          </w:p>
        </w:tc>
      </w:tr>
      <w:tr>
        <w:tc>
          <w:tcPr>
            <w:tcW w:type="dxa" w:w="3969"/>
            <w:vAlign w:val="center"/>
            <w:shd w:fill="F7FAFB"/>
          </w:tcPr>
          <w:p>
            <w:pPr>
              <w:spacing w:after="0"/>
            </w:pPr>
            <w:r/>
            <w:r>
              <w:rPr>
                <w:b w:val="0"/>
                <w:sz w:val="17"/>
              </w:rPr>
              <w:t>环境斜率就是环境处理的因果效应</w:t>
            </w:r>
          </w:p>
        </w:tc>
        <w:tc>
          <w:tcPr>
            <w:tcW w:type="dxa" w:w="5669"/>
            <w:vAlign w:val="center"/>
            <w:shd w:fill="F7FAFB"/>
          </w:tcPr>
          <w:p>
            <w:pPr>
              <w:spacing w:after="0"/>
            </w:pPr>
            <w:r/>
            <w:r>
              <w:rPr>
                <w:b w:val="0"/>
                <w:sz w:val="17"/>
              </w:rPr>
              <w:t>环境斜率表示预设环境分数下遗传预测暴露效应的变化</w:t>
            </w:r>
          </w:p>
        </w:tc>
      </w:tr>
      <w:tr>
        <w:tc>
          <w:tcPr>
            <w:tcW w:type="dxa" w:w="3969"/>
            <w:vAlign w:val="center"/>
          </w:tcPr>
          <w:p>
            <w:pPr>
              <w:spacing w:after="0"/>
            </w:pPr>
            <w:r/>
            <w:r>
              <w:rPr>
                <w:b w:val="0"/>
                <w:sz w:val="17"/>
              </w:rPr>
              <w:t>玉米97个候选基因是本研究新发现</w:t>
            </w:r>
          </w:p>
        </w:tc>
        <w:tc>
          <w:tcPr>
            <w:tcW w:type="dxa" w:w="5669"/>
            <w:vAlign w:val="center"/>
          </w:tcPr>
          <w:p>
            <w:pPr>
              <w:spacing w:after="0"/>
            </w:pPr>
            <w:r/>
            <w:r>
              <w:rPr>
                <w:b w:val="0"/>
                <w:sz w:val="17"/>
              </w:rPr>
              <w:t>玉米补充表用于原研究候选清单和数据链审计</w:t>
            </w:r>
          </w:p>
        </w:tc>
      </w:tr>
      <w:tr>
        <w:tc>
          <w:tcPr>
            <w:tcW w:type="dxa" w:w="3969"/>
            <w:vAlign w:val="center"/>
            <w:shd w:fill="F7FAFB"/>
          </w:tcPr>
          <w:p>
            <w:pPr>
              <w:spacing w:after="0"/>
            </w:pPr>
            <w:r/>
            <w:r>
              <w:rPr>
                <w:b w:val="0"/>
                <w:sz w:val="17"/>
              </w:rPr>
              <w:t>独立IVW结果就是主结果</w:t>
            </w:r>
          </w:p>
        </w:tc>
        <w:tc>
          <w:tcPr>
            <w:tcW w:type="dxa" w:w="5669"/>
            <w:vAlign w:val="center"/>
            <w:shd w:fill="F7FAFB"/>
          </w:tcPr>
          <w:p>
            <w:pPr>
              <w:spacing w:after="0"/>
            </w:pPr>
            <w:r/>
            <w:r>
              <w:rPr>
                <w:b w:val="0"/>
                <w:sz w:val="17"/>
              </w:rPr>
              <w:t>局部LD下独立IVW仅作为比较，主结果使用LD协方差</w:t>
            </w:r>
          </w:p>
        </w:tc>
      </w:tr>
    </w:tbl>
    <w:p>
      <w:pPr>
        <w:spacing w:after="0"/>
      </w:pPr>
    </w:p>
    <w:p>
      <w:pPr>
        <w:pStyle w:val="Heading1"/>
      </w:pPr>
      <w:r>
        <w:t>十、投稿期刊建议</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7365D"/>
          </w:tcPr>
          <w:p>
            <w:pPr>
              <w:spacing w:after="0"/>
            </w:pPr>
            <w:r/>
            <w:r>
              <w:rPr>
                <w:b/>
                <w:color w:val="FFFFFF"/>
                <w:sz w:val="16"/>
              </w:rPr>
              <w:t>期刊</w:t>
            </w:r>
          </w:p>
        </w:tc>
        <w:tc>
          <w:tcPr>
            <w:tcW w:type="dxa" w:w="1701"/>
            <w:vAlign w:val="center"/>
            <w:shd w:fill="17365D"/>
          </w:tcPr>
          <w:p>
            <w:pPr>
              <w:spacing w:after="0"/>
            </w:pPr>
            <w:r/>
            <w:r>
              <w:rPr>
                <w:b/>
                <w:color w:val="FFFFFF"/>
                <w:sz w:val="16"/>
              </w:rPr>
              <w:t>匹配度</w:t>
            </w:r>
          </w:p>
        </w:tc>
        <w:tc>
          <w:tcPr>
            <w:tcW w:type="dxa" w:w="5669"/>
            <w:vAlign w:val="center"/>
            <w:shd w:fill="17365D"/>
          </w:tcPr>
          <w:p>
            <w:pPr>
              <w:spacing w:after="0"/>
            </w:pPr>
            <w:r/>
            <w:r>
              <w:rPr>
                <w:b/>
                <w:color w:val="FFFFFF"/>
                <w:sz w:val="16"/>
              </w:rPr>
              <w:t>建议</w:t>
            </w:r>
          </w:p>
        </w:tc>
      </w:tr>
      <w:tr>
        <w:tc>
          <w:tcPr>
            <w:tcW w:type="dxa" w:w="2268"/>
            <w:vAlign w:val="center"/>
          </w:tcPr>
          <w:p>
            <w:pPr>
              <w:spacing w:after="0"/>
            </w:pPr>
            <w:r/>
            <w:r>
              <w:rPr>
                <w:b w:val="0"/>
                <w:sz w:val="16"/>
              </w:rPr>
              <w:t>Plant Methods</w:t>
            </w:r>
          </w:p>
        </w:tc>
        <w:tc>
          <w:tcPr>
            <w:tcW w:type="dxa" w:w="1701"/>
            <w:vAlign w:val="center"/>
          </w:tcPr>
          <w:p>
            <w:pPr>
              <w:spacing w:after="0"/>
            </w:pPr>
            <w:r/>
            <w:r>
              <w:rPr>
                <w:b w:val="0"/>
                <w:sz w:val="16"/>
              </w:rPr>
              <w:t>高</w:t>
            </w:r>
          </w:p>
        </w:tc>
        <w:tc>
          <w:tcPr>
            <w:tcW w:type="dxa" w:w="5669"/>
            <w:vAlign w:val="center"/>
          </w:tcPr>
          <w:p>
            <w:pPr>
              <w:spacing w:after="0"/>
            </w:pPr>
            <w:r/>
            <w:r>
              <w:rPr>
                <w:b w:val="0"/>
                <w:sz w:val="16"/>
              </w:rPr>
              <w:t>首选；先做预投稿咨询，完成公开仓库/DOI后正式投稿</w:t>
            </w:r>
          </w:p>
        </w:tc>
      </w:tr>
      <w:tr>
        <w:tc>
          <w:tcPr>
            <w:tcW w:type="dxa" w:w="2268"/>
            <w:vAlign w:val="center"/>
            <w:shd w:fill="F7FAFB"/>
          </w:tcPr>
          <w:p>
            <w:pPr>
              <w:spacing w:after="0"/>
            </w:pPr>
            <w:r/>
            <w:r>
              <w:rPr>
                <w:b w:val="0"/>
                <w:sz w:val="16"/>
              </w:rPr>
              <w:t>BMC Bioinformatics</w:t>
            </w:r>
          </w:p>
        </w:tc>
        <w:tc>
          <w:tcPr>
            <w:tcW w:type="dxa" w:w="1701"/>
            <w:vAlign w:val="center"/>
            <w:shd w:fill="F7FAFB"/>
          </w:tcPr>
          <w:p>
            <w:pPr>
              <w:spacing w:after="0"/>
            </w:pPr>
            <w:r/>
            <w:r>
              <w:rPr>
                <w:b w:val="0"/>
                <w:sz w:val="16"/>
              </w:rPr>
              <w:t>中高</w:t>
            </w:r>
          </w:p>
        </w:tc>
        <w:tc>
          <w:tcPr>
            <w:tcW w:type="dxa" w:w="5669"/>
            <w:vAlign w:val="center"/>
            <w:shd w:fill="F7FAFB"/>
          </w:tcPr>
          <w:p>
            <w:pPr>
              <w:spacing w:after="0"/>
            </w:pPr>
            <w:r/>
            <w:r>
              <w:rPr>
                <w:b w:val="0"/>
                <w:sz w:val="16"/>
              </w:rPr>
              <w:t>补MR-GxE/MR-GENIUS/MR-EILLS实现级比较后考虑</w:t>
            </w:r>
          </w:p>
        </w:tc>
      </w:tr>
      <w:tr>
        <w:tc>
          <w:tcPr>
            <w:tcW w:type="dxa" w:w="2268"/>
            <w:vAlign w:val="center"/>
          </w:tcPr>
          <w:p>
            <w:pPr>
              <w:spacing w:after="0"/>
            </w:pPr>
            <w:r/>
            <w:r>
              <w:rPr>
                <w:b w:val="0"/>
                <w:sz w:val="16"/>
              </w:rPr>
              <w:t>GigaScience</w:t>
            </w:r>
          </w:p>
        </w:tc>
        <w:tc>
          <w:tcPr>
            <w:tcW w:type="dxa" w:w="1701"/>
            <w:vAlign w:val="center"/>
          </w:tcPr>
          <w:p>
            <w:pPr>
              <w:spacing w:after="0"/>
            </w:pPr>
            <w:r/>
            <w:r>
              <w:rPr>
                <w:b w:val="0"/>
                <w:sz w:val="16"/>
              </w:rPr>
              <w:t>中高</w:t>
            </w:r>
          </w:p>
        </w:tc>
        <w:tc>
          <w:tcPr>
            <w:tcW w:type="dxa" w:w="5669"/>
            <w:vAlign w:val="center"/>
          </w:tcPr>
          <w:p>
            <w:pPr>
              <w:spacing w:after="0"/>
            </w:pPr>
            <w:r/>
            <w:r>
              <w:rPr>
                <w:b w:val="0"/>
                <w:sz w:val="16"/>
              </w:rPr>
              <w:t>把软件、数据、模拟、环境锁和结果做成FAIR研究对象</w:t>
            </w:r>
          </w:p>
        </w:tc>
      </w:tr>
      <w:tr>
        <w:tc>
          <w:tcPr>
            <w:tcW w:type="dxa" w:w="2268"/>
            <w:vAlign w:val="center"/>
            <w:shd w:fill="F7FAFB"/>
          </w:tcPr>
          <w:p>
            <w:pPr>
              <w:spacing w:after="0"/>
            </w:pPr>
            <w:r/>
            <w:r>
              <w:rPr>
                <w:b w:val="0"/>
                <w:sz w:val="16"/>
              </w:rPr>
              <w:t>Plant Communications</w:t>
            </w:r>
          </w:p>
        </w:tc>
        <w:tc>
          <w:tcPr>
            <w:tcW w:type="dxa" w:w="1701"/>
            <w:vAlign w:val="center"/>
            <w:shd w:fill="F7FAFB"/>
          </w:tcPr>
          <w:p>
            <w:pPr>
              <w:spacing w:after="0"/>
            </w:pPr>
            <w:r/>
            <w:r>
              <w:rPr>
                <w:b w:val="0"/>
                <w:sz w:val="16"/>
              </w:rPr>
              <w:t>中</w:t>
            </w:r>
          </w:p>
        </w:tc>
        <w:tc>
          <w:tcPr>
            <w:tcW w:type="dxa" w:w="5669"/>
            <w:vAlign w:val="center"/>
            <w:shd w:fill="F7FAFB"/>
          </w:tcPr>
          <w:p>
            <w:pPr>
              <w:spacing w:after="0"/>
            </w:pPr>
            <w:r/>
            <w:r>
              <w:rPr>
                <w:b w:val="0"/>
                <w:sz w:val="16"/>
              </w:rPr>
              <w:t>需要更强的植物生物学问题和独立验证</w:t>
            </w:r>
          </w:p>
        </w:tc>
      </w:tr>
      <w:tr>
        <w:tc>
          <w:tcPr>
            <w:tcW w:type="dxa" w:w="2268"/>
            <w:vAlign w:val="center"/>
          </w:tcPr>
          <w:p>
            <w:pPr>
              <w:spacing w:after="0"/>
            </w:pPr>
            <w:r/>
            <w:r>
              <w:rPr>
                <w:b w:val="0"/>
                <w:sz w:val="16"/>
              </w:rPr>
              <w:t>PLOS Computational Biology</w:t>
            </w:r>
          </w:p>
        </w:tc>
        <w:tc>
          <w:tcPr>
            <w:tcW w:type="dxa" w:w="1701"/>
            <w:vAlign w:val="center"/>
          </w:tcPr>
          <w:p>
            <w:pPr>
              <w:spacing w:after="0"/>
            </w:pPr>
            <w:r/>
            <w:r>
              <w:rPr>
                <w:b w:val="0"/>
                <w:sz w:val="16"/>
              </w:rPr>
              <w:t>目前偏低</w:t>
            </w:r>
          </w:p>
        </w:tc>
        <w:tc>
          <w:tcPr>
            <w:tcW w:type="dxa" w:w="5669"/>
            <w:vAlign w:val="center"/>
          </w:tcPr>
          <w:p>
            <w:pPr>
              <w:spacing w:after="0"/>
            </w:pPr>
            <w:r/>
            <w:r>
              <w:rPr>
                <w:b w:val="0"/>
                <w:sz w:val="16"/>
              </w:rPr>
              <w:t>需要更强算法创新、广泛比较和生物学洞见</w:t>
            </w:r>
          </w:p>
        </w:tc>
      </w:tr>
      <w:tr>
        <w:tc>
          <w:tcPr>
            <w:tcW w:type="dxa" w:w="2268"/>
            <w:vAlign w:val="center"/>
            <w:shd w:fill="F7FAFB"/>
          </w:tcPr>
          <w:p>
            <w:pPr>
              <w:spacing w:after="0"/>
            </w:pPr>
            <w:r/>
            <w:r>
              <w:rPr>
                <w:b w:val="0"/>
                <w:sz w:val="16"/>
              </w:rPr>
              <w:t>Bioinformatics</w:t>
            </w:r>
          </w:p>
        </w:tc>
        <w:tc>
          <w:tcPr>
            <w:tcW w:type="dxa" w:w="1701"/>
            <w:vAlign w:val="center"/>
            <w:shd w:fill="F7FAFB"/>
          </w:tcPr>
          <w:p>
            <w:pPr>
              <w:spacing w:after="0"/>
            </w:pPr>
            <w:r/>
            <w:r>
              <w:rPr>
                <w:b w:val="0"/>
                <w:sz w:val="16"/>
              </w:rPr>
              <w:t>目前偏低</w:t>
            </w:r>
          </w:p>
        </w:tc>
        <w:tc>
          <w:tcPr>
            <w:tcW w:type="dxa" w:w="5669"/>
            <w:vAlign w:val="center"/>
            <w:shd w:fill="F7FAFB"/>
          </w:tcPr>
          <w:p>
            <w:pPr>
              <w:spacing w:after="0"/>
            </w:pPr>
            <w:r/>
            <w:r>
              <w:rPr>
                <w:b w:val="0"/>
                <w:sz w:val="16"/>
              </w:rPr>
              <w:t>需要更强算法/规模化基准和直接工具比较</w:t>
            </w:r>
          </w:p>
        </w:tc>
      </w:tr>
      <w:tr>
        <w:tc>
          <w:tcPr>
            <w:tcW w:type="dxa" w:w="2268"/>
            <w:vAlign w:val="center"/>
          </w:tcPr>
          <w:p>
            <w:pPr>
              <w:spacing w:after="0"/>
            </w:pPr>
            <w:r/>
            <w:r>
              <w:rPr>
                <w:b w:val="0"/>
                <w:sz w:val="16"/>
              </w:rPr>
              <w:t>Nature Methods/Communications Biology</w:t>
            </w:r>
          </w:p>
        </w:tc>
        <w:tc>
          <w:tcPr>
            <w:tcW w:type="dxa" w:w="1701"/>
            <w:vAlign w:val="center"/>
          </w:tcPr>
          <w:p>
            <w:pPr>
              <w:spacing w:after="0"/>
            </w:pPr>
            <w:r/>
            <w:r>
              <w:rPr>
                <w:b w:val="0"/>
                <w:sz w:val="16"/>
              </w:rPr>
              <w:t>暂不建议</w:t>
            </w:r>
          </w:p>
        </w:tc>
        <w:tc>
          <w:tcPr>
            <w:tcW w:type="dxa" w:w="5669"/>
            <w:vAlign w:val="center"/>
          </w:tcPr>
          <w:p>
            <w:pPr>
              <w:spacing w:after="0"/>
            </w:pPr>
            <w:r/>
            <w:r>
              <w:rPr>
                <w:b w:val="0"/>
                <w:sz w:val="16"/>
              </w:rPr>
              <w:t>当前创新和独立生物学验证不足</w:t>
            </w:r>
          </w:p>
        </w:tc>
      </w:tr>
    </w:tbl>
    <w:p>
      <w:pPr>
        <w:spacing w:after="0"/>
      </w:pPr>
    </w:p>
    <w:p>
      <w:pPr>
        <w:spacing w:line="276" w:lineRule="auto" w:after="120"/>
      </w:pPr>
      <w:r>
        <w:t>当前最稳妥的路线是：先向Plant Methods做预投稿咨询；完成公开代码仓库、Zenodo DOI、干净环境复现和作者信息后正式投稿。</w:t>
      </w:r>
    </w:p>
    <w:p>
      <w:pPr>
        <w:pStyle w:val="Heading1"/>
      </w:pPr>
      <w:r>
        <w:t>十一、下一步投稿前Gate</w:t>
      </w:r>
    </w:p>
    <w:p>
      <w:pPr>
        <w:pStyle w:val="ListNumber"/>
        <w:spacing w:after="40"/>
      </w:pPr>
      <w:r>
        <w:t>把本地仓库推送到公开GitHub或GitLab，保持v1.1.0和v1.1.0-paper标签不变。</w:t>
      </w:r>
    </w:p>
    <w:p>
      <w:pPr>
        <w:pStyle w:val="ListNumber"/>
        <w:spacing w:after="40"/>
      </w:pPr>
      <w:r>
        <w:t>通过Zenodo或等价服务生成DOI，并把DOI写入论文Code availability。</w:t>
      </w:r>
    </w:p>
    <w:p>
      <w:pPr>
        <w:pStyle w:val="ListNumber"/>
        <w:spacing w:after="40"/>
      </w:pPr>
      <w:r>
        <w:t>在干净Python环境或容器中重跑23个测试、合成demo、基础模拟和LD压力测试。</w:t>
      </w:r>
    </w:p>
    <w:p>
      <w:pPr>
        <w:pStyle w:val="ListNumber"/>
        <w:spacing w:after="40"/>
      </w:pPr>
      <w:r>
        <w:t>邀请不了解项目的合作者独立安装和运行demo，记录遇到的问题。</w:t>
      </w:r>
    </w:p>
    <w:p>
      <w:pPr>
        <w:pStyle w:val="ListNumber"/>
        <w:spacing w:after="40"/>
      </w:pPr>
      <w:r>
        <w:t>补齐作者、基金、贡献、利益冲突、通讯作者和目标期刊格式。</w:t>
      </w:r>
    </w:p>
    <w:p>
      <w:pPr>
        <w:pStyle w:val="ListNumber"/>
        <w:spacing w:after="40"/>
      </w:pPr>
      <w:r>
        <w:t>如果改投生物学应用论文，再补正式LMM摘要统计、样本重叠协方差、独立验证、共定位/HEIDI和功能实验。</w:t>
      </w:r>
    </w:p>
    <w:tbl>
      <w:tblPr>
        <w:tblW w:type="auto" w:w="0"/>
        <w:jc w:val="center"/>
        <w:tblLook w:firstColumn="1" w:firstRow="1" w:lastColumn="0" w:lastRow="0" w:noHBand="0" w:noVBand="1" w:val="04A0"/>
      </w:tblPr>
      <w:tblGrid>
        <w:gridCol w:w="9858"/>
      </w:tblGrid>
      <w:tr>
        <w:tc>
          <w:tcPr>
            <w:tcW w:type="dxa" w:w="9858"/>
            <w:shd w:fill="FFF2CC"/>
            <w:tcBorders>
              <w:top w:val="single" w:sz="8" w:color="0F6B78"/>
              <w:left w:val="single" w:sz="8" w:color="0F6B78"/>
              <w:bottom w:val="single" w:sz="8" w:color="0F6B78"/>
              <w:right w:val="single" w:sz="8" w:color="0F6B78"/>
            </w:tcBorders>
          </w:tcPr>
          <w:p>
            <w:r/>
            <w:r>
              <w:rPr>
                <w:b/>
                <w:color w:val="0F6B78"/>
                <w:sz w:val="20"/>
              </w:rPr>
              <w:t>投稿安全线</w:t>
              <w:br/>
            </w:r>
            <w:r>
              <w:rPr>
                <w:sz w:val="19"/>
              </w:rPr>
              <w:t>软件/方法论文可以在公开仓库和独立复现补齐后投稿；生物学因果论文不能仅凭当前Arabidopsis案例投稿。</w:t>
            </w:r>
          </w:p>
        </w:tc>
      </w:tr>
    </w:tbl>
    <w:p>
      <w:pPr>
        <w:spacing w:after="0"/>
      </w:pPr>
    </w:p>
    <w:p>
      <w:pPr>
        <w:pStyle w:val="Heading1"/>
      </w:pPr>
      <w:r>
        <w:t>十二、参考资料与项目文件</w:t>
      </w:r>
    </w:p>
    <w:p>
      <w:pPr>
        <w:ind w:left="227" w:hanging="227"/>
      </w:pPr>
      <w:r>
        <w:t>[1] MRBIGR植物多组学MR工具：</w:t>
      </w:r>
      <w:hyperlink r:id="rId12">
        <w:r>
          <w:rPr>
            <w:color w:val="0563C1"/>
            <w:u w:val="single"/>
          </w:rPr>
          <w:t>https://doi.org/10.1016/j.xplc.2024.101197</w:t>
        </w:r>
      </w:hyperlink>
    </w:p>
    <w:p>
      <w:pPr>
        <w:ind w:left="227" w:hanging="227"/>
      </w:pPr>
      <w:r>
        <w:t>[2] 玉米干旱eQTL与MR研究：</w:t>
      </w:r>
      <w:hyperlink r:id="rId13">
        <w:r>
          <w:rPr>
            <w:color w:val="0563C1"/>
            <w:u w:val="single"/>
          </w:rPr>
          <w:t>https://doi.org/10.1186/s13059-020-02069-1</w:t>
        </w:r>
      </w:hyperlink>
    </w:p>
    <w:p>
      <w:pPr>
        <w:ind w:left="227" w:hanging="227"/>
      </w:pPr>
      <w:r>
        <w:t>[3] MR-GxE：</w:t>
      </w:r>
      <w:hyperlink r:id="rId14">
        <w:r>
          <w:rPr>
            <w:color w:val="0563C1"/>
            <w:u w:val="single"/>
          </w:rPr>
          <w:t>https://doi.org/10.1093/ije/dyy204</w:t>
        </w:r>
      </w:hyperlink>
    </w:p>
    <w:p>
      <w:pPr>
        <w:ind w:left="227" w:hanging="227"/>
      </w:pPr>
      <w:r>
        <w:t>[4] MR-GENIUS/interaction-based MR：</w:t>
      </w:r>
      <w:hyperlink r:id="rId15">
        <w:r>
          <w:rPr>
            <w:color w:val="0563C1"/>
            <w:u w:val="single"/>
          </w:rPr>
          <w:t>https://doi.org/10.1371/journal.pone.0271933</w:t>
        </w:r>
      </w:hyperlink>
    </w:p>
    <w:p>
      <w:pPr>
        <w:ind w:left="227" w:hanging="227"/>
      </w:pPr>
      <w:r>
        <w:t>[5] MR-EILLS：</w:t>
      </w:r>
      <w:hyperlink r:id="rId16">
        <w:r>
          <w:rPr>
            <w:color w:val="0563C1"/>
            <w:u w:val="single"/>
          </w:rPr>
          <w:t>https://doi.org/10.1038/s41467-025-62823-6</w:t>
        </w:r>
      </w:hyperlink>
    </w:p>
    <w:p>
      <w:pPr>
        <w:ind w:left="227" w:hanging="227"/>
      </w:pPr>
      <w:r>
        <w:t>[6] Arabidopsis双性状和SMR/HEIDI案例：</w:t>
      </w:r>
      <w:hyperlink r:id="rId17">
        <w:r>
          <w:rPr>
            <w:color w:val="0563C1"/>
            <w:u w:val="single"/>
          </w:rPr>
          <w:t>https://doi.org/10.1038/s41437-024-00688-z</w:t>
        </w:r>
      </w:hyperlink>
    </w:p>
    <w:p>
      <w:pPr>
        <w:ind w:left="227" w:hanging="227"/>
      </w:pPr>
      <w:r>
        <w:t>[7] 1001 Genomes：</w:t>
      </w:r>
      <w:hyperlink r:id="rId18">
        <w:r>
          <w:rPr>
            <w:color w:val="0563C1"/>
            <w:u w:val="single"/>
          </w:rPr>
          <w:t>https://doi.org/10.1016/j.cell.2016.05.063</w:t>
        </w:r>
      </w:hyperlink>
    </w:p>
    <w:p>
      <w:pPr>
        <w:ind w:left="227" w:hanging="227"/>
      </w:pPr>
      <w:r>
        <w:t>[8] STROBE-MR：</w:t>
      </w:r>
      <w:hyperlink r:id="rId19">
        <w:r>
          <w:rPr>
            <w:color w:val="0563C1"/>
            <w:u w:val="single"/>
          </w:rPr>
          <w:t>https://pubmed.ncbi.nlm.nih.gov/34698778/</w:t>
        </w:r>
      </w:hyperlink>
    </w:p>
    <w:p>
      <w:pPr>
        <w:ind w:left="227" w:hanging="227"/>
      </w:pPr>
      <w:r>
        <w:t>[9] Plant Methods范围：</w:t>
      </w:r>
      <w:hyperlink r:id="rId20">
        <w:r>
          <w:rPr>
            <w:color w:val="0563C1"/>
            <w:u w:val="single"/>
          </w:rPr>
          <w:t>https://plantmethods.biomedcentral.com/about</w:t>
        </w:r>
      </w:hyperlink>
    </w:p>
    <w:p>
      <w:pPr>
        <w:ind w:left="227" w:hanging="227"/>
      </w:pPr>
      <w:r>
        <w:t>[10] BMC Bioinformatics软件文章要求：</w:t>
      </w:r>
      <w:hyperlink r:id="rId21">
        <w:r>
          <w:rPr>
            <w:color w:val="0563C1"/>
            <w:u w:val="single"/>
          </w:rPr>
          <w:t>https://link.springer.com/journal/12859/submission-guidelines/software-article</w:t>
        </w:r>
      </w:hyperlink>
    </w:p>
    <w:p>
      <w:pPr>
        <w:ind w:left="227" w:hanging="227"/>
      </w:pPr>
      <w:r>
        <w:t>[11] GigaScience开放科学范围：</w:t>
      </w:r>
      <w:hyperlink r:id="rId22">
        <w:r>
          <w:rPr>
            <w:color w:val="0563C1"/>
            <w:u w:val="single"/>
          </w:rPr>
          <w:t>https://academic.oup.com/gigascience/pages/About</w:t>
        </w:r>
      </w:hyperlink>
    </w:p>
    <w:p>
      <w:pPr>
        <w:ind w:left="227" w:hanging="227"/>
      </w:pPr>
      <w:r>
        <w:t>[12] Nature代码/软件指南：</w:t>
      </w:r>
      <w:hyperlink r:id="rId23">
        <w:r>
          <w:rPr>
            <w:color w:val="0563C1"/>
            <w:u w:val="single"/>
          </w:rPr>
          <w:t>https://media.nature.com/full/nature-cms/documents/GuidelinesCodePublication.pdf</w:t>
        </w:r>
      </w:hyperlink>
    </w:p>
    <w:p>
      <w:pPr>
        <w:spacing w:line="276" w:lineRule="auto" w:after="120"/>
      </w:pPr>
      <w:r>
        <w:t>项目核心文件：docs/manuscript-draft.en.md、docs/journal-recommendation.zh-CN.md、docs/reviewer-risk-audit.zh-CN.md、docs/software-submission-checklist.md、docs/strobe-mr-crosswalk.md。</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PlantMR v1.1.0-paper  |  </w:t>
    </w:r>
    <w:r>
      <w:rPr>
        <w:sz w:val="18"/>
      </w:rPr>
      <w:t xml:space="preserve">第 </w:t>
      <w:fldChar w:fldCharType="begin"/>
      <w:instrText xml:space="preserve"> PAGE </w:instrText>
      <w:fldChar w:fldCharType="end"/>
    </w:r>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PlantMR 研究内容与投稿准备说明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YaHei" w:hAnsi="Microsoft YaHei" w:eastAsia="微软雅黑"/>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YaHei" w:hAnsi="Microsoft YaHei" w:eastAsia="微软雅黑"/>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YaHei" w:hAnsi="Microsoft YaHei" w:eastAsia="微软雅黑"/>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微软雅黑"/>
      <w:sz w:val="20"/>
    </w:rPr>
  </w:style>
  <w:style w:type="paragraph" w:styleId="ListBullet2">
    <w:name w:val="List Bullet 2"/>
    <w:basedOn w:val="Normal"/>
    <w:uiPriority w:val="99"/>
    <w:unhideWhenUsed/>
    <w:rsid w:val="00326F90"/>
    <w:pPr>
      <w:numPr>
        <w:numId w:val="2"/>
      </w:numPr>
      <w:contextualSpacing/>
    </w:pPr>
    <w:rPr>
      <w:rFonts w:ascii="Microsoft YaHei" w:hAnsi="Microsoft YaHei" w:eastAsia="微软雅黑"/>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微软雅黑"/>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j.xplc.2024.101197" TargetMode="External"/><Relationship Id="rId13" Type="http://schemas.openxmlformats.org/officeDocument/2006/relationships/hyperlink" Target="https://doi.org/10.1186/s13059-020-02069-1" TargetMode="External"/><Relationship Id="rId14" Type="http://schemas.openxmlformats.org/officeDocument/2006/relationships/hyperlink" Target="https://doi.org/10.1093/ije/dyy204" TargetMode="External"/><Relationship Id="rId15" Type="http://schemas.openxmlformats.org/officeDocument/2006/relationships/hyperlink" Target="https://doi.org/10.1371/journal.pone.0271933" TargetMode="External"/><Relationship Id="rId16" Type="http://schemas.openxmlformats.org/officeDocument/2006/relationships/hyperlink" Target="https://doi.org/10.1038/s41467-025-62823-6" TargetMode="External"/><Relationship Id="rId17" Type="http://schemas.openxmlformats.org/officeDocument/2006/relationships/hyperlink" Target="https://doi.org/10.1038/s41437-024-00688-z" TargetMode="External"/><Relationship Id="rId18" Type="http://schemas.openxmlformats.org/officeDocument/2006/relationships/hyperlink" Target="https://doi.org/10.1016/j.cell.2016.05.063" TargetMode="External"/><Relationship Id="rId19" Type="http://schemas.openxmlformats.org/officeDocument/2006/relationships/hyperlink" Target="https://pubmed.ncbi.nlm.nih.gov/34698778/" TargetMode="External"/><Relationship Id="rId20" Type="http://schemas.openxmlformats.org/officeDocument/2006/relationships/hyperlink" Target="https://plantmethods.biomedcentral.com/about" TargetMode="External"/><Relationship Id="rId21" Type="http://schemas.openxmlformats.org/officeDocument/2006/relationships/hyperlink" Target="https://link.springer.com/journal/12859/submission-guidelines/software-article" TargetMode="External"/><Relationship Id="rId22" Type="http://schemas.openxmlformats.org/officeDocument/2006/relationships/hyperlink" Target="https://academic.oup.com/gigascience/pages/About" TargetMode="External"/><Relationship Id="rId23" Type="http://schemas.openxmlformats.org/officeDocument/2006/relationships/hyperlink" Target="https://media.nature.com/full/nature-cms/documents/GuidelinesCodePubli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PlantMR研究内容与投稿准备说明</dc:title>
  <dc:subject>植物/作物摘要统计MR与环境效应异质性</dc:subject>
  <dc:creator>PlantMR contributors</dc:creator>
  <cp:keywords>PlantMR, Mendelian randomization, GxE, LD, plant methods</cp:keywords>
  <dc:description>Generated from the verified PlantMR v1.1.0-paper research package.</dc:description>
  <cp:lastModifiedBy/>
  <cp:revision>1</cp:revision>
  <dcterms:created xsi:type="dcterms:W3CDTF">2013-12-23T23:15:00Z</dcterms:created>
  <dcterms:modified xsi:type="dcterms:W3CDTF">2013-12-23T23:15:00Z</dcterms:modified>
  <cp:category/>
</cp:coreProperties>
</file>