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9" w:lineRule="auto" w:after="100"/>
      </w:pPr>
      <w:r>
        <w:t>PlantMR：面向植物和作物、具有环境效应异质性感知能力的可审计摘要统计孟德尔随机化工具包</w:t>
      </w:r>
    </w:p>
    <w:p>
      <w:pPr>
        <w:spacing w:line="269" w:lineRule="auto" w:after="100"/>
      </w:pPr>
      <w:r>
        <w:t>[作者姓名、单位和通讯作者信息待补]</w:t>
      </w:r>
    </w:p>
    <w:p>
      <w:pPr>
        <w:spacing w:line="269" w:lineRule="auto" w:after="100"/>
      </w:pPr>
      <w:r>
        <w:t>中文阅读稿｜PlantMR v1.1.0-paper｜2026年9月19日</w:t>
      </w:r>
    </w:p>
    <w:tbl>
      <w:tblPr>
        <w:tblStyle w:val="TableGrid"/>
        <w:tblW w:type="auto" w:w="0"/>
        <w:jc w:val="center"/>
        <w:tblLook w:firstColumn="1" w:firstRow="1" w:lastColumn="0" w:lastRow="0" w:noHBand="0" w:noVBand="1" w:val="04A0"/>
      </w:tblPr>
      <w:tblGrid>
        <w:gridCol w:w="9972"/>
      </w:tblGrid>
      <w:tr>
        <w:tc>
          <w:tcPr>
            <w:tcW w:type="dxa" w:w="9972"/>
            <w:vAlign w:val="center"/>
            <w:shd w:fill="17365D"/>
          </w:tcPr>
          <w:p>
            <w:pPr>
              <w:spacing w:after="0"/>
            </w:pPr>
            <w:r/>
            <w:r>
              <w:rPr>
                <w:b/>
                <w:color w:val="FFFFFF"/>
                <w:sz w:val="16"/>
              </w:rPr>
              <w:t>稿件说明 本文件是英文投稿手稿的完整中文翻译，科学内容、分析、源数据、模拟和软件版本与英文稿一致。作者信息、公开归档DOI和最终期刊格式仍需在投稿前补充。</w:t>
            </w:r>
          </w:p>
        </w:tc>
      </w:tr>
    </w:tbl>
    <w:p>
      <w:pPr>
        <w:spacing w:after="0"/>
      </w:pPr>
    </w:p>
    <w:p>
      <w:pPr>
        <w:spacing w:before="600"/>
        <w:jc w:val="center"/>
      </w:pPr>
      <w:r>
        <w:rPr>
          <w:b/>
          <w:color w:val="17365D"/>
          <w:sz w:val="38"/>
        </w:rPr>
        <w:t>摘要</w:t>
      </w:r>
    </w:p>
    <w:p>
      <w:pPr>
        <w:jc w:val="center"/>
      </w:pPr>
      <w:r>
        <w:rPr>
          <w:i/>
        </w:rPr>
        <w:t>中文阅读稿｜英文投稿稿的完整翻译，统计结果和引用保持一致</w:t>
      </w:r>
    </w:p>
    <w:p>
      <w:pPr>
        <w:jc w:val="center"/>
      </w:pPr>
      <w:r>
        <w:rPr>
          <w:sz w:val="20"/>
        </w:rPr>
        <w:t>PlantMR v1.1.0-paper</w:t>
      </w:r>
    </w:p>
    <w:p>
      <w:r>
        <w:br w:type="page"/>
      </w:r>
    </w:p>
    <w:p>
      <w:pPr>
        <w:pStyle w:val="Heading2"/>
      </w:pPr>
      <w:r>
        <w:t>背景</w:t>
      </w:r>
    </w:p>
    <w:p>
      <w:pPr>
        <w:spacing w:line="269" w:lineRule="auto" w:after="100"/>
      </w:pPr>
      <w:r>
        <w:t>植物孟德尔随机化（Mendelian randomization，MR）可以把分子性状与农艺表型联系起来，但植物参考基因组组装、环境分层、连锁不平衡（linkage disequilibrium，LD）和样本重叠信息常常没有被明确记录。我们开发了PlantMR 1.1，这是一个本地运行、开源、可审计的植物和作物摘要统计MR工具，同时提供范围明确的环境效应异质性分析。</w:t>
      </w:r>
    </w:p>
    <w:p>
      <w:pPr>
        <w:pStyle w:val="Heading2"/>
      </w:pPr>
      <w:r>
        <w:t>结果</w:t>
      </w:r>
    </w:p>
    <w:p>
      <w:pPr>
        <w:spacing w:line="269" w:lineRule="auto" w:after="100"/>
      </w:pPr>
      <w:r>
        <w:t>PlantMR能够检查植物元数据和摘要统计量、协调等位基因、强制建立完整的SNP×环境工具变量网格、接收带符号的SNP-LD矩阵和环境相关矩阵，并报告考虑矩阵秩的异质性诊断。在每个场景500次重复的模拟中，考虑协方差的估计器在零假设下的拒绝率为0.054，95%覆盖率为0.946；当真实环境斜率为0.25时，平均估计值为0.2498，偏差为−0.00018，覆盖率为0.952，功效为1.00。在AR(1) LD相关系数ρ=0.6的LD压力测试中，正确建模协方差时拒绝率为0.044、覆盖率为0.956，而将观测当作独立时分别为0.126和0.874。真实Arabidopsis数据契约案例针对AT1G11560和10°C、16°C开花时间，最终保留了48个存在LD相关的工具变量。主要分析的环境斜率为−0.0371（SE 0.1562，P=0.812），残余异质性为Q=192.89，df=60，P=7.33×10−16。</w:t>
      </w:r>
    </w:p>
    <w:p>
      <w:pPr>
        <w:pStyle w:val="Heading2"/>
      </w:pPr>
      <w:r>
        <w:t>结论</w:t>
      </w:r>
    </w:p>
    <w:p>
      <w:pPr>
        <w:spacing w:line="269" w:lineRule="auto" w:after="100"/>
      </w:pPr>
      <w:r>
        <w:t>PlantMR提供了一个面向植物的可复现实现和审计工作流。在本研究测试的场景下，模拟结果支持考虑协方差的校准方式；但Arabidopsis案例只是软件演示，并不是独立的因果验证。PlantMR不能替代共定位、正式的交互MR方法、混合模型GWAS或功能验证。</w:t>
      </w:r>
    </w:p>
    <w:p>
      <w:pPr>
        <w:spacing w:line="269" w:lineRule="auto" w:after="100"/>
      </w:pPr>
      <w:r>
        <w:t>关键词：孟德尔随机化；植物基因组学；作物基因组学；基因型—环境互作；表达数量性状位点；连锁不平衡；摘要统计量；可复现性</w:t>
      </w:r>
    </w:p>
    <w:p>
      <w:pPr>
        <w:pStyle w:val="Heading1"/>
      </w:pPr>
      <w:r>
        <w:t>背景</w:t>
      </w:r>
    </w:p>
    <w:p>
      <w:pPr>
        <w:spacing w:line="269" w:lineRule="auto" w:after="100"/>
      </w:pPr>
      <w:r>
        <w:t>孟德尔随机化使用与暴露相关的遗传变异作为工具变量，估计遗传代理暴露对结局的影响。[1,2] 工具变量的相关性、可交换性和排除限制假设是解释结果的基础，但这些假设能否成立，取决于研究群体、表型、分子暴露以及数据生成过程。摘要统计MR可以借助公开的全基因组关联研究（genome-wide association study，GWAS）和MR-Base等平台开展大规模分析，[10] 但摘要关联同样容易受到弱工具变量、水平多效性、LD和样本重叠的影响。[3–9]</w:t>
      </w:r>
    </w:p>
    <w:p>
      <w:pPr>
        <w:spacing w:line="269" w:lineRule="auto" w:after="100"/>
      </w:pPr>
      <w:r>
        <w:t>植物研究还带来一些额外问题。自然群体和育种群体可能具有明显的地理结构和亲缘关系。不同物种、群体和基因组区域的LD衰减速度可能差别很大。基因表达强烈依赖组织、发育阶段和处理条件。多环境试验和胁迫实验经常在多个条件下重复测量相同基因型，因此得到的是相关估计，而不是相互独立的GWAS数据集。多倍体剂量、存在/缺失变异和结构变异还需要不同的数据表示，不能在没有说明的情况下全部转换成普通的双等位基因SNP；近期的Arabidopsis泛基因组研究说明，局部适应和非参考序列变异应当保持明确记录。[35]</w:t>
      </w:r>
    </w:p>
    <w:p>
      <w:pPr>
        <w:spacing w:line="269" w:lineRule="auto" w:after="100"/>
      </w:pPr>
      <w:r>
        <w:t>已有植物软件说明了整合式工作流的价值。MRBIGR提供了面向玉米的大规模多组学、GWAS和MR工具箱。[17] 本研究所参考的玉米干旱研究利用动态eQTL和先导eQTL MR工作流对候选基因进行了优先排序。[18] 植物基因型—环境互作GWAS和多环境荟萃分析方法也表明，环境对比、群体结构和交互项需要联合建模，不能只把环境当作标签处理。[25–27] 在植物研究之外，MR-GxE利用基因—协变量交互来检测或校正恒定多效性假设下的多效性偏倚，[14] 而基于交互的MR研究则区分了MR-GxE和MR-GENIUS，并强调交互强度及模型假设的敏感性。[15] MR-EILLS针对异质GWAS摘要数据中的不变因果效应，并评估了多种MR和荟萃分析比较方法。[16] 这些方法的估计目标不同，不能混为一谈。</w:t>
      </w:r>
    </w:p>
    <w:p>
      <w:pPr>
        <w:spacing w:line="269" w:lineRule="auto" w:after="100"/>
      </w:pPr>
      <w:r>
        <w:t>本文将PlantMR开发为一个面向植物和作物的摘要统计软件及报告工作流。其贡献有意区别于一般交互MR理论：第一，建立明确的植物元数据和摘要统计数据契约；第二，选择完整的SNP×环境工具变量网格；第三，接收带符号的LD和环境相关性输入；第四，报告考虑矩阵秩的异质性诊断；第五，通过模拟和真实Arabidopsis数据契约案例提供可复现的本地实现。我们评估的是校准、LD错配风险和适用边界，而不是声称发现了新的因果基因。</w:t>
      </w:r>
    </w:p>
    <w:p>
      <w:pPr>
        <w:pStyle w:val="Heading1"/>
      </w:pPr>
      <w:r>
        <w:t>实现</w:t>
      </w:r>
    </w:p>
    <w:p>
      <w:pPr>
        <w:pStyle w:val="Heading2"/>
      </w:pPr>
      <w:r>
        <w:t>研究问题和工作流</w:t>
      </w:r>
    </w:p>
    <w:p>
      <w:pPr>
        <w:spacing w:line="269" w:lineRule="auto" w:after="100"/>
      </w:pPr>
      <w:r>
        <w:t>我们预先设定了四个问题：（1）软件能否执行面向植物、可审计的数据契约；（2）在SNP误差和环境误差相关的情况下，考虑协方差的环境斜率估计器能否恢复已知效应；（3）当LD和环境依赖性被错误地当作独立时，推断会恶化到什么程度；（4）同一套审计记录能否在真实植物数据契约上运行，同时避免把演示结果写成因果基因结论？图1将这些问题分成输入来源记录、协调、工具变量筛选、协方差设定、估计和报告几个阶段。</w:t>
      </w:r>
    </w:p>
    <w:p>
      <w:r>
        <w:drawing>
          <wp:inline xmlns:a="http://schemas.openxmlformats.org/drawingml/2006/main" xmlns:pic="http://schemas.openxmlformats.org/drawingml/2006/picture">
            <wp:extent cx="5806440" cy="2846196"/>
            <wp:docPr id="1" name="Picture 1"/>
            <wp:cNvGraphicFramePr>
              <a:graphicFrameLocks noChangeAspect="1"/>
            </wp:cNvGraphicFramePr>
            <a:graphic>
              <a:graphicData uri="http://schemas.openxmlformats.org/drawingml/2006/picture">
                <pic:pic>
                  <pic:nvPicPr>
                    <pic:cNvPr id="0" name="plantmr_workflow.png"/>
                    <pic:cNvPicPr/>
                  </pic:nvPicPr>
                  <pic:blipFill>
                    <a:blip r:embed="rId11"/>
                    <a:stretch>
                      <a:fillRect/>
                    </a:stretch>
                  </pic:blipFill>
                  <pic:spPr>
                    <a:xfrm>
                      <a:off x="0" y="0"/>
                      <a:ext cx="5806440" cy="2846196"/>
                    </a:xfrm>
                    <a:prstGeom prst="rect"/>
                  </pic:spPr>
                </pic:pic>
              </a:graphicData>
            </a:graphic>
          </wp:inline>
        </w:drawing>
      </w:r>
    </w:p>
    <w:p>
      <w:pPr>
        <w:spacing w:line="269" w:lineRule="auto" w:after="100"/>
      </w:pPr>
      <w:r>
        <w:t>图1。PlantMR工作流示意图。植物材料背景和重复环境测量进入共同的SNP×环境网格，再进入考虑协方差的估计，并分别输出统计结果和可追溯的复现材料。</w:t>
      </w:r>
    </w:p>
    <w:p>
      <w:pPr>
        <w:pStyle w:val="Heading2"/>
      </w:pPr>
      <w:r>
        <w:t>PlantMR软件契约和分析工作流</w:t>
      </w:r>
    </w:p>
    <w:p>
      <w:pPr>
        <w:spacing w:line="269" w:lineRule="auto" w:after="100"/>
      </w:pPr>
      <w:r>
        <w:t>PlantMR接收包含SNP、效应等位基因、另一等位基因、beta、标准误和P值的暴露表和结局表。可选字段包括效应等位基因频率和样本量。植物元数据记录物种、参考基因组组装、性状、组织、发育阶段、环境、多倍体信息和LD面板来源。软件会检查数值和等位基因，协调反向及互补等位基因，识别有歧义的回文变异，执行P值、MAF和F统计量筛选，并记录每一项排除。</w:t>
      </w:r>
    </w:p>
    <w:p>
      <w:pPr>
        <w:spacing w:line="269" w:lineRule="auto" w:after="100"/>
      </w:pPr>
      <w:r>
        <w:t>表1。PlantMR的组成、范围和审计输出。</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17365D"/>
          </w:tcPr>
          <w:p>
            <w:pPr>
              <w:spacing w:after="0"/>
            </w:pPr>
            <w:r/>
            <w:r>
              <w:rPr>
                <w:b/>
                <w:color w:val="FFFFFF"/>
                <w:sz w:val="16"/>
              </w:rPr>
              <w:t>组成部分</w:t>
            </w:r>
          </w:p>
        </w:tc>
        <w:tc>
          <w:tcPr>
            <w:tcW w:type="dxa" w:w="3324"/>
            <w:vAlign w:val="center"/>
            <w:shd w:fill="17365D"/>
          </w:tcPr>
          <w:p>
            <w:pPr>
              <w:spacing w:after="0"/>
            </w:pPr>
            <w:r/>
            <w:r>
              <w:rPr>
                <w:b/>
                <w:color w:val="FFFFFF"/>
                <w:sz w:val="16"/>
              </w:rPr>
              <w:t>功能</w:t>
            </w:r>
          </w:p>
        </w:tc>
        <w:tc>
          <w:tcPr>
            <w:tcW w:type="dxa" w:w="3324"/>
            <w:vAlign w:val="center"/>
            <w:shd w:fill="17365D"/>
          </w:tcPr>
          <w:p>
            <w:pPr>
              <w:spacing w:after="0"/>
            </w:pPr>
            <w:r/>
            <w:r>
              <w:rPr>
                <w:b/>
                <w:color w:val="FFFFFF"/>
                <w:sz w:val="16"/>
              </w:rPr>
              <w:t>输出</w:t>
            </w:r>
          </w:p>
        </w:tc>
      </w:tr>
      <w:tr>
        <w:tc>
          <w:tcPr>
            <w:tcW w:type="dxa" w:w="3324"/>
            <w:vAlign w:val="center"/>
          </w:tcPr>
          <w:p>
            <w:pPr>
              <w:spacing w:after="0"/>
            </w:pPr>
            <w:r/>
            <w:r>
              <w:rPr>
                <w:b w:val="0"/>
                <w:sz w:val="16"/>
              </w:rPr>
              <w:t>数据模式和元数据</w:t>
            </w:r>
          </w:p>
        </w:tc>
        <w:tc>
          <w:tcPr>
            <w:tcW w:type="dxa" w:w="3324"/>
            <w:vAlign w:val="center"/>
          </w:tcPr>
          <w:p>
            <w:pPr>
              <w:spacing w:after="0"/>
            </w:pPr>
            <w:r/>
            <w:r>
              <w:rPr>
                <w:b w:val="0"/>
                <w:sz w:val="16"/>
              </w:rPr>
              <w:t>检查摘要统计量和植物背景信息</w:t>
            </w:r>
          </w:p>
        </w:tc>
        <w:tc>
          <w:tcPr>
            <w:tcW w:type="dxa" w:w="3324"/>
            <w:vAlign w:val="center"/>
          </w:tcPr>
          <w:p>
            <w:pPr>
              <w:spacing w:after="0"/>
            </w:pPr>
            <w:r/>
            <w:r>
              <w:rPr>
                <w:b w:val="0"/>
                <w:sz w:val="16"/>
              </w:rPr>
              <w:t>检查信息和元数据JSON</w:t>
            </w:r>
          </w:p>
        </w:tc>
      </w:tr>
      <w:tr>
        <w:tc>
          <w:tcPr>
            <w:tcW w:type="dxa" w:w="3324"/>
            <w:vAlign w:val="center"/>
            <w:shd w:fill="F4F6F8"/>
          </w:tcPr>
          <w:p>
            <w:pPr>
              <w:spacing w:after="0"/>
            </w:pPr>
            <w:r/>
            <w:r>
              <w:rPr>
                <w:b w:val="0"/>
                <w:sz w:val="16"/>
              </w:rPr>
              <w:t>等位基因协调</w:t>
            </w:r>
          </w:p>
        </w:tc>
        <w:tc>
          <w:tcPr>
            <w:tcW w:type="dxa" w:w="3324"/>
            <w:vAlign w:val="center"/>
            <w:shd w:fill="F4F6F8"/>
          </w:tcPr>
          <w:p>
            <w:pPr>
              <w:spacing w:after="0"/>
            </w:pPr>
            <w:r/>
            <w:r>
              <w:rPr>
                <w:b w:val="0"/>
                <w:sz w:val="16"/>
              </w:rPr>
              <w:t>对齐效应等位基因并处理回文变异</w:t>
            </w:r>
          </w:p>
        </w:tc>
        <w:tc>
          <w:tcPr>
            <w:tcW w:type="dxa" w:w="3324"/>
            <w:vAlign w:val="center"/>
            <w:shd w:fill="F4F6F8"/>
          </w:tcPr>
          <w:p>
            <w:pPr>
              <w:spacing w:after="0"/>
            </w:pPr>
            <w:r/>
            <w:r>
              <w:rPr>
                <w:b w:val="0"/>
                <w:sz w:val="16"/>
              </w:rPr>
              <w:t>协调后的表格和排除数量</w:t>
            </w:r>
          </w:p>
        </w:tc>
      </w:tr>
      <w:tr>
        <w:tc>
          <w:tcPr>
            <w:tcW w:type="dxa" w:w="3324"/>
            <w:vAlign w:val="center"/>
          </w:tcPr>
          <w:p>
            <w:pPr>
              <w:spacing w:after="0"/>
            </w:pPr>
            <w:r/>
            <w:r>
              <w:rPr>
                <w:b w:val="0"/>
                <w:sz w:val="16"/>
              </w:rPr>
              <w:t>工具变量质量控制</w:t>
            </w:r>
          </w:p>
        </w:tc>
        <w:tc>
          <w:tcPr>
            <w:tcW w:type="dxa" w:w="3324"/>
            <w:vAlign w:val="center"/>
          </w:tcPr>
          <w:p>
            <w:pPr>
              <w:spacing w:after="0"/>
            </w:pPr>
            <w:r/>
            <w:r>
              <w:rPr>
                <w:b w:val="0"/>
                <w:sz w:val="16"/>
              </w:rPr>
              <w:t>P值、MAF、F统计量和完整网格筛选</w:t>
            </w:r>
          </w:p>
        </w:tc>
        <w:tc>
          <w:tcPr>
            <w:tcW w:type="dxa" w:w="3324"/>
            <w:vAlign w:val="center"/>
          </w:tcPr>
          <w:p>
            <w:pPr>
              <w:spacing w:after="0"/>
            </w:pPr>
            <w:r/>
            <w:r>
              <w:rPr>
                <w:b w:val="0"/>
                <w:sz w:val="16"/>
              </w:rPr>
              <w:t>工具变量审计表和保留SNP表</w:t>
            </w:r>
          </w:p>
        </w:tc>
      </w:tr>
      <w:tr>
        <w:tc>
          <w:tcPr>
            <w:tcW w:type="dxa" w:w="3324"/>
            <w:vAlign w:val="center"/>
            <w:shd w:fill="F4F6F8"/>
          </w:tcPr>
          <w:p>
            <w:pPr>
              <w:spacing w:after="0"/>
            </w:pPr>
            <w:r/>
            <w:r>
              <w:rPr>
                <w:b w:val="0"/>
                <w:sz w:val="16"/>
              </w:rPr>
              <w:t>标准MR</w:t>
            </w:r>
          </w:p>
        </w:tc>
        <w:tc>
          <w:tcPr>
            <w:tcW w:type="dxa" w:w="3324"/>
            <w:vAlign w:val="center"/>
            <w:shd w:fill="F4F6F8"/>
          </w:tcPr>
          <w:p>
            <w:pPr>
              <w:spacing w:after="0"/>
            </w:pPr>
            <w:r/>
            <w:r>
              <w:rPr>
                <w:b w:val="0"/>
                <w:sz w:val="16"/>
              </w:rPr>
              <w:t>Wald比值、固定/随机效应IVW、MR-Egger、Q和留一法</w:t>
            </w:r>
          </w:p>
        </w:tc>
        <w:tc>
          <w:tcPr>
            <w:tcW w:type="dxa" w:w="3324"/>
            <w:vAlign w:val="center"/>
            <w:shd w:fill="F4F6F8"/>
          </w:tcPr>
          <w:p>
            <w:pPr>
              <w:spacing w:after="0"/>
            </w:pPr>
            <w:r/>
            <w:r>
              <w:rPr>
                <w:b w:val="0"/>
                <w:sz w:val="16"/>
              </w:rPr>
              <w:t>JSON、TSV和Markdown报告</w:t>
            </w:r>
          </w:p>
        </w:tc>
      </w:tr>
      <w:tr>
        <w:tc>
          <w:tcPr>
            <w:tcW w:type="dxa" w:w="3324"/>
            <w:vAlign w:val="center"/>
          </w:tcPr>
          <w:p>
            <w:pPr>
              <w:spacing w:after="0"/>
            </w:pPr>
            <w:r/>
            <w:r>
              <w:rPr>
                <w:b w:val="0"/>
                <w:sz w:val="16"/>
              </w:rPr>
              <w:t>环境斜率</w:t>
            </w:r>
          </w:p>
        </w:tc>
        <w:tc>
          <w:tcPr>
            <w:tcW w:type="dxa" w:w="3324"/>
            <w:vAlign w:val="center"/>
          </w:tcPr>
          <w:p>
            <w:pPr>
              <w:spacing w:after="0"/>
            </w:pPr>
            <w:r/>
            <w:r>
              <w:rPr>
                <w:b w:val="0"/>
                <w:sz w:val="16"/>
              </w:rPr>
              <w:t>对SNP×环境比值估计进行GLS</w:t>
            </w:r>
          </w:p>
        </w:tc>
        <w:tc>
          <w:tcPr>
            <w:tcW w:type="dxa" w:w="3324"/>
            <w:vAlign w:val="center"/>
          </w:tcPr>
          <w:p>
            <w:pPr>
              <w:spacing w:after="0"/>
            </w:pPr>
            <w:r/>
            <w:r>
              <w:rPr>
                <w:b w:val="0"/>
                <w:sz w:val="16"/>
              </w:rPr>
              <w:t>汇总效应、斜率、协方差秩和Q</w:t>
            </w:r>
          </w:p>
        </w:tc>
      </w:tr>
      <w:tr>
        <w:tc>
          <w:tcPr>
            <w:tcW w:type="dxa" w:w="3324"/>
            <w:vAlign w:val="center"/>
            <w:shd w:fill="F4F6F8"/>
          </w:tcPr>
          <w:p>
            <w:pPr>
              <w:spacing w:after="0"/>
            </w:pPr>
            <w:r/>
            <w:r>
              <w:rPr>
                <w:b w:val="0"/>
                <w:sz w:val="16"/>
              </w:rPr>
              <w:t>可复现性</w:t>
            </w:r>
          </w:p>
        </w:tc>
        <w:tc>
          <w:tcPr>
            <w:tcW w:type="dxa" w:w="3324"/>
            <w:vAlign w:val="center"/>
            <w:shd w:fill="F4F6F8"/>
          </w:tcPr>
          <w:p>
            <w:pPr>
              <w:spacing w:after="0"/>
            </w:pPr>
            <w:r/>
            <w:r>
              <w:rPr>
                <w:b w:val="0"/>
                <w:sz w:val="16"/>
              </w:rPr>
              <w:t>命令行接口、测试、模拟和源数据记录</w:t>
            </w:r>
          </w:p>
        </w:tc>
        <w:tc>
          <w:tcPr>
            <w:tcW w:type="dxa" w:w="3324"/>
            <w:vAlign w:val="center"/>
            <w:shd w:fill="F4F6F8"/>
          </w:tcPr>
          <w:p>
            <w:pPr>
              <w:spacing w:after="0"/>
            </w:pPr>
            <w:r/>
            <w:r>
              <w:rPr>
                <w:b w:val="0"/>
                <w:sz w:val="16"/>
              </w:rPr>
              <w:t>带版本的报告和基准结果</w:t>
            </w:r>
          </w:p>
        </w:tc>
      </w:tr>
    </w:tbl>
    <w:p>
      <w:pPr>
        <w:spacing w:after="0"/>
      </w:pPr>
    </w:p>
    <w:p>
      <w:pPr>
        <w:spacing w:line="269" w:lineRule="auto" w:after="100"/>
      </w:pPr>
      <w:r>
        <w:t>命令行接口提供validate、run、run-stratified和run-gxe命令。软件不会在没有明确说明的情况下，用SMR、GSMR、共定位、MVMR、MR-PRESSO、MR-GxE、MR-GENIUS或MR-EILLS替代当前分析。</w:t>
      </w:r>
    </w:p>
    <w:p>
      <w:pPr>
        <w:pStyle w:val="Heading2"/>
      </w:pPr>
      <w:r>
        <w:t>与相关工具的比较</w:t>
      </w:r>
    </w:p>
    <w:p>
      <w:pPr>
        <w:spacing w:line="269" w:lineRule="auto" w:after="100"/>
      </w:pPr>
      <w:r>
        <w:t>按照近期Plant Methods软件论文的组织方式，我们在展示基准结果之前，先将PlantMR与功能相邻的工具进行比较。这是基于相关软件论文和公开文档的范围与数据契约比较，不是虚构的运行时间头对头实验。PlantMR的目标是把植物元数据、完整SNP×环境网格、带符号的LD/环境协方差和可审计的摘要统计输出组合在一起。</w:t>
      </w:r>
    </w:p>
    <w:p>
      <w:pPr>
        <w:spacing w:line="269" w:lineRule="auto" w:after="100"/>
      </w:pPr>
      <w:r>
        <w:t>表2。与相关工具的功能定位比较。“不是主要关注点”表示某个工具可能支持相关分析，但没有暴露出与本文相同的数据契约或估计目标。</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17365D"/>
          </w:tcPr>
          <w:p>
            <w:pPr>
              <w:spacing w:after="0"/>
            </w:pPr>
            <w:r/>
            <w:r>
              <w:rPr>
                <w:b/>
                <w:color w:val="FFFFFF"/>
                <w:sz w:val="16"/>
              </w:rPr>
              <w:t>工具</w:t>
            </w:r>
          </w:p>
        </w:tc>
        <w:tc>
          <w:tcPr>
            <w:tcW w:type="dxa" w:w="1994"/>
            <w:vAlign w:val="center"/>
            <w:shd w:fill="17365D"/>
          </w:tcPr>
          <w:p>
            <w:pPr>
              <w:spacing w:after="0"/>
            </w:pPr>
            <w:r/>
            <w:r>
              <w:rPr>
                <w:b/>
                <w:color w:val="FFFFFF"/>
                <w:sz w:val="16"/>
              </w:rPr>
              <w:t>主要范围</w:t>
            </w:r>
          </w:p>
        </w:tc>
        <w:tc>
          <w:tcPr>
            <w:tcW w:type="dxa" w:w="1994"/>
            <w:vAlign w:val="center"/>
            <w:shd w:fill="17365D"/>
          </w:tcPr>
          <w:p>
            <w:pPr>
              <w:spacing w:after="0"/>
            </w:pPr>
            <w:r/>
            <w:r>
              <w:rPr>
                <w:b/>
                <w:color w:val="FFFFFF"/>
                <w:sz w:val="16"/>
              </w:rPr>
              <w:t>植物背景</w:t>
            </w:r>
          </w:p>
        </w:tc>
        <w:tc>
          <w:tcPr>
            <w:tcW w:type="dxa" w:w="1994"/>
            <w:vAlign w:val="center"/>
            <w:shd w:fill="17365D"/>
          </w:tcPr>
          <w:p>
            <w:pPr>
              <w:spacing w:after="0"/>
            </w:pPr>
            <w:r/>
            <w:r>
              <w:rPr>
                <w:b/>
                <w:color w:val="FFFFFF"/>
                <w:sz w:val="16"/>
              </w:rPr>
              <w:t>环境/LD处理</w:t>
            </w:r>
          </w:p>
        </w:tc>
        <w:tc>
          <w:tcPr>
            <w:tcW w:type="dxa" w:w="1994"/>
            <w:vAlign w:val="center"/>
            <w:shd w:fill="17365D"/>
          </w:tcPr>
          <w:p>
            <w:pPr>
              <w:spacing w:after="0"/>
            </w:pPr>
            <w:r/>
            <w:r>
              <w:rPr>
                <w:b/>
                <w:color w:val="FFFFFF"/>
                <w:sz w:val="16"/>
              </w:rPr>
              <w:t>本文使用的证据</w:t>
            </w:r>
          </w:p>
        </w:tc>
      </w:tr>
      <w:tr>
        <w:tc>
          <w:tcPr>
            <w:tcW w:type="dxa" w:w="1994"/>
            <w:vAlign w:val="center"/>
          </w:tcPr>
          <w:p>
            <w:pPr>
              <w:spacing w:after="0"/>
            </w:pPr>
            <w:r/>
            <w:r>
              <w:rPr>
                <w:b w:val="0"/>
                <w:sz w:val="16"/>
              </w:rPr>
              <w:t>PlantMR 1.1</w:t>
            </w:r>
          </w:p>
        </w:tc>
        <w:tc>
          <w:tcPr>
            <w:tcW w:type="dxa" w:w="1994"/>
            <w:vAlign w:val="center"/>
          </w:tcPr>
          <w:p>
            <w:pPr>
              <w:spacing w:after="0"/>
            </w:pPr>
            <w:r/>
            <w:r>
              <w:rPr>
                <w:b w:val="0"/>
                <w:sz w:val="16"/>
              </w:rPr>
              <w:t>植物摘要统计MR和环境效应异质性</w:t>
            </w:r>
          </w:p>
        </w:tc>
        <w:tc>
          <w:tcPr>
            <w:tcW w:type="dxa" w:w="1994"/>
            <w:vAlign w:val="center"/>
          </w:tcPr>
          <w:p>
            <w:pPr>
              <w:spacing w:after="0"/>
            </w:pPr>
            <w:r/>
            <w:r>
              <w:rPr>
                <w:b w:val="0"/>
                <w:sz w:val="16"/>
              </w:rPr>
              <w:t>原生记录物种、组装、组织、阶段、多倍体和LD来源</w:t>
            </w:r>
          </w:p>
        </w:tc>
        <w:tc>
          <w:tcPr>
            <w:tcW w:type="dxa" w:w="1994"/>
            <w:vAlign w:val="center"/>
          </w:tcPr>
          <w:p>
            <w:pPr>
              <w:spacing w:after="0"/>
            </w:pPr>
            <w:r/>
            <w:r>
              <w:rPr>
                <w:b w:val="0"/>
                <w:sz w:val="16"/>
              </w:rPr>
              <w:t>带符号LD和可选环境协方差；要求完整网格</w:t>
            </w:r>
          </w:p>
        </w:tc>
        <w:tc>
          <w:tcPr>
            <w:tcW w:type="dxa" w:w="1994"/>
            <w:vAlign w:val="center"/>
          </w:tcPr>
          <w:p>
            <w:pPr>
              <w:spacing w:after="0"/>
            </w:pPr>
            <w:r/>
            <w:r>
              <w:rPr>
                <w:b w:val="0"/>
                <w:sz w:val="16"/>
              </w:rPr>
              <w:t>模拟、LD压力测试和Arabidopsis案例</w:t>
            </w:r>
          </w:p>
        </w:tc>
      </w:tr>
      <w:tr>
        <w:tc>
          <w:tcPr>
            <w:tcW w:type="dxa" w:w="1994"/>
            <w:vAlign w:val="center"/>
            <w:shd w:fill="F4F6F8"/>
          </w:tcPr>
          <w:p>
            <w:pPr>
              <w:spacing w:after="0"/>
            </w:pPr>
            <w:r/>
            <w:r>
              <w:rPr>
                <w:b w:val="0"/>
                <w:sz w:val="16"/>
              </w:rPr>
              <w:t>MRBIGR [17]</w:t>
            </w:r>
          </w:p>
        </w:tc>
        <w:tc>
          <w:tcPr>
            <w:tcW w:type="dxa" w:w="1994"/>
            <w:vAlign w:val="center"/>
            <w:shd w:fill="F4F6F8"/>
          </w:tcPr>
          <w:p>
            <w:pPr>
              <w:spacing w:after="0"/>
            </w:pPr>
            <w:r/>
            <w:r>
              <w:rPr>
                <w:b w:val="0"/>
                <w:sz w:val="16"/>
              </w:rPr>
              <w:t>大规模多组学、GWAS和MR工具箱</w:t>
            </w:r>
          </w:p>
        </w:tc>
        <w:tc>
          <w:tcPr>
            <w:tcW w:type="dxa" w:w="1994"/>
            <w:vAlign w:val="center"/>
            <w:shd w:fill="F4F6F8"/>
          </w:tcPr>
          <w:p>
            <w:pPr>
              <w:spacing w:after="0"/>
            </w:pPr>
            <w:r/>
            <w:r>
              <w:rPr>
                <w:b w:val="0"/>
                <w:sz w:val="16"/>
              </w:rPr>
              <w:t>玉米和水稻案例；广泛的多组学工作流</w:t>
            </w:r>
          </w:p>
        </w:tc>
        <w:tc>
          <w:tcPr>
            <w:tcW w:type="dxa" w:w="1994"/>
            <w:vAlign w:val="center"/>
            <w:shd w:fill="F4F6F8"/>
          </w:tcPr>
          <w:p>
            <w:pPr>
              <w:spacing w:after="0"/>
            </w:pPr>
            <w:r/>
            <w:r>
              <w:rPr>
                <w:b w:val="0"/>
                <w:sz w:val="16"/>
              </w:rPr>
              <w:t>MR/网络估计目标不同，不是本文的G×E协方差契约</w:t>
            </w:r>
          </w:p>
        </w:tc>
        <w:tc>
          <w:tcPr>
            <w:tcW w:type="dxa" w:w="1994"/>
            <w:vAlign w:val="center"/>
            <w:shd w:fill="F4F6F8"/>
          </w:tcPr>
          <w:p>
            <w:pPr>
              <w:spacing w:after="0"/>
            </w:pPr>
            <w:r/>
            <w:r>
              <w:rPr>
                <w:b w:val="0"/>
                <w:sz w:val="16"/>
              </w:rPr>
              <w:t>文献范围比较</w:t>
            </w:r>
          </w:p>
        </w:tc>
      </w:tr>
      <w:tr>
        <w:tc>
          <w:tcPr>
            <w:tcW w:type="dxa" w:w="1994"/>
            <w:vAlign w:val="center"/>
          </w:tcPr>
          <w:p>
            <w:pPr>
              <w:spacing w:after="0"/>
            </w:pPr>
            <w:r/>
            <w:r>
              <w:rPr>
                <w:b w:val="0"/>
                <w:sz w:val="16"/>
              </w:rPr>
              <w:t>MR-Base / TwoSampleMR [10]</w:t>
            </w:r>
          </w:p>
        </w:tc>
        <w:tc>
          <w:tcPr>
            <w:tcW w:type="dxa" w:w="1994"/>
            <w:vAlign w:val="center"/>
          </w:tcPr>
          <w:p>
            <w:pPr>
              <w:spacing w:after="0"/>
            </w:pPr>
            <w:r/>
            <w:r>
              <w:rPr>
                <w:b w:val="0"/>
                <w:sz w:val="16"/>
              </w:rPr>
              <w:t>人类GWAS资源和双样本MR自动化</w:t>
            </w:r>
          </w:p>
        </w:tc>
        <w:tc>
          <w:tcPr>
            <w:tcW w:type="dxa" w:w="1994"/>
            <w:vAlign w:val="center"/>
          </w:tcPr>
          <w:p>
            <w:pPr>
              <w:spacing w:after="0"/>
            </w:pPr>
            <w:r/>
            <w:r>
              <w:rPr>
                <w:b w:val="0"/>
                <w:sz w:val="16"/>
              </w:rPr>
              <w:t>面向人类GWAS的公共资源生态</w:t>
            </w:r>
          </w:p>
        </w:tc>
        <w:tc>
          <w:tcPr>
            <w:tcW w:type="dxa" w:w="1994"/>
            <w:vAlign w:val="center"/>
          </w:tcPr>
          <w:p>
            <w:pPr>
              <w:spacing w:after="0"/>
            </w:pPr>
            <w:r/>
            <w:r>
              <w:rPr>
                <w:b w:val="0"/>
                <w:sz w:val="16"/>
              </w:rPr>
              <w:t>标准MR敏感性分析；植物元数据不是主要契约</w:t>
            </w:r>
          </w:p>
        </w:tc>
        <w:tc>
          <w:tcPr>
            <w:tcW w:type="dxa" w:w="1994"/>
            <w:vAlign w:val="center"/>
          </w:tcPr>
          <w:p>
            <w:pPr>
              <w:spacing w:after="0"/>
            </w:pPr>
            <w:r/>
            <w:r>
              <w:rPr>
                <w:b w:val="0"/>
                <w:sz w:val="16"/>
              </w:rPr>
              <w:t>文献范围比较</w:t>
            </w:r>
          </w:p>
        </w:tc>
      </w:tr>
      <w:tr>
        <w:tc>
          <w:tcPr>
            <w:tcW w:type="dxa" w:w="1994"/>
            <w:vAlign w:val="center"/>
            <w:shd w:fill="F4F6F8"/>
          </w:tcPr>
          <w:p>
            <w:pPr>
              <w:spacing w:after="0"/>
            </w:pPr>
            <w:r/>
            <w:r>
              <w:rPr>
                <w:b w:val="0"/>
                <w:sz w:val="16"/>
              </w:rPr>
              <w:t>metaGE [25]</w:t>
            </w:r>
          </w:p>
        </w:tc>
        <w:tc>
          <w:tcPr>
            <w:tcW w:type="dxa" w:w="1994"/>
            <w:vAlign w:val="center"/>
            <w:shd w:fill="F4F6F8"/>
          </w:tcPr>
          <w:p>
            <w:pPr>
              <w:spacing w:after="0"/>
            </w:pPr>
            <w:r/>
            <w:r>
              <w:rPr>
                <w:b w:val="0"/>
                <w:sz w:val="16"/>
              </w:rPr>
              <w:t>多环境GWAS荟萃分析</w:t>
            </w:r>
          </w:p>
        </w:tc>
        <w:tc>
          <w:tcPr>
            <w:tcW w:type="dxa" w:w="1994"/>
            <w:vAlign w:val="center"/>
            <w:shd w:fill="F4F6F8"/>
          </w:tcPr>
          <w:p>
            <w:pPr>
              <w:spacing w:after="0"/>
            </w:pPr>
            <w:r/>
            <w:r>
              <w:rPr>
                <w:b w:val="0"/>
                <w:sz w:val="16"/>
              </w:rPr>
              <w:t>植物多环境试验和G×E QTL检测</w:t>
            </w:r>
          </w:p>
        </w:tc>
        <w:tc>
          <w:tcPr>
            <w:tcW w:type="dxa" w:w="1994"/>
            <w:vAlign w:val="center"/>
            <w:shd w:fill="F4F6F8"/>
          </w:tcPr>
          <w:p>
            <w:pPr>
              <w:spacing w:after="0"/>
            </w:pPr>
            <w:r/>
            <w:r>
              <w:rPr>
                <w:b w:val="0"/>
                <w:sz w:val="16"/>
              </w:rPr>
              <w:t>在GWAS荟萃分析层面建模异质性和环境协变量</w:t>
            </w:r>
          </w:p>
        </w:tc>
        <w:tc>
          <w:tcPr>
            <w:tcW w:type="dxa" w:w="1994"/>
            <w:vAlign w:val="center"/>
            <w:shd w:fill="F4F6F8"/>
          </w:tcPr>
          <w:p>
            <w:pPr>
              <w:spacing w:after="0"/>
            </w:pPr>
            <w:r/>
            <w:r>
              <w:rPr>
                <w:b w:val="0"/>
                <w:sz w:val="16"/>
              </w:rPr>
              <w:t>估计目标比较；未重新实现</w:t>
            </w:r>
          </w:p>
        </w:tc>
      </w:tr>
      <w:tr>
        <w:tc>
          <w:tcPr>
            <w:tcW w:type="dxa" w:w="1994"/>
            <w:vAlign w:val="center"/>
          </w:tcPr>
          <w:p>
            <w:pPr>
              <w:spacing w:after="0"/>
            </w:pPr>
            <w:r/>
            <w:r>
              <w:rPr>
                <w:b w:val="0"/>
                <w:sz w:val="16"/>
              </w:rPr>
              <w:t>MAPtools [36]</w:t>
            </w:r>
          </w:p>
        </w:tc>
        <w:tc>
          <w:tcPr>
            <w:tcW w:type="dxa" w:w="1994"/>
            <w:vAlign w:val="center"/>
          </w:tcPr>
          <w:p>
            <w:pPr>
              <w:spacing w:after="0"/>
            </w:pPr>
            <w:r/>
            <w:r>
              <w:rPr>
                <w:b w:val="0"/>
                <w:sz w:val="16"/>
              </w:rPr>
              <w:t>mapping-by-sequencing和QTL-Seq命令行分析</w:t>
            </w:r>
          </w:p>
        </w:tc>
        <w:tc>
          <w:tcPr>
            <w:tcW w:type="dxa" w:w="1994"/>
            <w:vAlign w:val="center"/>
          </w:tcPr>
          <w:p>
            <w:pPr>
              <w:spacing w:after="0"/>
            </w:pPr>
            <w:r/>
            <w:r>
              <w:rPr>
                <w:b w:val="0"/>
                <w:sz w:val="16"/>
              </w:rPr>
              <w:t>在植物和多物种mapping工作流中测试</w:t>
            </w:r>
          </w:p>
        </w:tc>
        <w:tc>
          <w:tcPr>
            <w:tcW w:type="dxa" w:w="1994"/>
            <w:vAlign w:val="center"/>
          </w:tcPr>
          <w:p>
            <w:pPr>
              <w:spacing w:after="0"/>
            </w:pPr>
            <w:r/>
            <w:r>
              <w:rPr>
                <w:b w:val="0"/>
                <w:sz w:val="16"/>
              </w:rPr>
              <w:t>变异/QTL定位，不是摘要统计MR协方差</w:t>
            </w:r>
          </w:p>
        </w:tc>
        <w:tc>
          <w:tcPr>
            <w:tcW w:type="dxa" w:w="1994"/>
            <w:vAlign w:val="center"/>
          </w:tcPr>
          <w:p>
            <w:pPr>
              <w:spacing w:after="0"/>
            </w:pPr>
            <w:r/>
            <w:r>
              <w:rPr>
                <w:b w:val="0"/>
                <w:sz w:val="16"/>
              </w:rPr>
              <w:t>工作流/软件论文比较</w:t>
            </w:r>
          </w:p>
        </w:tc>
      </w:tr>
    </w:tbl>
    <w:p>
      <w:pPr>
        <w:spacing w:after="0"/>
      </w:pPr>
    </w:p>
    <w:p>
      <w:pPr>
        <w:pStyle w:val="Heading2"/>
      </w:pPr>
      <w:r>
        <w:t>环境效应异质性模型</w:t>
      </w:r>
    </w:p>
    <w:p>
      <w:pPr>
        <w:spacing w:line="269" w:lineRule="auto" w:after="100"/>
      </w:pPr>
      <w:r>
        <w:t>对于SNP j和环境k，比值估计为r_jk = beta_y,jk / beta_x,jk。令z_k为预先指定的数值环境分数。PlantMR拟合r_jk = θ_0 + θ_1 z_k + ε_jk。θ_0表示z=0时的遗传代理效应，θ_1表示MR效应随环境分数每增加一个单位的变化量。这是一个效应异质性模型。它的截距不是MR-GxE中的多效性截距，也不被解释为水平多效性的校正项。</w:t>
      </w:r>
    </w:p>
    <w:p>
      <w:pPr>
        <w:spacing w:line="269" w:lineRule="auto" w:after="100"/>
      </w:pPr>
      <w:r>
        <w:t>一阶Delta方差为v_jk = se_y,jk² / beta_x,jk² + beta_y,jk² se_x,jk² / beta_x,jk⁴。在以SNP为主、环境为次的排列方式下，可选的带符号SNP相关矩阵和环境相关矩阵定义V = D(R_SNP ⊗ R_ENV)D，其中D为比值标准误构成的对角矩阵。GLS估计量为theta_hat = (X′V⁻¹X)⁻¹X′V⁻¹r，其中X=[1,z]。如果V秩亏，残余异质性自由度为rank(V)−rank(X)。</w:t>
      </w:r>
    </w:p>
    <w:p>
      <w:pPr>
        <w:spacing w:line="269" w:lineRule="auto" w:after="100"/>
      </w:pPr>
      <w:r>
        <w:t>该模型要求每个SNP都有完整的环境网格，并且只保留在每个环境中都满足暴露P值、F统计量和MAF要求的SNP。这样可以避免把工具变量组成的改变误认为环境斜率。缺少环境相关性并不被当作已确认的独立性；报告会明确说明使用了对角近似。</w:t>
      </w:r>
    </w:p>
    <w:p>
      <w:pPr>
        <w:pStyle w:val="Heading2"/>
      </w:pPr>
      <w:r>
        <w:t>实现细节</w:t>
      </w:r>
    </w:p>
    <w:p>
      <w:pPr>
        <w:spacing w:line="269" w:lineRule="auto" w:after="100"/>
      </w:pPr>
      <w:r>
        <w:t>本研究按软件/方法学评估组织。我们没有利用真实数据案例选择有利的估计器、定义新的基因层面结论或调节模拟真值。主要结论集中于输入检查、考虑协方差的估计和诊断透明度。</w:t>
      </w:r>
    </w:p>
    <w:p>
      <w:pPr>
        <w:pStyle w:val="Heading3"/>
      </w:pPr>
      <w:r>
        <w:t>输入模式和等位基因协调</w:t>
      </w:r>
    </w:p>
    <w:p>
      <w:pPr>
        <w:spacing w:line="269" w:lineRule="auto" w:after="100"/>
      </w:pPr>
      <w:r>
        <w:t>必需的摘要统计列为SNP、effect_allele、other_allele、beta、se和pval。可选列为eaf和n。数据模式会拒绝空的或重复的SNP标识符、非有限数值、非正标准误、无效P值、无效等位基因字符以及效应等位基因和另一等位基因相同的记录。协调程序能够识别对齐、反向、互补和反向互补等位基因，并利用等位基因频率只保留能够解析的回文变异。</w:t>
      </w:r>
    </w:p>
    <w:p>
      <w:pPr>
        <w:pStyle w:val="Heading3"/>
      </w:pPr>
      <w:r>
        <w:t>工具变量选择</w:t>
      </w:r>
    </w:p>
    <w:p>
      <w:pPr>
        <w:spacing w:line="269" w:lineRule="auto" w:after="100"/>
      </w:pPr>
      <w:r>
        <w:t>Arabidopsis案例的主要阈值为暴露P≤5×10−8、F≥10和MAF≥0.05。GxE选择器要求保留的每个SNP在每个环境中都通过这些筛选。这样可以避免环境特异的工具变量组成被误认为效应异质性。LD使用带符号的相关系数表示，而不是使用r²值。</w:t>
      </w:r>
    </w:p>
    <w:p>
      <w:pPr>
        <w:pStyle w:val="Heading3"/>
      </w:pPr>
      <w:r>
        <w:t>估计器和诊断</w:t>
      </w:r>
    </w:p>
    <w:p>
      <w:pPr>
        <w:spacing w:line="269" w:lineRule="auto" w:after="100"/>
      </w:pPr>
      <w:r>
        <w:t>标准方法包括Wald比值、固定效应IVW、随机效应IVW、MR-Egger、Cochran Q和留一法分析。环境斜率估计器使用上文所述的Delta法比值方差和GLS协方差。如果协方差矩阵奇异，则对二次型使用Moore–Penrose逆，并按矩阵秩调整Q的自由度。</w:t>
      </w:r>
    </w:p>
    <w:p>
      <w:pPr>
        <w:pStyle w:val="Heading3"/>
      </w:pPr>
      <w:r>
        <w:t>模拟设计</w:t>
      </w:r>
    </w:p>
    <w:p>
      <w:pPr>
        <w:spacing w:line="269" w:lineRule="auto" w:after="100"/>
      </w:pPr>
      <w:r>
        <w:t>所有模拟都使用固定随机种子，并记录在元数据JSON文件中。基础基准使用20个SNP和4个环境分数（−1.5、−0.5、0.5、1.5）。暴露效应被生成为正向且强的工具变量。结局效应由汇总效应、已知环境斜率和多元正态抽样误差生成。LD压力测试额外使用了rho=0.6的AR(1) LD相关矩阵。</w:t>
      </w:r>
    </w:p>
    <w:p>
      <w:pPr>
        <w:pStyle w:val="Heading3"/>
      </w:pPr>
      <w:r>
        <w:t>Arabidopsis数据处理</w:t>
      </w:r>
    </w:p>
    <w:p>
      <w:pPr>
        <w:spacing w:line="269" w:lineRule="auto" w:after="100"/>
      </w:pPr>
      <w:r>
        <w:t>从GEO下载GSE80744标准化表达矩阵，并提取AT1G11560行。使用1001 Genomes HDF5矩阵提取局部区域；每隔1000个标记计算5个主成分。公共材料的VCF提供REF/ALT标签。根据材料ID合并AraPheno FT10和FT16数值。局部关联回归纳入基因型和PC1–PC5。案例中记录了源URL、哈希值、生成表格和限制条件。</w:t>
      </w:r>
    </w:p>
    <w:p>
      <w:pPr>
        <w:pStyle w:val="Heading3"/>
      </w:pPr>
      <w:r>
        <w:t>统计报告</w:t>
      </w:r>
    </w:p>
    <w:p>
      <w:pPr>
        <w:spacing w:line="269" w:lineRule="auto" w:after="100"/>
      </w:pPr>
      <w:r>
        <w:t>所有数值结果均报告效应估计、标准误、P值、工具变量数量、协方差来源和异质性诊断，遵循STROBE-MR的报告原则。[13] 单基因Arabidopsis演示不作全基因组多重检验结论。任何未来的全基因组分析都必须预先规定基因层面聚合方式、多重检验控制和独立验证集。</w:t>
      </w:r>
    </w:p>
    <w:p>
      <w:pPr>
        <w:pStyle w:val="Heading1"/>
      </w:pPr>
      <w:r>
        <w:t>结果</w:t>
      </w:r>
    </w:p>
    <w:p>
      <w:pPr>
        <w:pStyle w:val="Heading2"/>
      </w:pPr>
      <w:r>
        <w:t>模拟校准和LD压力测试</w:t>
      </w:r>
    </w:p>
    <w:p>
      <w:pPr>
        <w:spacing w:line="269" w:lineRule="auto" w:after="100"/>
      </w:pPr>
      <w:r>
        <w:t>主要模拟基准使用20个工具变量、4个环境、环境相关性0.5、暴露标准误0.01、结局标准误0.04，以及每个场景500次重复。场景包括零斜率、真实斜率为0.25和共同方向性多效性。LD压力测试使用相同维度，并采用rho=0.6的AR(1)带符号LD相关矩阵，比较正确协方差设定与对角独立近似。</w:t>
      </w:r>
    </w:p>
    <w:p>
      <w:pPr>
        <w:spacing w:line="269" w:lineRule="auto" w:after="100"/>
      </w:pPr>
      <w:r>
        <w:t>表3。主要模拟校准和LD压力测试汇总。图2和图3中的虚线在适用时表示名义拒绝率0.05和覆盖率0.95。</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17365D"/>
          </w:tcPr>
          <w:p>
            <w:pPr>
              <w:spacing w:after="0"/>
            </w:pPr>
            <w:r/>
            <w:r>
              <w:rPr>
                <w:b/>
                <w:color w:val="FFFFFF"/>
                <w:sz w:val="16"/>
              </w:rPr>
              <w:t>场景</w:t>
            </w:r>
          </w:p>
        </w:tc>
        <w:tc>
          <w:tcPr>
            <w:tcW w:type="dxa" w:w="1994"/>
            <w:vAlign w:val="center"/>
            <w:shd w:fill="17365D"/>
          </w:tcPr>
          <w:p>
            <w:pPr>
              <w:spacing w:after="0"/>
            </w:pPr>
            <w:r/>
            <w:r>
              <w:rPr>
                <w:b/>
                <w:color w:val="FFFFFF"/>
                <w:sz w:val="16"/>
              </w:rPr>
              <w:t>协方差</w:t>
            </w:r>
          </w:p>
        </w:tc>
        <w:tc>
          <w:tcPr>
            <w:tcW w:type="dxa" w:w="1994"/>
            <w:vAlign w:val="center"/>
            <w:shd w:fill="17365D"/>
          </w:tcPr>
          <w:p>
            <w:pPr>
              <w:spacing w:after="0"/>
            </w:pPr>
            <w:r/>
            <w:r>
              <w:rPr>
                <w:b/>
                <w:color w:val="FFFFFF"/>
                <w:sz w:val="16"/>
              </w:rPr>
              <w:t>均值/偏差</w:t>
            </w:r>
          </w:p>
        </w:tc>
        <w:tc>
          <w:tcPr>
            <w:tcW w:type="dxa" w:w="1994"/>
            <w:vAlign w:val="center"/>
            <w:shd w:fill="17365D"/>
          </w:tcPr>
          <w:p>
            <w:pPr>
              <w:spacing w:after="0"/>
            </w:pPr>
            <w:r/>
            <w:r>
              <w:rPr>
                <w:b/>
                <w:color w:val="FFFFFF"/>
                <w:sz w:val="16"/>
              </w:rPr>
              <w:t>覆盖率</w:t>
            </w:r>
          </w:p>
        </w:tc>
        <w:tc>
          <w:tcPr>
            <w:tcW w:type="dxa" w:w="1994"/>
            <w:vAlign w:val="center"/>
            <w:shd w:fill="17365D"/>
          </w:tcPr>
          <w:p>
            <w:pPr>
              <w:spacing w:after="0"/>
            </w:pPr>
            <w:r/>
            <w:r>
              <w:rPr>
                <w:b/>
                <w:color w:val="FFFFFF"/>
                <w:sz w:val="16"/>
              </w:rPr>
              <w:t>拒绝率或功效</w:t>
            </w:r>
          </w:p>
        </w:tc>
      </w:tr>
      <w:tr>
        <w:tc>
          <w:tcPr>
            <w:tcW w:type="dxa" w:w="1994"/>
            <w:vAlign w:val="center"/>
          </w:tcPr>
          <w:p>
            <w:pPr>
              <w:spacing w:after="0"/>
            </w:pPr>
            <w:r/>
            <w:r>
              <w:rPr>
                <w:b w:val="0"/>
                <w:sz w:val="16"/>
              </w:rPr>
              <w:t>Null</w:t>
            </w:r>
          </w:p>
        </w:tc>
        <w:tc>
          <w:tcPr>
            <w:tcW w:type="dxa" w:w="1994"/>
            <w:vAlign w:val="center"/>
          </w:tcPr>
          <w:p>
            <w:pPr>
              <w:spacing w:after="0"/>
            </w:pPr>
            <w:r/>
            <w:r>
              <w:rPr>
                <w:b w:val="0"/>
                <w:sz w:val="16"/>
              </w:rPr>
              <w:t>环境感知</w:t>
            </w:r>
          </w:p>
        </w:tc>
        <w:tc>
          <w:tcPr>
            <w:tcW w:type="dxa" w:w="1994"/>
            <w:vAlign w:val="center"/>
          </w:tcPr>
          <w:p>
            <w:pPr>
              <w:spacing w:after="0"/>
            </w:pPr>
            <w:r/>
            <w:r>
              <w:rPr>
                <w:b w:val="0"/>
                <w:sz w:val="16"/>
              </w:rPr>
              <w:t>斜率偏差−0.00069</w:t>
            </w:r>
          </w:p>
        </w:tc>
        <w:tc>
          <w:tcPr>
            <w:tcW w:type="dxa" w:w="1994"/>
            <w:vAlign w:val="center"/>
          </w:tcPr>
          <w:p>
            <w:pPr>
              <w:spacing w:after="0"/>
            </w:pPr>
            <w:r/>
            <w:r>
              <w:rPr>
                <w:b w:val="0"/>
                <w:sz w:val="16"/>
              </w:rPr>
              <w:t>0.946</w:t>
            </w:r>
          </w:p>
        </w:tc>
        <w:tc>
          <w:tcPr>
            <w:tcW w:type="dxa" w:w="1994"/>
            <w:vAlign w:val="center"/>
          </w:tcPr>
          <w:p>
            <w:pPr>
              <w:spacing w:after="0"/>
            </w:pPr>
            <w:r/>
            <w:r>
              <w:rPr>
                <w:b w:val="0"/>
                <w:sz w:val="16"/>
              </w:rPr>
              <w:t>0.054</w:t>
            </w:r>
          </w:p>
        </w:tc>
      </w:tr>
      <w:tr>
        <w:tc>
          <w:tcPr>
            <w:tcW w:type="dxa" w:w="1994"/>
            <w:vAlign w:val="center"/>
            <w:shd w:fill="F4F6F8"/>
          </w:tcPr>
          <w:p>
            <w:pPr>
              <w:spacing w:after="0"/>
            </w:pPr>
            <w:r/>
            <w:r>
              <w:rPr>
                <w:b w:val="0"/>
                <w:sz w:val="16"/>
              </w:rPr>
              <w:t>Null</w:t>
            </w:r>
          </w:p>
        </w:tc>
        <w:tc>
          <w:tcPr>
            <w:tcW w:type="dxa" w:w="1994"/>
            <w:vAlign w:val="center"/>
            <w:shd w:fill="F4F6F8"/>
          </w:tcPr>
          <w:p>
            <w:pPr>
              <w:spacing w:after="0"/>
            </w:pPr>
            <w:r/>
            <w:r>
              <w:rPr>
                <w:b w:val="0"/>
                <w:sz w:val="16"/>
              </w:rPr>
              <w:t>对角</w:t>
            </w:r>
          </w:p>
        </w:tc>
        <w:tc>
          <w:tcPr>
            <w:tcW w:type="dxa" w:w="1994"/>
            <w:vAlign w:val="center"/>
            <w:shd w:fill="F4F6F8"/>
          </w:tcPr>
          <w:p>
            <w:pPr>
              <w:spacing w:after="0"/>
            </w:pPr>
            <w:r/>
            <w:r>
              <w:rPr>
                <w:b w:val="0"/>
                <w:sz w:val="16"/>
              </w:rPr>
              <w:t>斜率偏差−0.00071</w:t>
            </w:r>
          </w:p>
        </w:tc>
        <w:tc>
          <w:tcPr>
            <w:tcW w:type="dxa" w:w="1994"/>
            <w:vAlign w:val="center"/>
            <w:shd w:fill="F4F6F8"/>
          </w:tcPr>
          <w:p>
            <w:pPr>
              <w:spacing w:after="0"/>
            </w:pPr>
            <w:r/>
            <w:r>
              <w:rPr>
                <w:b w:val="0"/>
                <w:sz w:val="16"/>
              </w:rPr>
              <w:t>0.994</w:t>
            </w:r>
          </w:p>
        </w:tc>
        <w:tc>
          <w:tcPr>
            <w:tcW w:type="dxa" w:w="1994"/>
            <w:vAlign w:val="center"/>
            <w:shd w:fill="F4F6F8"/>
          </w:tcPr>
          <w:p>
            <w:pPr>
              <w:spacing w:after="0"/>
            </w:pPr>
            <w:r/>
            <w:r>
              <w:rPr>
                <w:b w:val="0"/>
                <w:sz w:val="16"/>
              </w:rPr>
              <w:t>0.006</w:t>
            </w:r>
          </w:p>
        </w:tc>
      </w:tr>
      <w:tr>
        <w:tc>
          <w:tcPr>
            <w:tcW w:type="dxa" w:w="1994"/>
            <w:vAlign w:val="center"/>
          </w:tcPr>
          <w:p>
            <w:pPr>
              <w:spacing w:after="0"/>
            </w:pPr>
            <w:r/>
            <w:r>
              <w:rPr>
                <w:b w:val="0"/>
                <w:sz w:val="16"/>
              </w:rPr>
              <w:t>Causal G×E</w:t>
            </w:r>
          </w:p>
        </w:tc>
        <w:tc>
          <w:tcPr>
            <w:tcW w:type="dxa" w:w="1994"/>
            <w:vAlign w:val="center"/>
          </w:tcPr>
          <w:p>
            <w:pPr>
              <w:spacing w:after="0"/>
            </w:pPr>
            <w:r/>
            <w:r>
              <w:rPr>
                <w:b w:val="0"/>
                <w:sz w:val="16"/>
              </w:rPr>
              <w:t>环境感知</w:t>
            </w:r>
          </w:p>
        </w:tc>
        <w:tc>
          <w:tcPr>
            <w:tcW w:type="dxa" w:w="1994"/>
            <w:vAlign w:val="center"/>
          </w:tcPr>
          <w:p>
            <w:pPr>
              <w:spacing w:after="0"/>
            </w:pPr>
            <w:r/>
            <w:r>
              <w:rPr>
                <w:b w:val="0"/>
                <w:sz w:val="16"/>
              </w:rPr>
              <w:t>均值0.24982；偏差−0.00018</w:t>
            </w:r>
          </w:p>
        </w:tc>
        <w:tc>
          <w:tcPr>
            <w:tcW w:type="dxa" w:w="1994"/>
            <w:vAlign w:val="center"/>
          </w:tcPr>
          <w:p>
            <w:pPr>
              <w:spacing w:after="0"/>
            </w:pPr>
            <w:r/>
            <w:r>
              <w:rPr>
                <w:b w:val="0"/>
                <w:sz w:val="16"/>
              </w:rPr>
              <w:t>0.952</w:t>
            </w:r>
          </w:p>
        </w:tc>
        <w:tc>
          <w:tcPr>
            <w:tcW w:type="dxa" w:w="1994"/>
            <w:vAlign w:val="center"/>
          </w:tcPr>
          <w:p>
            <w:pPr>
              <w:spacing w:after="0"/>
            </w:pPr>
            <w:r/>
            <w:r>
              <w:rPr>
                <w:b w:val="0"/>
                <w:sz w:val="16"/>
              </w:rPr>
              <w:t>1.000</w:t>
            </w:r>
          </w:p>
        </w:tc>
      </w:tr>
      <w:tr>
        <w:tc>
          <w:tcPr>
            <w:tcW w:type="dxa" w:w="1994"/>
            <w:vAlign w:val="center"/>
            <w:shd w:fill="F4F6F8"/>
          </w:tcPr>
          <w:p>
            <w:pPr>
              <w:spacing w:after="0"/>
            </w:pPr>
            <w:r/>
            <w:r>
              <w:rPr>
                <w:b w:val="0"/>
                <w:sz w:val="16"/>
              </w:rPr>
              <w:t>Causal G×E</w:t>
            </w:r>
          </w:p>
        </w:tc>
        <w:tc>
          <w:tcPr>
            <w:tcW w:type="dxa" w:w="1994"/>
            <w:vAlign w:val="center"/>
            <w:shd w:fill="F4F6F8"/>
          </w:tcPr>
          <w:p>
            <w:pPr>
              <w:spacing w:after="0"/>
            </w:pPr>
            <w:r/>
            <w:r>
              <w:rPr>
                <w:b w:val="0"/>
                <w:sz w:val="16"/>
              </w:rPr>
              <w:t>对角</w:t>
            </w:r>
          </w:p>
        </w:tc>
        <w:tc>
          <w:tcPr>
            <w:tcW w:type="dxa" w:w="1994"/>
            <w:vAlign w:val="center"/>
            <w:shd w:fill="F4F6F8"/>
          </w:tcPr>
          <w:p>
            <w:pPr>
              <w:spacing w:after="0"/>
            </w:pPr>
            <w:r/>
            <w:r>
              <w:rPr>
                <w:b w:val="0"/>
                <w:sz w:val="16"/>
              </w:rPr>
              <w:t>均值0.24832；偏差−0.00168</w:t>
            </w:r>
          </w:p>
        </w:tc>
        <w:tc>
          <w:tcPr>
            <w:tcW w:type="dxa" w:w="1994"/>
            <w:vAlign w:val="center"/>
            <w:shd w:fill="F4F6F8"/>
          </w:tcPr>
          <w:p>
            <w:pPr>
              <w:spacing w:after="0"/>
            </w:pPr>
            <w:r/>
            <w:r>
              <w:rPr>
                <w:b w:val="0"/>
                <w:sz w:val="16"/>
              </w:rPr>
              <w:t>1.000</w:t>
            </w:r>
          </w:p>
        </w:tc>
        <w:tc>
          <w:tcPr>
            <w:tcW w:type="dxa" w:w="1994"/>
            <w:vAlign w:val="center"/>
            <w:shd w:fill="F4F6F8"/>
          </w:tcPr>
          <w:p>
            <w:pPr>
              <w:spacing w:after="0"/>
            </w:pPr>
            <w:r/>
            <w:r>
              <w:rPr>
                <w:b w:val="0"/>
                <w:sz w:val="16"/>
              </w:rPr>
              <w:t>1.000</w:t>
            </w:r>
          </w:p>
        </w:tc>
      </w:tr>
      <w:tr>
        <w:tc>
          <w:tcPr>
            <w:tcW w:type="dxa" w:w="1994"/>
            <w:vAlign w:val="center"/>
          </w:tcPr>
          <w:p>
            <w:pPr>
              <w:spacing w:after="0"/>
            </w:pPr>
            <w:r/>
            <w:r>
              <w:rPr>
                <w:b w:val="0"/>
                <w:sz w:val="16"/>
              </w:rPr>
              <w:t>LD压力测试零假设</w:t>
            </w:r>
          </w:p>
        </w:tc>
        <w:tc>
          <w:tcPr>
            <w:tcW w:type="dxa" w:w="1994"/>
            <w:vAlign w:val="center"/>
          </w:tcPr>
          <w:p>
            <w:pPr>
              <w:spacing w:after="0"/>
            </w:pPr>
            <w:r/>
            <w:r>
              <w:rPr>
                <w:b w:val="0"/>
                <w:sz w:val="16"/>
              </w:rPr>
              <w:t>正确LD+环境协方差</w:t>
            </w:r>
          </w:p>
        </w:tc>
        <w:tc>
          <w:tcPr>
            <w:tcW w:type="dxa" w:w="1994"/>
            <w:vAlign w:val="center"/>
          </w:tcPr>
          <w:p>
            <w:pPr>
              <w:spacing w:after="0"/>
            </w:pPr>
            <w:r/>
            <w:r>
              <w:rPr>
                <w:b w:val="0"/>
                <w:sz w:val="16"/>
              </w:rPr>
              <w:t>偏差0.00172</w:t>
            </w:r>
          </w:p>
        </w:tc>
        <w:tc>
          <w:tcPr>
            <w:tcW w:type="dxa" w:w="1994"/>
            <w:vAlign w:val="center"/>
          </w:tcPr>
          <w:p>
            <w:pPr>
              <w:spacing w:after="0"/>
            </w:pPr>
            <w:r/>
            <w:r>
              <w:rPr>
                <w:b w:val="0"/>
                <w:sz w:val="16"/>
              </w:rPr>
              <w:t>0.956</w:t>
            </w:r>
          </w:p>
        </w:tc>
        <w:tc>
          <w:tcPr>
            <w:tcW w:type="dxa" w:w="1994"/>
            <w:vAlign w:val="center"/>
          </w:tcPr>
          <w:p>
            <w:pPr>
              <w:spacing w:after="0"/>
            </w:pPr>
            <w:r/>
            <w:r>
              <w:rPr>
                <w:b w:val="0"/>
                <w:sz w:val="16"/>
              </w:rPr>
              <w:t>0.044</w:t>
            </w:r>
          </w:p>
        </w:tc>
      </w:tr>
      <w:tr>
        <w:tc>
          <w:tcPr>
            <w:tcW w:type="dxa" w:w="1994"/>
            <w:vAlign w:val="center"/>
            <w:shd w:fill="F4F6F8"/>
          </w:tcPr>
          <w:p>
            <w:pPr>
              <w:spacing w:after="0"/>
            </w:pPr>
            <w:r/>
            <w:r>
              <w:rPr>
                <w:b w:val="0"/>
                <w:sz w:val="16"/>
              </w:rPr>
              <w:t>LD压力测试零假设</w:t>
            </w:r>
          </w:p>
        </w:tc>
        <w:tc>
          <w:tcPr>
            <w:tcW w:type="dxa" w:w="1994"/>
            <w:vAlign w:val="center"/>
            <w:shd w:fill="F4F6F8"/>
          </w:tcPr>
          <w:p>
            <w:pPr>
              <w:spacing w:after="0"/>
            </w:pPr>
            <w:r/>
            <w:r>
              <w:rPr>
                <w:b w:val="0"/>
                <w:sz w:val="16"/>
              </w:rPr>
              <w:t>错配对角模型</w:t>
            </w:r>
          </w:p>
        </w:tc>
        <w:tc>
          <w:tcPr>
            <w:tcW w:type="dxa" w:w="1994"/>
            <w:vAlign w:val="center"/>
            <w:shd w:fill="F4F6F8"/>
          </w:tcPr>
          <w:p>
            <w:pPr>
              <w:spacing w:after="0"/>
            </w:pPr>
            <w:r/>
            <w:r>
              <w:rPr>
                <w:b w:val="0"/>
                <w:sz w:val="16"/>
              </w:rPr>
              <w:t>偏差0.00177</w:t>
            </w:r>
          </w:p>
        </w:tc>
        <w:tc>
          <w:tcPr>
            <w:tcW w:type="dxa" w:w="1994"/>
            <w:vAlign w:val="center"/>
            <w:shd w:fill="F4F6F8"/>
          </w:tcPr>
          <w:p>
            <w:pPr>
              <w:spacing w:after="0"/>
            </w:pPr>
            <w:r/>
            <w:r>
              <w:rPr>
                <w:b w:val="0"/>
                <w:sz w:val="16"/>
              </w:rPr>
              <w:t>0.874</w:t>
            </w:r>
          </w:p>
        </w:tc>
        <w:tc>
          <w:tcPr>
            <w:tcW w:type="dxa" w:w="1994"/>
            <w:vAlign w:val="center"/>
            <w:shd w:fill="F4F6F8"/>
          </w:tcPr>
          <w:p>
            <w:pPr>
              <w:spacing w:after="0"/>
            </w:pPr>
            <w:r/>
            <w:r>
              <w:rPr>
                <w:b w:val="0"/>
                <w:sz w:val="16"/>
              </w:rPr>
              <w:t>0.126</w:t>
            </w:r>
          </w:p>
        </w:tc>
      </w:tr>
      <w:tr>
        <w:tc>
          <w:tcPr>
            <w:tcW w:type="dxa" w:w="1994"/>
            <w:vAlign w:val="center"/>
          </w:tcPr>
          <w:p>
            <w:pPr>
              <w:spacing w:after="0"/>
            </w:pPr>
            <w:r/>
            <w:r>
              <w:rPr>
                <w:b w:val="0"/>
                <w:sz w:val="16"/>
              </w:rPr>
              <w:t>LD压力测试因果场景</w:t>
            </w:r>
          </w:p>
        </w:tc>
        <w:tc>
          <w:tcPr>
            <w:tcW w:type="dxa" w:w="1994"/>
            <w:vAlign w:val="center"/>
          </w:tcPr>
          <w:p>
            <w:pPr>
              <w:spacing w:after="0"/>
            </w:pPr>
            <w:r/>
            <w:r>
              <w:rPr>
                <w:b w:val="0"/>
                <w:sz w:val="16"/>
              </w:rPr>
              <w:t>正确LD+环境协方差</w:t>
            </w:r>
          </w:p>
        </w:tc>
        <w:tc>
          <w:tcPr>
            <w:tcW w:type="dxa" w:w="1994"/>
            <w:vAlign w:val="center"/>
          </w:tcPr>
          <w:p>
            <w:pPr>
              <w:spacing w:after="0"/>
            </w:pPr>
            <w:r/>
            <w:r>
              <w:rPr>
                <w:b w:val="0"/>
                <w:sz w:val="16"/>
              </w:rPr>
              <w:t>偏差0.00136</w:t>
            </w:r>
          </w:p>
        </w:tc>
        <w:tc>
          <w:tcPr>
            <w:tcW w:type="dxa" w:w="1994"/>
            <w:vAlign w:val="center"/>
          </w:tcPr>
          <w:p>
            <w:pPr>
              <w:spacing w:after="0"/>
            </w:pPr>
            <w:r/>
            <w:r>
              <w:rPr>
                <w:b w:val="0"/>
                <w:sz w:val="16"/>
              </w:rPr>
              <w:t>0.970</w:t>
            </w:r>
          </w:p>
        </w:tc>
        <w:tc>
          <w:tcPr>
            <w:tcW w:type="dxa" w:w="1994"/>
            <w:vAlign w:val="center"/>
          </w:tcPr>
          <w:p>
            <w:pPr>
              <w:spacing w:after="0"/>
            </w:pPr>
            <w:r/>
            <w:r>
              <w:rPr>
                <w:b w:val="0"/>
                <w:sz w:val="16"/>
              </w:rPr>
              <w:t>1.000</w:t>
            </w:r>
          </w:p>
        </w:tc>
      </w:tr>
      <w:tr>
        <w:tc>
          <w:tcPr>
            <w:tcW w:type="dxa" w:w="1994"/>
            <w:vAlign w:val="center"/>
            <w:shd w:fill="F4F6F8"/>
          </w:tcPr>
          <w:p>
            <w:pPr>
              <w:spacing w:after="0"/>
            </w:pPr>
            <w:r/>
            <w:r>
              <w:rPr>
                <w:b w:val="0"/>
                <w:sz w:val="16"/>
              </w:rPr>
              <w:t>LD压力测试因果场景</w:t>
            </w:r>
          </w:p>
        </w:tc>
        <w:tc>
          <w:tcPr>
            <w:tcW w:type="dxa" w:w="1994"/>
            <w:vAlign w:val="center"/>
            <w:shd w:fill="F4F6F8"/>
          </w:tcPr>
          <w:p>
            <w:pPr>
              <w:spacing w:after="0"/>
            </w:pPr>
            <w:r/>
            <w:r>
              <w:rPr>
                <w:b w:val="0"/>
                <w:sz w:val="16"/>
              </w:rPr>
              <w:t>错配对角模型</w:t>
            </w:r>
          </w:p>
        </w:tc>
        <w:tc>
          <w:tcPr>
            <w:tcW w:type="dxa" w:w="1994"/>
            <w:vAlign w:val="center"/>
            <w:shd w:fill="F4F6F8"/>
          </w:tcPr>
          <w:p>
            <w:pPr>
              <w:spacing w:after="0"/>
            </w:pPr>
            <w:r/>
            <w:r>
              <w:rPr>
                <w:b w:val="0"/>
                <w:sz w:val="16"/>
              </w:rPr>
              <w:t>偏差0.00170</w:t>
            </w:r>
          </w:p>
        </w:tc>
        <w:tc>
          <w:tcPr>
            <w:tcW w:type="dxa" w:w="1994"/>
            <w:vAlign w:val="center"/>
            <w:shd w:fill="F4F6F8"/>
          </w:tcPr>
          <w:p>
            <w:pPr>
              <w:spacing w:after="0"/>
            </w:pPr>
            <w:r/>
            <w:r>
              <w:rPr>
                <w:b w:val="0"/>
                <w:sz w:val="16"/>
              </w:rPr>
              <w:t>0.880</w:t>
            </w:r>
          </w:p>
        </w:tc>
        <w:tc>
          <w:tcPr>
            <w:tcW w:type="dxa" w:w="1994"/>
            <w:vAlign w:val="center"/>
            <w:shd w:fill="F4F6F8"/>
          </w:tcPr>
          <w:p>
            <w:pPr>
              <w:spacing w:after="0"/>
            </w:pPr>
            <w:r/>
            <w:r>
              <w:rPr>
                <w:b w:val="0"/>
                <w:sz w:val="16"/>
              </w:rPr>
              <w:t>1.000</w:t>
            </w:r>
          </w:p>
        </w:tc>
      </w:tr>
    </w:tbl>
    <w:p>
      <w:pPr>
        <w:spacing w:after="0"/>
      </w:pPr>
    </w:p>
    <w:p>
      <w:pPr>
        <w:spacing w:line="269" w:lineRule="auto" w:after="100"/>
      </w:pPr>
      <w:r>
        <w:t>方向性多效性场景暴露出一个重要限制。当真实斜率为零时，环境斜率仍近似无偏，但合并截距偏高+0.216。因此，环境斜率稳定并不能证明合并的因果关系不受水平多效性影响。</w:t>
      </w:r>
    </w:p>
    <w:p>
      <w:r>
        <w:drawing>
          <wp:inline xmlns:a="http://schemas.openxmlformats.org/drawingml/2006/main" xmlns:pic="http://schemas.openxmlformats.org/drawingml/2006/picture">
            <wp:extent cx="5806440" cy="4362219"/>
            <wp:docPr id="2" name="Picture 2"/>
            <wp:cNvGraphicFramePr>
              <a:graphicFrameLocks noChangeAspect="1"/>
            </wp:cNvGraphicFramePr>
            <a:graphic>
              <a:graphicData uri="http://schemas.openxmlformats.org/drawingml/2006/picture">
                <pic:pic>
                  <pic:nvPicPr>
                    <pic:cNvPr id="0" name="gxe_simulation.png"/>
                    <pic:cNvPicPr/>
                  </pic:nvPicPr>
                  <pic:blipFill>
                    <a:blip r:embed="rId12"/>
                    <a:stretch>
                      <a:fillRect/>
                    </a:stretch>
                  </pic:blipFill>
                  <pic:spPr>
                    <a:xfrm>
                      <a:off x="0" y="0"/>
                      <a:ext cx="5806440" cy="4362219"/>
                    </a:xfrm>
                    <a:prstGeom prst="rect"/>
                  </pic:spPr>
                </pic:pic>
              </a:graphicData>
            </a:graphic>
          </wp:inline>
        </w:drawing>
      </w:r>
    </w:p>
    <w:p>
      <w:pPr>
        <w:spacing w:line="269" w:lineRule="auto" w:after="100"/>
      </w:pPr>
      <w:r>
        <w:t>图2。模拟校准。（a）各场景的平均斜率估计及模拟均值的95%置信区间，虚线段表示数据生成值；（b）拒绝比例；（c）95%覆盖率；（d）方向性多效性使截距发生偏移，而环境斜率仍接近其目标值。</w:t>
      </w:r>
    </w:p>
    <w:p>
      <w:r>
        <w:drawing>
          <wp:inline xmlns:a="http://schemas.openxmlformats.org/drawingml/2006/main" xmlns:pic="http://schemas.openxmlformats.org/drawingml/2006/picture">
            <wp:extent cx="5806440" cy="4671503"/>
            <wp:docPr id="3" name="Picture 3"/>
            <wp:cNvGraphicFramePr>
              <a:graphicFrameLocks noChangeAspect="1"/>
            </wp:cNvGraphicFramePr>
            <a:graphic>
              <a:graphicData uri="http://schemas.openxmlformats.org/drawingml/2006/picture">
                <pic:pic>
                  <pic:nvPicPr>
                    <pic:cNvPr id="0" name="gxe_ld_stress.png"/>
                    <pic:cNvPicPr/>
                  </pic:nvPicPr>
                  <pic:blipFill>
                    <a:blip r:embed="rId13"/>
                    <a:stretch>
                      <a:fillRect/>
                    </a:stretch>
                  </pic:blipFill>
                  <pic:spPr>
                    <a:xfrm>
                      <a:off x="0" y="0"/>
                      <a:ext cx="5806440" cy="4671503"/>
                    </a:xfrm>
                    <a:prstGeom prst="rect"/>
                  </pic:spPr>
                </pic:pic>
              </a:graphicData>
            </a:graphic>
          </wp:inline>
        </w:drawing>
      </w:r>
    </w:p>
    <w:p>
      <w:pPr>
        <w:spacing w:line="269" w:lineRule="auto" w:after="100"/>
      </w:pPr>
      <w:r>
        <w:t>图3。LD压力测试。（a）零假设P值的经验校准；（b）斜率抽样分布；（c）覆盖率；（d）相对标准误失真，均基于给定的LD和环境依赖结构。独立性近似使零假设拒绝率从0.044升至0.126，使覆盖率从0.956降至0.874。</w:t>
      </w:r>
    </w:p>
    <w:p>
      <w:pPr>
        <w:pStyle w:val="Heading2"/>
      </w:pPr>
      <w:r>
        <w:t>共享输入的外部方法比较</w:t>
      </w:r>
    </w:p>
    <w:p>
      <w:pPr>
        <w:spacing w:line="269" w:lineRule="auto" w:after="100"/>
      </w:pPr>
      <w:r>
        <w:t>我们根据Spiller等人提出的三步构造，实现了一个范围有限的摘要统计MR-GxE比较器。[14] 该比较器只使用每个环境中的暴露关联来建立一个固定加权的等位基因分数，然后计算分数—暴露和分数—结局关联，并带截距回归后者。两种方法使用相同的20个SNP、4个环境层、环境相关矩阵、标准误和每个场景500次重复。该比较是按方法各自的估计目标进行的，而不是制作一个总性能排行榜：PlantMR估计环境效应斜率，而摘要MR-GxE估计不变因果效应和恒定多效性截距。</w:t>
      </w:r>
    </w:p>
    <w:p>
      <w:pPr>
        <w:spacing w:line="269" w:lineRule="auto" w:after="100"/>
      </w:pPr>
      <w:r>
        <w:t>表4。共享输入的PlantMR与摘要统计MR-GxE基准比较。只有当模拟数据生成模型定义了相应估计目标时，才报告偏差和覆盖率；目标不一致的输出保留为诊断。</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17365D"/>
          </w:tcPr>
          <w:p>
            <w:pPr>
              <w:spacing w:after="0"/>
            </w:pPr>
            <w:r/>
            <w:r>
              <w:rPr>
                <w:b/>
                <w:color w:val="FFFFFF"/>
                <w:sz w:val="16"/>
              </w:rPr>
              <w:t>场景</w:t>
            </w:r>
          </w:p>
        </w:tc>
        <w:tc>
          <w:tcPr>
            <w:tcW w:type="dxa" w:w="1425"/>
            <w:vAlign w:val="center"/>
            <w:shd w:fill="17365D"/>
          </w:tcPr>
          <w:p>
            <w:pPr>
              <w:spacing w:after="0"/>
            </w:pPr>
            <w:r/>
            <w:r>
              <w:rPr>
                <w:b/>
                <w:color w:val="FFFFFF"/>
                <w:sz w:val="16"/>
              </w:rPr>
              <w:t>方法/目标</w:t>
            </w:r>
          </w:p>
        </w:tc>
        <w:tc>
          <w:tcPr>
            <w:tcW w:type="dxa" w:w="1425"/>
            <w:vAlign w:val="center"/>
            <w:shd w:fill="17365D"/>
          </w:tcPr>
          <w:p>
            <w:pPr>
              <w:spacing w:after="0"/>
            </w:pPr>
            <w:r/>
            <w:r>
              <w:rPr>
                <w:b/>
                <w:color w:val="FFFFFF"/>
                <w:sz w:val="16"/>
              </w:rPr>
              <w:t>平均估计</w:t>
            </w:r>
          </w:p>
        </w:tc>
        <w:tc>
          <w:tcPr>
            <w:tcW w:type="dxa" w:w="1425"/>
            <w:vAlign w:val="center"/>
            <w:shd w:fill="17365D"/>
          </w:tcPr>
          <w:p>
            <w:pPr>
              <w:spacing w:after="0"/>
            </w:pPr>
            <w:r/>
            <w:r>
              <w:rPr>
                <w:b/>
                <w:color w:val="FFFFFF"/>
                <w:sz w:val="16"/>
              </w:rPr>
              <w:t>偏差</w:t>
            </w:r>
          </w:p>
        </w:tc>
        <w:tc>
          <w:tcPr>
            <w:tcW w:type="dxa" w:w="1425"/>
            <w:vAlign w:val="center"/>
            <w:shd w:fill="17365D"/>
          </w:tcPr>
          <w:p>
            <w:pPr>
              <w:spacing w:after="0"/>
            </w:pPr>
            <w:r/>
            <w:r>
              <w:rPr>
                <w:b/>
                <w:color w:val="FFFFFF"/>
                <w:sz w:val="16"/>
              </w:rPr>
              <w:t>覆盖率</w:t>
            </w:r>
          </w:p>
        </w:tc>
        <w:tc>
          <w:tcPr>
            <w:tcW w:type="dxa" w:w="1425"/>
            <w:vAlign w:val="center"/>
            <w:shd w:fill="17365D"/>
          </w:tcPr>
          <w:p>
            <w:pPr>
              <w:spacing w:after="0"/>
            </w:pPr>
            <w:r/>
            <w:r>
              <w:rPr>
                <w:b/>
                <w:color w:val="FFFFFF"/>
                <w:sz w:val="16"/>
              </w:rPr>
              <w:t>拒绝率</w:t>
            </w:r>
          </w:p>
        </w:tc>
        <w:tc>
          <w:tcPr>
            <w:tcW w:type="dxa" w:w="1425"/>
            <w:vAlign w:val="center"/>
            <w:shd w:fill="17365D"/>
          </w:tcPr>
          <w:p>
            <w:pPr>
              <w:spacing w:after="0"/>
            </w:pPr>
            <w:r/>
            <w:r>
              <w:rPr>
                <w:b/>
                <w:color w:val="FFFFFF"/>
                <w:sz w:val="16"/>
              </w:rPr>
              <w:t>解释</w:t>
            </w:r>
          </w:p>
        </w:tc>
      </w:tr>
      <w:tr>
        <w:tc>
          <w:tcPr>
            <w:tcW w:type="dxa" w:w="1425"/>
            <w:vAlign w:val="center"/>
          </w:tcPr>
          <w:p>
            <w:pPr>
              <w:spacing w:after="0"/>
            </w:pPr>
            <w:r/>
            <w:r>
              <w:rPr>
                <w:b w:val="0"/>
                <w:sz w:val="16"/>
              </w:rPr>
              <w:t>零因果效应+多效性</w:t>
            </w:r>
          </w:p>
        </w:tc>
        <w:tc>
          <w:tcPr>
            <w:tcW w:type="dxa" w:w="1425"/>
            <w:vAlign w:val="center"/>
          </w:tcPr>
          <w:p>
            <w:pPr>
              <w:spacing w:after="0"/>
            </w:pPr>
            <w:r/>
            <w:r>
              <w:rPr>
                <w:b w:val="0"/>
                <w:sz w:val="16"/>
              </w:rPr>
              <w:t>摘要MR-GxE/因果效应</w:t>
            </w:r>
          </w:p>
        </w:tc>
        <w:tc>
          <w:tcPr>
            <w:tcW w:type="dxa" w:w="1425"/>
            <w:vAlign w:val="center"/>
          </w:tcPr>
          <w:p>
            <w:pPr>
              <w:spacing w:after="0"/>
            </w:pPr>
            <w:r/>
            <w:r>
              <w:rPr>
                <w:b w:val="0"/>
                <w:sz w:val="16"/>
              </w:rPr>
              <w:t>−0.0021</w:t>
            </w:r>
          </w:p>
        </w:tc>
        <w:tc>
          <w:tcPr>
            <w:tcW w:type="dxa" w:w="1425"/>
            <w:vAlign w:val="center"/>
          </w:tcPr>
          <w:p>
            <w:pPr>
              <w:spacing w:after="0"/>
            </w:pPr>
            <w:r/>
            <w:r>
              <w:rPr>
                <w:b w:val="0"/>
                <w:sz w:val="16"/>
              </w:rPr>
              <w:t>−0.0021</w:t>
            </w:r>
          </w:p>
        </w:tc>
        <w:tc>
          <w:tcPr>
            <w:tcW w:type="dxa" w:w="1425"/>
            <w:vAlign w:val="center"/>
          </w:tcPr>
          <w:p>
            <w:pPr>
              <w:spacing w:after="0"/>
            </w:pPr>
            <w:r/>
            <w:r>
              <w:rPr>
                <w:b w:val="0"/>
                <w:sz w:val="16"/>
              </w:rPr>
              <w:t>0.934</w:t>
            </w:r>
          </w:p>
        </w:tc>
        <w:tc>
          <w:tcPr>
            <w:tcW w:type="dxa" w:w="1425"/>
            <w:vAlign w:val="center"/>
          </w:tcPr>
          <w:p>
            <w:pPr>
              <w:spacing w:after="0"/>
            </w:pPr>
            <w:r/>
            <w:r>
              <w:rPr>
                <w:b w:val="0"/>
                <w:sz w:val="16"/>
              </w:rPr>
              <w:t>0.066</w:t>
            </w:r>
          </w:p>
        </w:tc>
        <w:tc>
          <w:tcPr>
            <w:tcW w:type="dxa" w:w="1425"/>
            <w:vAlign w:val="center"/>
          </w:tcPr>
          <w:p>
            <w:pPr>
              <w:spacing w:after="0"/>
            </w:pPr>
            <w:r/>
            <w:r>
              <w:rPr>
                <w:b w:val="0"/>
                <w:sz w:val="16"/>
              </w:rPr>
              <w:t>目标明确的因果校准</w:t>
            </w:r>
          </w:p>
        </w:tc>
      </w:tr>
      <w:tr>
        <w:tc>
          <w:tcPr>
            <w:tcW w:type="dxa" w:w="1425"/>
            <w:vAlign w:val="center"/>
            <w:shd w:fill="F4F6F8"/>
          </w:tcPr>
          <w:p>
            <w:pPr>
              <w:spacing w:after="0"/>
            </w:pPr>
            <w:r/>
            <w:r>
              <w:rPr>
                <w:b w:val="0"/>
                <w:sz w:val="16"/>
              </w:rPr>
              <w:t>零因果效应+多效性</w:t>
            </w:r>
          </w:p>
        </w:tc>
        <w:tc>
          <w:tcPr>
            <w:tcW w:type="dxa" w:w="1425"/>
            <w:vAlign w:val="center"/>
            <w:shd w:fill="F4F6F8"/>
          </w:tcPr>
          <w:p>
            <w:pPr>
              <w:spacing w:after="0"/>
            </w:pPr>
            <w:r/>
            <w:r>
              <w:rPr>
                <w:b w:val="0"/>
                <w:sz w:val="16"/>
              </w:rPr>
              <w:t>PlantMR/环境斜率</w:t>
            </w:r>
          </w:p>
        </w:tc>
        <w:tc>
          <w:tcPr>
            <w:tcW w:type="dxa" w:w="1425"/>
            <w:vAlign w:val="center"/>
            <w:shd w:fill="F4F6F8"/>
          </w:tcPr>
          <w:p>
            <w:pPr>
              <w:spacing w:after="0"/>
            </w:pPr>
            <w:r/>
            <w:r>
              <w:rPr>
                <w:b w:val="0"/>
                <w:sz w:val="16"/>
              </w:rPr>
              <w:t>−0.0692</w:t>
            </w:r>
          </w:p>
        </w:tc>
        <w:tc>
          <w:tcPr>
            <w:tcW w:type="dxa" w:w="1425"/>
            <w:vAlign w:val="center"/>
            <w:shd w:fill="F4F6F8"/>
          </w:tcPr>
          <w:p>
            <w:pPr>
              <w:spacing w:after="0"/>
            </w:pPr>
            <w:r/>
            <w:r>
              <w:rPr>
                <w:b w:val="0"/>
                <w:sz w:val="16"/>
              </w:rPr>
              <w:t>—</w:t>
            </w:r>
          </w:p>
        </w:tc>
        <w:tc>
          <w:tcPr>
            <w:tcW w:type="dxa" w:w="1425"/>
            <w:vAlign w:val="center"/>
            <w:shd w:fill="F4F6F8"/>
          </w:tcPr>
          <w:p>
            <w:pPr>
              <w:spacing w:after="0"/>
            </w:pPr>
            <w:r/>
            <w:r>
              <w:rPr>
                <w:b w:val="0"/>
                <w:sz w:val="16"/>
              </w:rPr>
              <w:t>—</w:t>
            </w:r>
          </w:p>
        </w:tc>
        <w:tc>
          <w:tcPr>
            <w:tcW w:type="dxa" w:w="1425"/>
            <w:vAlign w:val="center"/>
            <w:shd w:fill="F4F6F8"/>
          </w:tcPr>
          <w:p>
            <w:pPr>
              <w:spacing w:after="0"/>
            </w:pPr>
            <w:r/>
            <w:r>
              <w:rPr>
                <w:b w:val="0"/>
                <w:sz w:val="16"/>
              </w:rPr>
              <w:t>—</w:t>
            </w:r>
          </w:p>
        </w:tc>
        <w:tc>
          <w:tcPr>
            <w:tcW w:type="dxa" w:w="1425"/>
            <w:vAlign w:val="center"/>
            <w:shd w:fill="F4F6F8"/>
          </w:tcPr>
          <w:p>
            <w:pPr>
              <w:spacing w:after="0"/>
            </w:pPr>
            <w:r/>
            <w:r>
              <w:rPr>
                <w:b w:val="0"/>
                <w:sz w:val="16"/>
              </w:rPr>
              <w:t>仅作诊断：多效性使斜率不再具有因果含义</w:t>
            </w:r>
          </w:p>
        </w:tc>
      </w:tr>
      <w:tr>
        <w:tc>
          <w:tcPr>
            <w:tcW w:type="dxa" w:w="1425"/>
            <w:vAlign w:val="center"/>
          </w:tcPr>
          <w:p>
            <w:pPr>
              <w:spacing w:after="0"/>
            </w:pPr>
            <w:r/>
            <w:r>
              <w:rPr>
                <w:b w:val="0"/>
                <w:sz w:val="16"/>
              </w:rPr>
              <w:t>恒定效应、无多效性</w:t>
            </w:r>
          </w:p>
        </w:tc>
        <w:tc>
          <w:tcPr>
            <w:tcW w:type="dxa" w:w="1425"/>
            <w:vAlign w:val="center"/>
          </w:tcPr>
          <w:p>
            <w:pPr>
              <w:spacing w:after="0"/>
            </w:pPr>
            <w:r/>
            <w:r>
              <w:rPr>
                <w:b w:val="0"/>
                <w:sz w:val="16"/>
              </w:rPr>
              <w:t>PlantMR/环境斜率</w:t>
            </w:r>
          </w:p>
        </w:tc>
        <w:tc>
          <w:tcPr>
            <w:tcW w:type="dxa" w:w="1425"/>
            <w:vAlign w:val="center"/>
          </w:tcPr>
          <w:p>
            <w:pPr>
              <w:spacing w:after="0"/>
            </w:pPr>
            <w:r/>
            <w:r>
              <w:rPr>
                <w:b w:val="0"/>
                <w:sz w:val="16"/>
              </w:rPr>
              <w:t>0.0036</w:t>
            </w:r>
          </w:p>
        </w:tc>
        <w:tc>
          <w:tcPr>
            <w:tcW w:type="dxa" w:w="1425"/>
            <w:vAlign w:val="center"/>
          </w:tcPr>
          <w:p>
            <w:pPr>
              <w:spacing w:after="0"/>
            </w:pPr>
            <w:r/>
            <w:r>
              <w:rPr>
                <w:b w:val="0"/>
                <w:sz w:val="16"/>
              </w:rPr>
              <w:t>0.0036</w:t>
            </w:r>
          </w:p>
        </w:tc>
        <w:tc>
          <w:tcPr>
            <w:tcW w:type="dxa" w:w="1425"/>
            <w:vAlign w:val="center"/>
          </w:tcPr>
          <w:p>
            <w:pPr>
              <w:spacing w:after="0"/>
            </w:pPr>
            <w:r/>
            <w:r>
              <w:rPr>
                <w:b w:val="0"/>
                <w:sz w:val="16"/>
              </w:rPr>
              <w:t>0.938</w:t>
            </w:r>
          </w:p>
        </w:tc>
        <w:tc>
          <w:tcPr>
            <w:tcW w:type="dxa" w:w="1425"/>
            <w:vAlign w:val="center"/>
          </w:tcPr>
          <w:p>
            <w:pPr>
              <w:spacing w:after="0"/>
            </w:pPr>
            <w:r/>
            <w:r>
              <w:rPr>
                <w:b w:val="0"/>
                <w:sz w:val="16"/>
              </w:rPr>
              <w:t>0.062</w:t>
            </w:r>
          </w:p>
        </w:tc>
        <w:tc>
          <w:tcPr>
            <w:tcW w:type="dxa" w:w="1425"/>
            <w:vAlign w:val="center"/>
          </w:tcPr>
          <w:p>
            <w:pPr>
              <w:spacing w:after="0"/>
            </w:pPr>
            <w:r/>
            <w:r>
              <w:rPr>
                <w:b w:val="0"/>
                <w:sz w:val="16"/>
              </w:rPr>
              <w:t>目标明确的异质性校准</w:t>
            </w:r>
          </w:p>
        </w:tc>
      </w:tr>
      <w:tr>
        <w:tc>
          <w:tcPr>
            <w:tcW w:type="dxa" w:w="1425"/>
            <w:vAlign w:val="center"/>
            <w:shd w:fill="F4F6F8"/>
          </w:tcPr>
          <w:p>
            <w:pPr>
              <w:spacing w:after="0"/>
            </w:pPr>
            <w:r/>
            <w:r>
              <w:rPr>
                <w:b w:val="0"/>
                <w:sz w:val="16"/>
              </w:rPr>
              <w:t>恒定效应、无多效性</w:t>
            </w:r>
          </w:p>
        </w:tc>
        <w:tc>
          <w:tcPr>
            <w:tcW w:type="dxa" w:w="1425"/>
            <w:vAlign w:val="center"/>
            <w:shd w:fill="F4F6F8"/>
          </w:tcPr>
          <w:p>
            <w:pPr>
              <w:spacing w:after="0"/>
            </w:pPr>
            <w:r/>
            <w:r>
              <w:rPr>
                <w:b w:val="0"/>
                <w:sz w:val="16"/>
              </w:rPr>
              <w:t>摘要MR-GxE/因果效应</w:t>
            </w:r>
          </w:p>
        </w:tc>
        <w:tc>
          <w:tcPr>
            <w:tcW w:type="dxa" w:w="1425"/>
            <w:vAlign w:val="center"/>
            <w:shd w:fill="F4F6F8"/>
          </w:tcPr>
          <w:p>
            <w:pPr>
              <w:spacing w:after="0"/>
            </w:pPr>
            <w:r/>
            <w:r>
              <w:rPr>
                <w:b w:val="0"/>
                <w:sz w:val="16"/>
              </w:rPr>
              <w:t>0.5003</w:t>
            </w:r>
          </w:p>
        </w:tc>
        <w:tc>
          <w:tcPr>
            <w:tcW w:type="dxa" w:w="1425"/>
            <w:vAlign w:val="center"/>
            <w:shd w:fill="F4F6F8"/>
          </w:tcPr>
          <w:p>
            <w:pPr>
              <w:spacing w:after="0"/>
            </w:pPr>
            <w:r/>
            <w:r>
              <w:rPr>
                <w:b w:val="0"/>
                <w:sz w:val="16"/>
              </w:rPr>
              <w:t>0.0003</w:t>
            </w:r>
          </w:p>
        </w:tc>
        <w:tc>
          <w:tcPr>
            <w:tcW w:type="dxa" w:w="1425"/>
            <w:vAlign w:val="center"/>
            <w:shd w:fill="F4F6F8"/>
          </w:tcPr>
          <w:p>
            <w:pPr>
              <w:spacing w:after="0"/>
            </w:pPr>
            <w:r/>
            <w:r>
              <w:rPr>
                <w:b w:val="0"/>
                <w:sz w:val="16"/>
              </w:rPr>
              <w:t>0.958</w:t>
            </w:r>
          </w:p>
        </w:tc>
        <w:tc>
          <w:tcPr>
            <w:tcW w:type="dxa" w:w="1425"/>
            <w:vAlign w:val="center"/>
            <w:shd w:fill="F4F6F8"/>
          </w:tcPr>
          <w:p>
            <w:pPr>
              <w:spacing w:after="0"/>
            </w:pPr>
            <w:r/>
            <w:r>
              <w:rPr>
                <w:b w:val="0"/>
                <w:sz w:val="16"/>
              </w:rPr>
              <w:t>1.000</w:t>
            </w:r>
          </w:p>
        </w:tc>
        <w:tc>
          <w:tcPr>
            <w:tcW w:type="dxa" w:w="1425"/>
            <w:vAlign w:val="center"/>
            <w:shd w:fill="F4F6F8"/>
          </w:tcPr>
          <w:p>
            <w:pPr>
              <w:spacing w:after="0"/>
            </w:pPr>
            <w:r/>
            <w:r>
              <w:rPr>
                <w:b w:val="0"/>
                <w:sz w:val="16"/>
              </w:rPr>
              <w:t>目标明确的因果校准</w:t>
            </w:r>
          </w:p>
        </w:tc>
      </w:tr>
      <w:tr>
        <w:tc>
          <w:tcPr>
            <w:tcW w:type="dxa" w:w="1425"/>
            <w:vAlign w:val="center"/>
          </w:tcPr>
          <w:p>
            <w:pPr>
              <w:spacing w:after="0"/>
            </w:pPr>
            <w:r/>
            <w:r>
              <w:rPr>
                <w:b w:val="0"/>
                <w:sz w:val="16"/>
              </w:rPr>
              <w:t>恒定效应+多效性</w:t>
            </w:r>
          </w:p>
        </w:tc>
        <w:tc>
          <w:tcPr>
            <w:tcW w:type="dxa" w:w="1425"/>
            <w:vAlign w:val="center"/>
          </w:tcPr>
          <w:p>
            <w:pPr>
              <w:spacing w:after="0"/>
            </w:pPr>
            <w:r/>
            <w:r>
              <w:rPr>
                <w:b w:val="0"/>
                <w:sz w:val="16"/>
              </w:rPr>
              <w:t>摘要MR-GxE/因果效应</w:t>
            </w:r>
          </w:p>
        </w:tc>
        <w:tc>
          <w:tcPr>
            <w:tcW w:type="dxa" w:w="1425"/>
            <w:vAlign w:val="center"/>
          </w:tcPr>
          <w:p>
            <w:pPr>
              <w:spacing w:after="0"/>
            </w:pPr>
            <w:r/>
            <w:r>
              <w:rPr>
                <w:b w:val="0"/>
                <w:sz w:val="16"/>
              </w:rPr>
              <w:t>0.4983</w:t>
            </w:r>
          </w:p>
        </w:tc>
        <w:tc>
          <w:tcPr>
            <w:tcW w:type="dxa" w:w="1425"/>
            <w:vAlign w:val="center"/>
          </w:tcPr>
          <w:p>
            <w:pPr>
              <w:spacing w:after="0"/>
            </w:pPr>
            <w:r/>
            <w:r>
              <w:rPr>
                <w:b w:val="0"/>
                <w:sz w:val="16"/>
              </w:rPr>
              <w:t>−0.0017</w:t>
            </w:r>
          </w:p>
        </w:tc>
        <w:tc>
          <w:tcPr>
            <w:tcW w:type="dxa" w:w="1425"/>
            <w:vAlign w:val="center"/>
          </w:tcPr>
          <w:p>
            <w:pPr>
              <w:spacing w:after="0"/>
            </w:pPr>
            <w:r/>
            <w:r>
              <w:rPr>
                <w:b w:val="0"/>
                <w:sz w:val="16"/>
              </w:rPr>
              <w:t>0.938</w:t>
            </w:r>
          </w:p>
        </w:tc>
        <w:tc>
          <w:tcPr>
            <w:tcW w:type="dxa" w:w="1425"/>
            <w:vAlign w:val="center"/>
          </w:tcPr>
          <w:p>
            <w:pPr>
              <w:spacing w:after="0"/>
            </w:pPr>
            <w:r/>
            <w:r>
              <w:rPr>
                <w:b w:val="0"/>
                <w:sz w:val="16"/>
              </w:rPr>
              <w:t>1.000</w:t>
            </w:r>
          </w:p>
        </w:tc>
        <w:tc>
          <w:tcPr>
            <w:tcW w:type="dxa" w:w="1425"/>
            <w:vAlign w:val="center"/>
          </w:tcPr>
          <w:p>
            <w:pPr>
              <w:spacing w:after="0"/>
            </w:pPr>
            <w:r/>
            <w:r>
              <w:rPr>
                <w:b w:val="0"/>
                <w:sz w:val="16"/>
              </w:rPr>
              <w:t>在恒定多效性下恢复正确因果目标</w:t>
            </w:r>
          </w:p>
        </w:tc>
      </w:tr>
      <w:tr>
        <w:tc>
          <w:tcPr>
            <w:tcW w:type="dxa" w:w="1425"/>
            <w:vAlign w:val="center"/>
            <w:shd w:fill="F4F6F8"/>
          </w:tcPr>
          <w:p>
            <w:pPr>
              <w:spacing w:after="0"/>
            </w:pPr>
            <w:r/>
            <w:r>
              <w:rPr>
                <w:b w:val="0"/>
                <w:sz w:val="16"/>
              </w:rPr>
              <w:t>恒定效应+多效性</w:t>
            </w:r>
          </w:p>
        </w:tc>
        <w:tc>
          <w:tcPr>
            <w:tcW w:type="dxa" w:w="1425"/>
            <w:vAlign w:val="center"/>
            <w:shd w:fill="F4F6F8"/>
          </w:tcPr>
          <w:p>
            <w:pPr>
              <w:spacing w:after="0"/>
            </w:pPr>
            <w:r/>
            <w:r>
              <w:rPr>
                <w:b w:val="0"/>
                <w:sz w:val="16"/>
              </w:rPr>
              <w:t>PlantMR/环境斜率</w:t>
            </w:r>
          </w:p>
        </w:tc>
        <w:tc>
          <w:tcPr>
            <w:tcW w:type="dxa" w:w="1425"/>
            <w:vAlign w:val="center"/>
            <w:shd w:fill="F4F6F8"/>
          </w:tcPr>
          <w:p>
            <w:pPr>
              <w:spacing w:after="0"/>
            </w:pPr>
            <w:r/>
            <w:r>
              <w:rPr>
                <w:b w:val="0"/>
                <w:sz w:val="16"/>
              </w:rPr>
              <w:t>−0.0653</w:t>
            </w:r>
          </w:p>
        </w:tc>
        <w:tc>
          <w:tcPr>
            <w:tcW w:type="dxa" w:w="1425"/>
            <w:vAlign w:val="center"/>
            <w:shd w:fill="F4F6F8"/>
          </w:tcPr>
          <w:p>
            <w:pPr>
              <w:spacing w:after="0"/>
            </w:pPr>
            <w:r/>
            <w:r>
              <w:rPr>
                <w:b w:val="0"/>
                <w:sz w:val="16"/>
              </w:rPr>
              <w:t>—</w:t>
            </w:r>
          </w:p>
        </w:tc>
        <w:tc>
          <w:tcPr>
            <w:tcW w:type="dxa" w:w="1425"/>
            <w:vAlign w:val="center"/>
            <w:shd w:fill="F4F6F8"/>
          </w:tcPr>
          <w:p>
            <w:pPr>
              <w:spacing w:after="0"/>
            </w:pPr>
            <w:r/>
            <w:r>
              <w:rPr>
                <w:b w:val="0"/>
                <w:sz w:val="16"/>
              </w:rPr>
              <w:t>—</w:t>
            </w:r>
          </w:p>
        </w:tc>
        <w:tc>
          <w:tcPr>
            <w:tcW w:type="dxa" w:w="1425"/>
            <w:vAlign w:val="center"/>
            <w:shd w:fill="F4F6F8"/>
          </w:tcPr>
          <w:p>
            <w:pPr>
              <w:spacing w:after="0"/>
            </w:pPr>
            <w:r/>
            <w:r>
              <w:rPr>
                <w:b w:val="0"/>
                <w:sz w:val="16"/>
              </w:rPr>
              <w:t>—</w:t>
            </w:r>
          </w:p>
        </w:tc>
        <w:tc>
          <w:tcPr>
            <w:tcW w:type="dxa" w:w="1425"/>
            <w:vAlign w:val="center"/>
            <w:shd w:fill="F4F6F8"/>
          </w:tcPr>
          <w:p>
            <w:pPr>
              <w:spacing w:after="0"/>
            </w:pPr>
            <w:r/>
            <w:r>
              <w:rPr>
                <w:b w:val="0"/>
                <w:sz w:val="16"/>
              </w:rPr>
              <w:t>仅作诊断：不是因果斜率</w:t>
            </w:r>
          </w:p>
        </w:tc>
      </w:tr>
      <w:tr>
        <w:tc>
          <w:tcPr>
            <w:tcW w:type="dxa" w:w="1425"/>
            <w:vAlign w:val="center"/>
          </w:tcPr>
          <w:p>
            <w:pPr>
              <w:spacing w:after="0"/>
            </w:pPr>
            <w:r/>
            <w:r>
              <w:rPr>
                <w:b w:val="0"/>
                <w:sz w:val="16"/>
              </w:rPr>
              <w:t>环境效应异质性</w:t>
            </w:r>
          </w:p>
        </w:tc>
        <w:tc>
          <w:tcPr>
            <w:tcW w:type="dxa" w:w="1425"/>
            <w:vAlign w:val="center"/>
          </w:tcPr>
          <w:p>
            <w:pPr>
              <w:spacing w:after="0"/>
            </w:pPr>
            <w:r/>
            <w:r>
              <w:rPr>
                <w:b w:val="0"/>
                <w:sz w:val="16"/>
              </w:rPr>
              <w:t>PlantMR/环境斜率</w:t>
            </w:r>
          </w:p>
        </w:tc>
        <w:tc>
          <w:tcPr>
            <w:tcW w:type="dxa" w:w="1425"/>
            <w:vAlign w:val="center"/>
          </w:tcPr>
          <w:p>
            <w:pPr>
              <w:spacing w:after="0"/>
            </w:pPr>
            <w:r/>
            <w:r>
              <w:rPr>
                <w:b w:val="0"/>
                <w:sz w:val="16"/>
              </w:rPr>
              <w:t>0.2515</w:t>
            </w:r>
          </w:p>
        </w:tc>
        <w:tc>
          <w:tcPr>
            <w:tcW w:type="dxa" w:w="1425"/>
            <w:vAlign w:val="center"/>
          </w:tcPr>
          <w:p>
            <w:pPr>
              <w:spacing w:after="0"/>
            </w:pPr>
            <w:r/>
            <w:r>
              <w:rPr>
                <w:b w:val="0"/>
                <w:sz w:val="16"/>
              </w:rPr>
              <w:t>0.0015</w:t>
            </w:r>
          </w:p>
        </w:tc>
        <w:tc>
          <w:tcPr>
            <w:tcW w:type="dxa" w:w="1425"/>
            <w:vAlign w:val="center"/>
          </w:tcPr>
          <w:p>
            <w:pPr>
              <w:spacing w:after="0"/>
            </w:pPr>
            <w:r/>
            <w:r>
              <w:rPr>
                <w:b w:val="0"/>
                <w:sz w:val="16"/>
              </w:rPr>
              <w:t>0.942</w:t>
            </w:r>
          </w:p>
        </w:tc>
        <w:tc>
          <w:tcPr>
            <w:tcW w:type="dxa" w:w="1425"/>
            <w:vAlign w:val="center"/>
          </w:tcPr>
          <w:p>
            <w:pPr>
              <w:spacing w:after="0"/>
            </w:pPr>
            <w:r/>
            <w:r>
              <w:rPr>
                <w:b w:val="0"/>
                <w:sz w:val="16"/>
              </w:rPr>
              <w:t>1.000</w:t>
            </w:r>
          </w:p>
        </w:tc>
        <w:tc>
          <w:tcPr>
            <w:tcW w:type="dxa" w:w="1425"/>
            <w:vAlign w:val="center"/>
          </w:tcPr>
          <w:p>
            <w:pPr>
              <w:spacing w:after="0"/>
            </w:pPr>
            <w:r/>
            <w:r>
              <w:rPr>
                <w:b w:val="0"/>
                <w:sz w:val="16"/>
              </w:rPr>
              <w:t>正确的环境斜率目标</w:t>
            </w:r>
          </w:p>
        </w:tc>
      </w:tr>
      <w:tr>
        <w:tc>
          <w:tcPr>
            <w:tcW w:type="dxa" w:w="1425"/>
            <w:vAlign w:val="center"/>
            <w:shd w:fill="F4F6F8"/>
          </w:tcPr>
          <w:p>
            <w:pPr>
              <w:spacing w:after="0"/>
            </w:pPr>
            <w:r/>
            <w:r>
              <w:rPr>
                <w:b w:val="0"/>
                <w:sz w:val="16"/>
              </w:rPr>
              <w:t>环境效应异质性</w:t>
            </w:r>
          </w:p>
        </w:tc>
        <w:tc>
          <w:tcPr>
            <w:tcW w:type="dxa" w:w="1425"/>
            <w:vAlign w:val="center"/>
            <w:shd w:fill="F4F6F8"/>
          </w:tcPr>
          <w:p>
            <w:pPr>
              <w:spacing w:after="0"/>
            </w:pPr>
            <w:r/>
            <w:r>
              <w:rPr>
                <w:b w:val="0"/>
                <w:sz w:val="16"/>
              </w:rPr>
              <w:t>摘要MR-GxE/因果效应</w:t>
            </w:r>
          </w:p>
        </w:tc>
        <w:tc>
          <w:tcPr>
            <w:tcW w:type="dxa" w:w="1425"/>
            <w:vAlign w:val="center"/>
            <w:shd w:fill="F4F6F8"/>
          </w:tcPr>
          <w:p>
            <w:pPr>
              <w:spacing w:after="0"/>
            </w:pPr>
            <w:r/>
            <w:r>
              <w:rPr>
                <w:b w:val="0"/>
                <w:sz w:val="16"/>
              </w:rPr>
              <w:t>1.2143</w:t>
            </w:r>
          </w:p>
        </w:tc>
        <w:tc>
          <w:tcPr>
            <w:tcW w:type="dxa" w:w="1425"/>
            <w:vAlign w:val="center"/>
            <w:shd w:fill="F4F6F8"/>
          </w:tcPr>
          <w:p>
            <w:pPr>
              <w:spacing w:after="0"/>
            </w:pPr>
            <w:r/>
            <w:r>
              <w:rPr>
                <w:b w:val="0"/>
                <w:sz w:val="16"/>
              </w:rPr>
              <w:t>—</w:t>
            </w:r>
          </w:p>
        </w:tc>
        <w:tc>
          <w:tcPr>
            <w:tcW w:type="dxa" w:w="1425"/>
            <w:vAlign w:val="center"/>
            <w:shd w:fill="F4F6F8"/>
          </w:tcPr>
          <w:p>
            <w:pPr>
              <w:spacing w:after="0"/>
            </w:pPr>
            <w:r/>
            <w:r>
              <w:rPr>
                <w:b w:val="0"/>
                <w:sz w:val="16"/>
              </w:rPr>
              <w:t>—</w:t>
            </w:r>
          </w:p>
        </w:tc>
        <w:tc>
          <w:tcPr>
            <w:tcW w:type="dxa" w:w="1425"/>
            <w:vAlign w:val="center"/>
            <w:shd w:fill="F4F6F8"/>
          </w:tcPr>
          <w:p>
            <w:pPr>
              <w:spacing w:after="0"/>
            </w:pPr>
            <w:r/>
            <w:r>
              <w:rPr>
                <w:b w:val="0"/>
                <w:sz w:val="16"/>
              </w:rPr>
              <w:t>—</w:t>
            </w:r>
          </w:p>
        </w:tc>
        <w:tc>
          <w:tcPr>
            <w:tcW w:type="dxa" w:w="1425"/>
            <w:vAlign w:val="center"/>
            <w:shd w:fill="F4F6F8"/>
          </w:tcPr>
          <w:p>
            <w:pPr>
              <w:spacing w:after="0"/>
            </w:pPr>
            <w:r/>
            <w:r>
              <w:rPr>
                <w:b w:val="0"/>
                <w:sz w:val="16"/>
              </w:rPr>
              <w:t>仅作诊断：不变效应目标在此场景未定义</w:t>
            </w:r>
          </w:p>
        </w:tc>
      </w:tr>
    </w:tbl>
    <w:p>
      <w:pPr>
        <w:spacing w:after="0"/>
      </w:pPr>
    </w:p>
    <w:p>
      <w:pPr>
        <w:spacing w:line="269" w:lineRule="auto" w:after="100"/>
      </w:pPr>
      <w:r>
        <w:t>这一比较支持的是互补性，而不是某个方法胜出。在恒定因果效应和方向性多效性场景下，摘要MR-GxE恢复了因果效应（均值0.4983，覆盖率0.938），而PlantMR环境斜率是由排除限制被违反所产生的诊断信号。在真实存在环境效应异质性且没有多效性的场景下，PlantMR恢复了环境斜率（均值0.2515，覆盖率0.942），而摘要MR-GxE输出并不对应同一个因果估计目标。因此，外部比较说明的是方法范围和假设，而不是某个方法全面优于另一个方法。</w:t>
      </w:r>
    </w:p>
    <w:p>
      <w:r>
        <w:drawing>
          <wp:inline xmlns:a="http://schemas.openxmlformats.org/drawingml/2006/main" xmlns:pic="http://schemas.openxmlformats.org/drawingml/2006/picture">
            <wp:extent cx="5806440" cy="2970563"/>
            <wp:docPr id="4" name="Picture 4"/>
            <wp:cNvGraphicFramePr>
              <a:graphicFrameLocks noChangeAspect="1"/>
            </wp:cNvGraphicFramePr>
            <a:graphic>
              <a:graphicData uri="http://schemas.openxmlformats.org/drawingml/2006/picture">
                <pic:pic>
                  <pic:nvPicPr>
                    <pic:cNvPr id="0" name="mr_gxe_head_to_head.png"/>
                    <pic:cNvPicPr/>
                  </pic:nvPicPr>
                  <pic:blipFill>
                    <a:blip r:embed="rId14"/>
                    <a:stretch>
                      <a:fillRect/>
                    </a:stretch>
                  </pic:blipFill>
                  <pic:spPr>
                    <a:xfrm>
                      <a:off x="0" y="0"/>
                      <a:ext cx="5806440" cy="2970563"/>
                    </a:xfrm>
                    <a:prstGeom prst="rect"/>
                  </pic:spPr>
                </pic:pic>
              </a:graphicData>
            </a:graphic>
          </wp:inline>
        </w:drawing>
      </w:r>
    </w:p>
    <w:p>
      <w:pPr>
        <w:spacing w:line="269" w:lineRule="auto" w:after="100"/>
      </w:pPr>
      <w:r>
        <w:t>图5。共享输入比较。（a）显示目标明确的估计，并用菱形标出生成真值；（b）只对估计目标明确的方法—场景组合显示覆盖率，灰色单元格表示目标不同，因此不评分。</w:t>
      </w:r>
    </w:p>
    <w:p>
      <w:pPr>
        <w:pStyle w:val="Heading2"/>
      </w:pPr>
      <w:r>
        <w:t>Arabidopsis数据契约案例</w:t>
      </w:r>
    </w:p>
    <w:p>
      <w:pPr>
        <w:spacing w:line="269" w:lineRule="auto" w:after="100"/>
      </w:pPr>
      <w:r>
        <w:t>Arabidopsis案例的目的，是演示公开数据工作流和诊断，而不是进行新的因果发现。从GSE80744标准化表达矩阵中提取AT1G11560的基线叶片表达，从1001 Genomes v3.1矩阵中提取局部基因型，并从AraPheno中提取10°C和16°C开花时间。局部关联模型使用带5个全基因组主成分的普通最小二乘回归，遵循植物关联分析中需要建模群体结构和亲缘关系的一般原则，[29–34] 但没有把它写成已重新实现发表研究中的混合模型/SMR分析。[19–24]</w:t>
      </w:r>
    </w:p>
    <w:p>
      <w:pPr>
        <w:spacing w:line="269" w:lineRule="auto" w:after="100"/>
      </w:pPr>
      <w:r>
        <w:t>表5。Arabidopsis数据契约的输入和局部处理。</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17365D"/>
          </w:tcPr>
          <w:p>
            <w:pPr>
              <w:spacing w:after="0"/>
            </w:pPr>
            <w:r/>
            <w:r>
              <w:rPr>
                <w:b/>
                <w:color w:val="FFFFFF"/>
                <w:sz w:val="16"/>
              </w:rPr>
              <w:t>层面</w:t>
            </w:r>
          </w:p>
        </w:tc>
        <w:tc>
          <w:tcPr>
            <w:tcW w:type="dxa" w:w="3324"/>
            <w:vAlign w:val="center"/>
            <w:shd w:fill="17365D"/>
          </w:tcPr>
          <w:p>
            <w:pPr>
              <w:spacing w:after="0"/>
            </w:pPr>
            <w:r/>
            <w:r>
              <w:rPr>
                <w:b/>
                <w:color w:val="FFFFFF"/>
                <w:sz w:val="16"/>
              </w:rPr>
              <w:t>公共来源</w:t>
            </w:r>
          </w:p>
        </w:tc>
        <w:tc>
          <w:tcPr>
            <w:tcW w:type="dxa" w:w="3324"/>
            <w:vAlign w:val="center"/>
            <w:shd w:fill="17365D"/>
          </w:tcPr>
          <w:p>
            <w:pPr>
              <w:spacing w:after="0"/>
            </w:pPr>
            <w:r/>
            <w:r>
              <w:rPr>
                <w:b/>
                <w:color w:val="FFFFFF"/>
                <w:sz w:val="16"/>
              </w:rPr>
              <w:t>局部处理</w:t>
            </w:r>
          </w:p>
        </w:tc>
      </w:tr>
      <w:tr>
        <w:tc>
          <w:tcPr>
            <w:tcW w:type="dxa" w:w="3324"/>
            <w:vAlign w:val="center"/>
          </w:tcPr>
          <w:p>
            <w:pPr>
              <w:spacing w:after="0"/>
            </w:pPr>
            <w:r/>
            <w:r>
              <w:rPr>
                <w:b w:val="0"/>
                <w:sz w:val="16"/>
              </w:rPr>
              <w:t>分子暴露</w:t>
            </w:r>
          </w:p>
        </w:tc>
        <w:tc>
          <w:tcPr>
            <w:tcW w:type="dxa" w:w="3324"/>
            <w:vAlign w:val="center"/>
          </w:tcPr>
          <w:p>
            <w:pPr>
              <w:spacing w:after="0"/>
            </w:pPr>
            <w:r/>
            <w:r>
              <w:rPr>
                <w:b w:val="0"/>
                <w:sz w:val="16"/>
              </w:rPr>
              <w:t>GSE80744标准化表达</w:t>
            </w:r>
          </w:p>
        </w:tc>
        <w:tc>
          <w:tcPr>
            <w:tcW w:type="dxa" w:w="3324"/>
            <w:vAlign w:val="center"/>
          </w:tcPr>
          <w:p>
            <w:pPr>
              <w:spacing w:after="0"/>
            </w:pPr>
            <w:r/>
            <w:r>
              <w:rPr>
                <w:b w:val="0"/>
                <w:sz w:val="16"/>
              </w:rPr>
              <w:t>AT1G11560行；log1p变换；基线暴露</w:t>
            </w:r>
          </w:p>
        </w:tc>
      </w:tr>
      <w:tr>
        <w:tc>
          <w:tcPr>
            <w:tcW w:type="dxa" w:w="3324"/>
            <w:vAlign w:val="center"/>
            <w:shd w:fill="F4F6F8"/>
          </w:tcPr>
          <w:p>
            <w:pPr>
              <w:spacing w:after="0"/>
            </w:pPr>
            <w:r/>
            <w:r>
              <w:rPr>
                <w:b w:val="0"/>
                <w:sz w:val="16"/>
              </w:rPr>
              <w:t>基因型</w:t>
            </w:r>
          </w:p>
        </w:tc>
        <w:tc>
          <w:tcPr>
            <w:tcW w:type="dxa" w:w="3324"/>
            <w:vAlign w:val="center"/>
            <w:shd w:fill="F4F6F8"/>
          </w:tcPr>
          <w:p>
            <w:pPr>
              <w:spacing w:after="0"/>
            </w:pPr>
            <w:r/>
            <w:r>
              <w:rPr>
                <w:b w:val="0"/>
                <w:sz w:val="16"/>
              </w:rPr>
              <w:t>1001 Genomes v3.1</w:t>
            </w:r>
          </w:p>
        </w:tc>
        <w:tc>
          <w:tcPr>
            <w:tcW w:type="dxa" w:w="3324"/>
            <w:vAlign w:val="center"/>
            <w:shd w:fill="F4F6F8"/>
          </w:tcPr>
          <w:p>
            <w:pPr>
              <w:spacing w:after="0"/>
            </w:pPr>
            <w:r/>
            <w:r>
              <w:rPr>
                <w:b w:val="0"/>
                <w:sz w:val="16"/>
              </w:rPr>
              <w:t>Chr1:3,861,124–3,901,085；3,352个局部SNP；5个主成分</w:t>
            </w:r>
          </w:p>
        </w:tc>
      </w:tr>
      <w:tr>
        <w:tc>
          <w:tcPr>
            <w:tcW w:type="dxa" w:w="3324"/>
            <w:vAlign w:val="center"/>
          </w:tcPr>
          <w:p>
            <w:pPr>
              <w:spacing w:after="0"/>
            </w:pPr>
            <w:r/>
            <w:r>
              <w:rPr>
                <w:b w:val="0"/>
                <w:sz w:val="16"/>
              </w:rPr>
              <w:t>结局环境1</w:t>
            </w:r>
          </w:p>
        </w:tc>
        <w:tc>
          <w:tcPr>
            <w:tcW w:type="dxa" w:w="3324"/>
            <w:vAlign w:val="center"/>
          </w:tcPr>
          <w:p>
            <w:pPr>
              <w:spacing w:after="0"/>
            </w:pPr>
            <w:r/>
            <w:r>
              <w:rPr>
                <w:b w:val="0"/>
                <w:sz w:val="16"/>
              </w:rPr>
              <w:t>AraPheno FT10</w:t>
            </w:r>
          </w:p>
        </w:tc>
        <w:tc>
          <w:tcPr>
            <w:tcW w:type="dxa" w:w="3324"/>
            <w:vAlign w:val="center"/>
          </w:tcPr>
          <w:p>
            <w:pPr>
              <w:spacing w:after="0"/>
            </w:pPr>
            <w:r/>
            <w:r>
              <w:rPr>
                <w:b w:val="0"/>
                <w:sz w:val="16"/>
              </w:rPr>
              <w:t>10°C开花时间；z=−3</w:t>
            </w:r>
          </w:p>
        </w:tc>
      </w:tr>
      <w:tr>
        <w:tc>
          <w:tcPr>
            <w:tcW w:type="dxa" w:w="3324"/>
            <w:vAlign w:val="center"/>
            <w:shd w:fill="F4F6F8"/>
          </w:tcPr>
          <w:p>
            <w:pPr>
              <w:spacing w:after="0"/>
            </w:pPr>
            <w:r/>
            <w:r>
              <w:rPr>
                <w:b w:val="0"/>
                <w:sz w:val="16"/>
              </w:rPr>
              <w:t>结局环境2</w:t>
            </w:r>
          </w:p>
        </w:tc>
        <w:tc>
          <w:tcPr>
            <w:tcW w:type="dxa" w:w="3324"/>
            <w:vAlign w:val="center"/>
            <w:shd w:fill="F4F6F8"/>
          </w:tcPr>
          <w:p>
            <w:pPr>
              <w:spacing w:after="0"/>
            </w:pPr>
            <w:r/>
            <w:r>
              <w:rPr>
                <w:b w:val="0"/>
                <w:sz w:val="16"/>
              </w:rPr>
              <w:t>AraPheno FT16</w:t>
            </w:r>
          </w:p>
        </w:tc>
        <w:tc>
          <w:tcPr>
            <w:tcW w:type="dxa" w:w="3324"/>
            <w:vAlign w:val="center"/>
            <w:shd w:fill="F4F6F8"/>
          </w:tcPr>
          <w:p>
            <w:pPr>
              <w:spacing w:after="0"/>
            </w:pPr>
            <w:r/>
            <w:r>
              <w:rPr>
                <w:b w:val="0"/>
                <w:sz w:val="16"/>
              </w:rPr>
              <w:t>16°C开花时间；z=+3</w:t>
            </w:r>
          </w:p>
        </w:tc>
      </w:tr>
      <w:tr>
        <w:tc>
          <w:tcPr>
            <w:tcW w:type="dxa" w:w="3324"/>
            <w:vAlign w:val="center"/>
          </w:tcPr>
          <w:p>
            <w:pPr>
              <w:spacing w:after="0"/>
            </w:pPr>
            <w:r/>
            <w:r>
              <w:rPr>
                <w:b w:val="0"/>
                <w:sz w:val="16"/>
              </w:rPr>
              <w:t>等位基因</w:t>
            </w:r>
          </w:p>
        </w:tc>
        <w:tc>
          <w:tcPr>
            <w:tcW w:type="dxa" w:w="3324"/>
            <w:vAlign w:val="center"/>
          </w:tcPr>
          <w:p>
            <w:pPr>
              <w:spacing w:after="0"/>
            </w:pPr>
            <w:r/>
            <w:r>
              <w:rPr>
                <w:b w:val="0"/>
                <w:sz w:val="16"/>
              </w:rPr>
              <w:t>1001 Genomes材料VCF</w:t>
            </w:r>
          </w:p>
        </w:tc>
        <w:tc>
          <w:tcPr>
            <w:tcW w:type="dxa" w:w="3324"/>
            <w:vAlign w:val="center"/>
          </w:tcPr>
          <w:p>
            <w:pPr>
              <w:spacing w:after="0"/>
            </w:pPr>
            <w:r/>
            <w:r>
              <w:rPr>
                <w:b w:val="0"/>
                <w:sz w:val="16"/>
              </w:rPr>
              <w:t>为剂量编码矩阵建立REF/ALT对应关系</w:t>
            </w:r>
          </w:p>
        </w:tc>
      </w:tr>
    </w:tbl>
    <w:p>
      <w:pPr>
        <w:spacing w:after="0"/>
      </w:pPr>
    </w:p>
    <w:p>
      <w:pPr>
        <w:spacing w:line="269" w:lineRule="auto" w:after="100"/>
      </w:pPr>
      <w:r>
        <w:t>在P≤5×10−8、F≥10和MAF≥0.05的条件下，48个SNP在两个环境中都通过筛选。由于它们之间存在较强相关，主要分析提供了带符号的LD相关矩阵。主要的对角环境协方差分析估计截距为2.3601（SE 0.4685，P=4.72×10−7），环境斜率为−0.03705（SE 0.15617，P=0.81249）。残余异质性为Q=192.89，自由度为60（按矩阵秩调整），P=7.33×10−16。</w:t>
      </w:r>
    </w:p>
    <w:p>
      <w:pPr>
        <w:spacing w:line="269" w:lineRule="auto" w:after="100"/>
      </w:pPr>
      <w:r>
        <w:t>表6。Arabidopsis案例的工具变量审计。各排除数量可能来自重叠诊断，不能相加后当作互不重叠的阶段数量。</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17365D"/>
          </w:tcPr>
          <w:p>
            <w:pPr>
              <w:spacing w:after="0"/>
            </w:pPr>
            <w:r/>
            <w:r>
              <w:rPr>
                <w:b/>
                <w:color w:val="FFFFFF"/>
                <w:sz w:val="16"/>
              </w:rPr>
              <w:t>审计阶段</w:t>
            </w:r>
          </w:p>
        </w:tc>
        <w:tc>
          <w:tcPr>
            <w:tcW w:type="dxa" w:w="3324"/>
            <w:vAlign w:val="center"/>
            <w:shd w:fill="17365D"/>
          </w:tcPr>
          <w:p>
            <w:pPr>
              <w:spacing w:after="0"/>
            </w:pPr>
            <w:r/>
            <w:r>
              <w:rPr>
                <w:b/>
                <w:color w:val="FFFFFF"/>
                <w:sz w:val="16"/>
              </w:rPr>
              <w:t>数量</w:t>
            </w:r>
          </w:p>
        </w:tc>
        <w:tc>
          <w:tcPr>
            <w:tcW w:type="dxa" w:w="3324"/>
            <w:vAlign w:val="center"/>
            <w:shd w:fill="17365D"/>
          </w:tcPr>
          <w:p>
            <w:pPr>
              <w:spacing w:after="0"/>
            </w:pPr>
            <w:r/>
            <w:r>
              <w:rPr>
                <w:b/>
                <w:color w:val="FFFFFF"/>
                <w:sz w:val="16"/>
              </w:rPr>
              <w:t>解释</w:t>
            </w:r>
          </w:p>
        </w:tc>
      </w:tr>
      <w:tr>
        <w:tc>
          <w:tcPr>
            <w:tcW w:type="dxa" w:w="3324"/>
            <w:vAlign w:val="center"/>
          </w:tcPr>
          <w:p>
            <w:pPr>
              <w:spacing w:after="0"/>
            </w:pPr>
            <w:r/>
            <w:r>
              <w:rPr>
                <w:b w:val="0"/>
                <w:sz w:val="16"/>
              </w:rPr>
              <w:t>原始完整SNP×环境网格</w:t>
            </w:r>
          </w:p>
        </w:tc>
        <w:tc>
          <w:tcPr>
            <w:tcW w:type="dxa" w:w="3324"/>
            <w:vAlign w:val="center"/>
          </w:tcPr>
          <w:p>
            <w:pPr>
              <w:spacing w:after="0"/>
            </w:pPr>
            <w:r/>
            <w:r>
              <w:rPr>
                <w:b w:val="0"/>
                <w:sz w:val="16"/>
              </w:rPr>
              <w:t>172个SNP/344行</w:t>
            </w:r>
          </w:p>
        </w:tc>
        <w:tc>
          <w:tcPr>
            <w:tcW w:type="dxa" w:w="3324"/>
            <w:vAlign w:val="center"/>
          </w:tcPr>
          <w:p>
            <w:pPr>
              <w:spacing w:after="0"/>
            </w:pPr>
            <w:r/>
            <w:r>
              <w:rPr>
                <w:b w:val="0"/>
                <w:sz w:val="16"/>
              </w:rPr>
              <w:t>每个原始局部SNP都有两个环境的记录。</w:t>
            </w:r>
          </w:p>
        </w:tc>
      </w:tr>
      <w:tr>
        <w:tc>
          <w:tcPr>
            <w:tcW w:type="dxa" w:w="3324"/>
            <w:vAlign w:val="center"/>
            <w:shd w:fill="F4F6F8"/>
          </w:tcPr>
          <w:p>
            <w:pPr>
              <w:spacing w:after="0"/>
            </w:pPr>
            <w:r/>
            <w:r>
              <w:rPr>
                <w:b w:val="0"/>
                <w:sz w:val="16"/>
              </w:rPr>
              <w:t>有歧义的回文变异排除</w:t>
            </w:r>
          </w:p>
        </w:tc>
        <w:tc>
          <w:tcPr>
            <w:tcW w:type="dxa" w:w="3324"/>
            <w:vAlign w:val="center"/>
            <w:shd w:fill="F4F6F8"/>
          </w:tcPr>
          <w:p>
            <w:pPr>
              <w:spacing w:after="0"/>
            </w:pPr>
            <w:r/>
            <w:r>
              <w:rPr>
                <w:b w:val="0"/>
                <w:sz w:val="16"/>
              </w:rPr>
              <w:t>每个环境3个</w:t>
            </w:r>
          </w:p>
        </w:tc>
        <w:tc>
          <w:tcPr>
            <w:tcW w:type="dxa" w:w="3324"/>
            <w:vAlign w:val="center"/>
            <w:shd w:fill="F4F6F8"/>
          </w:tcPr>
          <w:p>
            <w:pPr>
              <w:spacing w:after="0"/>
            </w:pPr>
            <w:r/>
            <w:r>
              <w:rPr>
                <w:b w:val="0"/>
                <w:sz w:val="16"/>
              </w:rPr>
              <w:t>在等位基因协调阶段排除；剩余169个SNP/338行。</w:t>
            </w:r>
          </w:p>
        </w:tc>
      </w:tr>
      <w:tr>
        <w:tc>
          <w:tcPr>
            <w:tcW w:type="dxa" w:w="3324"/>
            <w:vAlign w:val="center"/>
          </w:tcPr>
          <w:p>
            <w:pPr>
              <w:spacing w:after="0"/>
            </w:pPr>
            <w:r/>
            <w:r>
              <w:rPr>
                <w:b w:val="0"/>
                <w:sz w:val="16"/>
              </w:rPr>
              <w:t>P值诊断排除</w:t>
            </w:r>
          </w:p>
        </w:tc>
        <w:tc>
          <w:tcPr>
            <w:tcW w:type="dxa" w:w="3324"/>
            <w:vAlign w:val="center"/>
          </w:tcPr>
          <w:p>
            <w:pPr>
              <w:spacing w:after="0"/>
            </w:pPr>
            <w:r/>
            <w:r>
              <w:rPr>
                <w:b w:val="0"/>
                <w:sz w:val="16"/>
              </w:rPr>
              <w:t>121行</w:t>
            </w:r>
          </w:p>
        </w:tc>
        <w:tc>
          <w:tcPr>
            <w:tcW w:type="dxa" w:w="3324"/>
            <w:vAlign w:val="center"/>
          </w:tcPr>
          <w:p>
            <w:pPr>
              <w:spacing w:after="0"/>
            </w:pPr>
            <w:r/>
            <w:r>
              <w:rPr>
                <w:b w:val="0"/>
                <w:sz w:val="16"/>
              </w:rPr>
              <w:t>与其他质量控制排除重叠，不是独立阶段数量。</w:t>
            </w:r>
          </w:p>
        </w:tc>
      </w:tr>
      <w:tr>
        <w:tc>
          <w:tcPr>
            <w:tcW w:type="dxa" w:w="3324"/>
            <w:vAlign w:val="center"/>
            <w:shd w:fill="F4F6F8"/>
          </w:tcPr>
          <w:p>
            <w:pPr>
              <w:spacing w:after="0"/>
            </w:pPr>
            <w:r/>
            <w:r>
              <w:rPr>
                <w:b w:val="0"/>
                <w:sz w:val="16"/>
              </w:rPr>
              <w:t>F统计量诊断排除</w:t>
            </w:r>
          </w:p>
        </w:tc>
        <w:tc>
          <w:tcPr>
            <w:tcW w:type="dxa" w:w="3324"/>
            <w:vAlign w:val="center"/>
            <w:shd w:fill="F4F6F8"/>
          </w:tcPr>
          <w:p>
            <w:pPr>
              <w:spacing w:after="0"/>
            </w:pPr>
            <w:r/>
            <w:r>
              <w:rPr>
                <w:b w:val="0"/>
                <w:sz w:val="16"/>
              </w:rPr>
              <w:t>106行</w:t>
            </w:r>
          </w:p>
        </w:tc>
        <w:tc>
          <w:tcPr>
            <w:tcW w:type="dxa" w:w="3324"/>
            <w:vAlign w:val="center"/>
            <w:shd w:fill="F4F6F8"/>
          </w:tcPr>
          <w:p>
            <w:pPr>
              <w:spacing w:after="0"/>
            </w:pPr>
            <w:r/>
            <w:r>
              <w:rPr>
                <w:b w:val="0"/>
                <w:sz w:val="16"/>
              </w:rPr>
              <w:t>与P值和完整网格诊断重叠。</w:t>
            </w:r>
          </w:p>
        </w:tc>
      </w:tr>
      <w:tr>
        <w:tc>
          <w:tcPr>
            <w:tcW w:type="dxa" w:w="3324"/>
            <w:vAlign w:val="center"/>
          </w:tcPr>
          <w:p>
            <w:pPr>
              <w:spacing w:after="0"/>
            </w:pPr>
            <w:r/>
            <w:r>
              <w:rPr>
                <w:b w:val="0"/>
                <w:sz w:val="16"/>
              </w:rPr>
              <w:t>最终完整网格工具变量</w:t>
            </w:r>
          </w:p>
        </w:tc>
        <w:tc>
          <w:tcPr>
            <w:tcW w:type="dxa" w:w="3324"/>
            <w:vAlign w:val="center"/>
          </w:tcPr>
          <w:p>
            <w:pPr>
              <w:spacing w:after="0"/>
            </w:pPr>
            <w:r/>
            <w:r>
              <w:rPr>
                <w:b w:val="0"/>
                <w:sz w:val="16"/>
              </w:rPr>
              <w:t>48个SNP/96行</w:t>
            </w:r>
          </w:p>
        </w:tc>
        <w:tc>
          <w:tcPr>
            <w:tcW w:type="dxa" w:w="3324"/>
            <w:vAlign w:val="center"/>
          </w:tcPr>
          <w:p>
            <w:pPr>
              <w:spacing w:after="0"/>
            </w:pPr>
            <w:r/>
            <w:r>
              <w:rPr>
                <w:b w:val="0"/>
                <w:sz w:val="16"/>
              </w:rPr>
              <w:t>在两个环境中均满足预先设定的P值、F和MAF要求。</w:t>
            </w:r>
          </w:p>
        </w:tc>
      </w:tr>
      <w:tr>
        <w:tc>
          <w:tcPr>
            <w:tcW w:type="dxa" w:w="3324"/>
            <w:vAlign w:val="center"/>
            <w:shd w:fill="F4F6F8"/>
          </w:tcPr>
          <w:p>
            <w:pPr>
              <w:spacing w:after="0"/>
            </w:pPr>
            <w:r/>
            <w:r>
              <w:rPr>
                <w:b w:val="0"/>
                <w:sz w:val="16"/>
              </w:rPr>
              <w:t>LD矩阵/协方差秩</w:t>
            </w:r>
          </w:p>
        </w:tc>
        <w:tc>
          <w:tcPr>
            <w:tcW w:type="dxa" w:w="3324"/>
            <w:vAlign w:val="center"/>
            <w:shd w:fill="F4F6F8"/>
          </w:tcPr>
          <w:p>
            <w:pPr>
              <w:spacing w:after="0"/>
            </w:pPr>
            <w:r/>
            <w:r>
              <w:rPr>
                <w:b w:val="0"/>
                <w:sz w:val="16"/>
              </w:rPr>
              <w:t>48×48 LD；rank(V)=62</w:t>
            </w:r>
          </w:p>
        </w:tc>
        <w:tc>
          <w:tcPr>
            <w:tcW w:type="dxa" w:w="3324"/>
            <w:vAlign w:val="center"/>
            <w:shd w:fill="F4F6F8"/>
          </w:tcPr>
          <w:p>
            <w:pPr>
              <w:spacing w:after="0"/>
            </w:pPr>
            <w:r/>
            <w:r>
              <w:rPr>
                <w:b w:val="0"/>
                <w:sz w:val="16"/>
              </w:rPr>
              <w:t>考虑矩阵秩的Q使用62−2=60个残余自由度。</w:t>
            </w:r>
          </w:p>
        </w:tc>
      </w:tr>
    </w:tbl>
    <w:p>
      <w:pPr>
        <w:spacing w:after="0"/>
      </w:pPr>
    </w:p>
    <w:p>
      <w:pPr>
        <w:spacing w:line="269" w:lineRule="auto" w:after="100"/>
      </w:pPr>
      <w:r>
        <w:t>表7。按环境分层的比较估计。估计来自局部OLS摘要统计演示，不是因果模型的独立验证。</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17365D"/>
          </w:tcPr>
          <w:p>
            <w:pPr>
              <w:spacing w:after="0"/>
            </w:pPr>
            <w:r/>
            <w:r>
              <w:rPr>
                <w:b/>
                <w:color w:val="FFFFFF"/>
                <w:sz w:val="16"/>
              </w:rPr>
              <w:t>环境</w:t>
            </w:r>
          </w:p>
        </w:tc>
        <w:tc>
          <w:tcPr>
            <w:tcW w:type="dxa" w:w="1662"/>
            <w:vAlign w:val="center"/>
            <w:shd w:fill="17365D"/>
          </w:tcPr>
          <w:p>
            <w:pPr>
              <w:spacing w:after="0"/>
            </w:pPr>
            <w:r/>
            <w:r>
              <w:rPr>
                <w:b/>
                <w:color w:val="FFFFFF"/>
                <w:sz w:val="16"/>
              </w:rPr>
              <w:t>估计器</w:t>
            </w:r>
          </w:p>
        </w:tc>
        <w:tc>
          <w:tcPr>
            <w:tcW w:type="dxa" w:w="1662"/>
            <w:vAlign w:val="center"/>
            <w:shd w:fill="17365D"/>
          </w:tcPr>
          <w:p>
            <w:pPr>
              <w:spacing w:after="0"/>
            </w:pPr>
            <w:r/>
            <w:r>
              <w:rPr>
                <w:b/>
                <w:color w:val="FFFFFF"/>
                <w:sz w:val="16"/>
              </w:rPr>
              <w:t>估计值</w:t>
            </w:r>
          </w:p>
        </w:tc>
        <w:tc>
          <w:tcPr>
            <w:tcW w:type="dxa" w:w="1662"/>
            <w:vAlign w:val="center"/>
            <w:shd w:fill="17365D"/>
          </w:tcPr>
          <w:p>
            <w:pPr>
              <w:spacing w:after="0"/>
            </w:pPr>
            <w:r/>
            <w:r>
              <w:rPr>
                <w:b/>
                <w:color w:val="FFFFFF"/>
                <w:sz w:val="16"/>
              </w:rPr>
              <w:t>SE</w:t>
            </w:r>
          </w:p>
        </w:tc>
        <w:tc>
          <w:tcPr>
            <w:tcW w:type="dxa" w:w="1662"/>
            <w:vAlign w:val="center"/>
            <w:shd w:fill="17365D"/>
          </w:tcPr>
          <w:p>
            <w:pPr>
              <w:spacing w:after="0"/>
            </w:pPr>
            <w:r/>
            <w:r>
              <w:rPr>
                <w:b/>
                <w:color w:val="FFFFFF"/>
                <w:sz w:val="16"/>
              </w:rPr>
              <w:t>P值</w:t>
            </w:r>
          </w:p>
        </w:tc>
        <w:tc>
          <w:tcPr>
            <w:tcW w:type="dxa" w:w="1662"/>
            <w:vAlign w:val="center"/>
            <w:shd w:fill="17365D"/>
          </w:tcPr>
          <w:p>
            <w:pPr>
              <w:spacing w:after="0"/>
            </w:pPr>
            <w:r/>
            <w:r>
              <w:rPr>
                <w:b/>
                <w:color w:val="FFFFFF"/>
                <w:sz w:val="16"/>
              </w:rPr>
              <w:t>Q（P值）</w:t>
            </w:r>
          </w:p>
        </w:tc>
      </w:tr>
      <w:tr>
        <w:tc>
          <w:tcPr>
            <w:tcW w:type="dxa" w:w="1662"/>
            <w:vAlign w:val="center"/>
          </w:tcPr>
          <w:p>
            <w:pPr>
              <w:spacing w:after="0"/>
            </w:pPr>
            <w:r/>
            <w:r>
              <w:rPr>
                <w:b w:val="0"/>
                <w:sz w:val="16"/>
              </w:rPr>
              <w:t>10°C</w:t>
            </w:r>
          </w:p>
        </w:tc>
        <w:tc>
          <w:tcPr>
            <w:tcW w:type="dxa" w:w="1662"/>
            <w:vAlign w:val="center"/>
          </w:tcPr>
          <w:p>
            <w:pPr>
              <w:spacing w:after="0"/>
            </w:pPr>
            <w:r/>
            <w:r>
              <w:rPr>
                <w:b w:val="0"/>
                <w:sz w:val="16"/>
              </w:rPr>
              <w:t>固定效应IVW</w:t>
            </w:r>
          </w:p>
        </w:tc>
        <w:tc>
          <w:tcPr>
            <w:tcW w:type="dxa" w:w="1662"/>
            <w:vAlign w:val="center"/>
          </w:tcPr>
          <w:p>
            <w:pPr>
              <w:spacing w:after="0"/>
            </w:pPr>
            <w:r/>
            <w:r>
              <w:rPr>
                <w:b w:val="0"/>
                <w:sz w:val="16"/>
              </w:rPr>
              <w:t>6.6001</w:t>
            </w:r>
          </w:p>
        </w:tc>
        <w:tc>
          <w:tcPr>
            <w:tcW w:type="dxa" w:w="1662"/>
            <w:vAlign w:val="center"/>
          </w:tcPr>
          <w:p>
            <w:pPr>
              <w:spacing w:after="0"/>
            </w:pPr>
            <w:r/>
            <w:r>
              <w:rPr>
                <w:b w:val="0"/>
                <w:sz w:val="16"/>
              </w:rPr>
              <w:t>0.2038</w:t>
            </w:r>
          </w:p>
        </w:tc>
        <w:tc>
          <w:tcPr>
            <w:tcW w:type="dxa" w:w="1662"/>
            <w:vAlign w:val="center"/>
          </w:tcPr>
          <w:p>
            <w:pPr>
              <w:spacing w:after="0"/>
            </w:pPr>
            <w:r/>
            <w:r>
              <w:rPr>
                <w:b w:val="0"/>
                <w:sz w:val="16"/>
              </w:rPr>
              <w:t>4.999×10−230</w:t>
            </w:r>
          </w:p>
        </w:tc>
        <w:tc>
          <w:tcPr>
            <w:tcW w:type="dxa" w:w="1662"/>
            <w:vAlign w:val="center"/>
          </w:tcPr>
          <w:p>
            <w:pPr>
              <w:spacing w:after="0"/>
            </w:pPr>
            <w:r/>
            <w:r>
              <w:rPr>
                <w:b w:val="0"/>
                <w:sz w:val="16"/>
              </w:rPr>
              <w:t>84.90（5.89×10−4）</w:t>
            </w:r>
          </w:p>
        </w:tc>
      </w:tr>
      <w:tr>
        <w:tc>
          <w:tcPr>
            <w:tcW w:type="dxa" w:w="1662"/>
            <w:vAlign w:val="center"/>
            <w:shd w:fill="F4F6F8"/>
          </w:tcPr>
          <w:p>
            <w:pPr>
              <w:spacing w:after="0"/>
            </w:pPr>
            <w:r/>
            <w:r>
              <w:rPr>
                <w:b w:val="0"/>
                <w:sz w:val="16"/>
              </w:rPr>
              <w:t>10°C</w:t>
            </w:r>
          </w:p>
        </w:tc>
        <w:tc>
          <w:tcPr>
            <w:tcW w:type="dxa" w:w="1662"/>
            <w:vAlign w:val="center"/>
            <w:shd w:fill="F4F6F8"/>
          </w:tcPr>
          <w:p>
            <w:pPr>
              <w:spacing w:after="0"/>
            </w:pPr>
            <w:r/>
            <w:r>
              <w:rPr>
                <w:b w:val="0"/>
                <w:sz w:val="16"/>
              </w:rPr>
              <w:t>随机效应IVW</w:t>
            </w:r>
          </w:p>
        </w:tc>
        <w:tc>
          <w:tcPr>
            <w:tcW w:type="dxa" w:w="1662"/>
            <w:vAlign w:val="center"/>
            <w:shd w:fill="F4F6F8"/>
          </w:tcPr>
          <w:p>
            <w:pPr>
              <w:spacing w:after="0"/>
            </w:pPr>
            <w:r/>
            <w:r>
              <w:rPr>
                <w:b w:val="0"/>
                <w:sz w:val="16"/>
              </w:rPr>
              <w:t>7.0842</w:t>
            </w:r>
          </w:p>
        </w:tc>
        <w:tc>
          <w:tcPr>
            <w:tcW w:type="dxa" w:w="1662"/>
            <w:vAlign w:val="center"/>
            <w:shd w:fill="F4F6F8"/>
          </w:tcPr>
          <w:p>
            <w:pPr>
              <w:spacing w:after="0"/>
            </w:pPr>
            <w:r/>
            <w:r>
              <w:rPr>
                <w:b w:val="0"/>
                <w:sz w:val="16"/>
              </w:rPr>
              <w:t>0.2970</w:t>
            </w:r>
          </w:p>
        </w:tc>
        <w:tc>
          <w:tcPr>
            <w:tcW w:type="dxa" w:w="1662"/>
            <w:vAlign w:val="center"/>
            <w:shd w:fill="F4F6F8"/>
          </w:tcPr>
          <w:p>
            <w:pPr>
              <w:spacing w:after="0"/>
            </w:pPr>
            <w:r/>
            <w:r>
              <w:rPr>
                <w:b w:val="0"/>
                <w:sz w:val="16"/>
              </w:rPr>
              <w:t>1.030×10−125</w:t>
            </w:r>
          </w:p>
        </w:tc>
        <w:tc>
          <w:tcPr>
            <w:tcW w:type="dxa" w:w="1662"/>
            <w:vAlign w:val="center"/>
            <w:shd w:fill="F4F6F8"/>
          </w:tcPr>
          <w:p>
            <w:pPr>
              <w:spacing w:after="0"/>
            </w:pPr>
            <w:r/>
            <w:r>
              <w:rPr>
                <w:b w:val="0"/>
                <w:sz w:val="16"/>
              </w:rPr>
              <w:t>84.90（5.89×10−4）</w:t>
            </w:r>
          </w:p>
        </w:tc>
      </w:tr>
      <w:tr>
        <w:tc>
          <w:tcPr>
            <w:tcW w:type="dxa" w:w="1662"/>
            <w:vAlign w:val="center"/>
          </w:tcPr>
          <w:p>
            <w:pPr>
              <w:spacing w:after="0"/>
            </w:pPr>
            <w:r/>
            <w:r>
              <w:rPr>
                <w:b w:val="0"/>
                <w:sz w:val="16"/>
              </w:rPr>
              <w:t>10°C</w:t>
            </w:r>
          </w:p>
        </w:tc>
        <w:tc>
          <w:tcPr>
            <w:tcW w:type="dxa" w:w="1662"/>
            <w:vAlign w:val="center"/>
          </w:tcPr>
          <w:p>
            <w:pPr>
              <w:spacing w:after="0"/>
            </w:pPr>
            <w:r/>
            <w:r>
              <w:rPr>
                <w:b w:val="0"/>
                <w:sz w:val="16"/>
              </w:rPr>
              <w:t>MR-Egger</w:t>
            </w:r>
          </w:p>
        </w:tc>
        <w:tc>
          <w:tcPr>
            <w:tcW w:type="dxa" w:w="1662"/>
            <w:vAlign w:val="center"/>
          </w:tcPr>
          <w:p>
            <w:pPr>
              <w:spacing w:after="0"/>
            </w:pPr>
            <w:r/>
            <w:r>
              <w:rPr>
                <w:b w:val="0"/>
                <w:sz w:val="16"/>
              </w:rPr>
              <w:t>4.2259</w:t>
            </w:r>
          </w:p>
        </w:tc>
        <w:tc>
          <w:tcPr>
            <w:tcW w:type="dxa" w:w="1662"/>
            <w:vAlign w:val="center"/>
          </w:tcPr>
          <w:p>
            <w:pPr>
              <w:spacing w:after="0"/>
            </w:pPr>
            <w:r/>
            <w:r>
              <w:rPr>
                <w:b w:val="0"/>
                <w:sz w:val="16"/>
              </w:rPr>
              <w:t>0.5188</w:t>
            </w:r>
          </w:p>
        </w:tc>
        <w:tc>
          <w:tcPr>
            <w:tcW w:type="dxa" w:w="1662"/>
            <w:vAlign w:val="center"/>
          </w:tcPr>
          <w:p>
            <w:pPr>
              <w:spacing w:after="0"/>
            </w:pPr>
            <w:r/>
            <w:r>
              <w:rPr>
                <w:b w:val="0"/>
                <w:sz w:val="16"/>
              </w:rPr>
              <w:t>3.758×10−16</w:t>
            </w:r>
          </w:p>
        </w:tc>
        <w:tc>
          <w:tcPr>
            <w:tcW w:type="dxa" w:w="1662"/>
            <w:vAlign w:val="center"/>
          </w:tcPr>
          <w:p>
            <w:pPr>
              <w:spacing w:after="0"/>
            </w:pPr>
            <w:r/>
            <w:r>
              <w:rPr>
                <w:b w:val="0"/>
                <w:sz w:val="16"/>
              </w:rPr>
              <w:t>—</w:t>
            </w:r>
          </w:p>
        </w:tc>
      </w:tr>
      <w:tr>
        <w:tc>
          <w:tcPr>
            <w:tcW w:type="dxa" w:w="1662"/>
            <w:vAlign w:val="center"/>
            <w:shd w:fill="F4F6F8"/>
          </w:tcPr>
          <w:p>
            <w:pPr>
              <w:spacing w:after="0"/>
            </w:pPr>
            <w:r/>
            <w:r>
              <w:rPr>
                <w:b w:val="0"/>
                <w:sz w:val="16"/>
              </w:rPr>
              <w:t>16°C</w:t>
            </w:r>
          </w:p>
        </w:tc>
        <w:tc>
          <w:tcPr>
            <w:tcW w:type="dxa" w:w="1662"/>
            <w:vAlign w:val="center"/>
            <w:shd w:fill="F4F6F8"/>
          </w:tcPr>
          <w:p>
            <w:pPr>
              <w:spacing w:after="0"/>
            </w:pPr>
            <w:r/>
            <w:r>
              <w:rPr>
                <w:b w:val="0"/>
                <w:sz w:val="16"/>
              </w:rPr>
              <w:t>固定效应IVW</w:t>
            </w:r>
          </w:p>
        </w:tc>
        <w:tc>
          <w:tcPr>
            <w:tcW w:type="dxa" w:w="1662"/>
            <w:vAlign w:val="center"/>
            <w:shd w:fill="F4F6F8"/>
          </w:tcPr>
          <w:p>
            <w:pPr>
              <w:spacing w:after="0"/>
            </w:pPr>
            <w:r/>
            <w:r>
              <w:rPr>
                <w:b w:val="0"/>
                <w:sz w:val="16"/>
              </w:rPr>
              <w:t>8.2379</w:t>
            </w:r>
          </w:p>
        </w:tc>
        <w:tc>
          <w:tcPr>
            <w:tcW w:type="dxa" w:w="1662"/>
            <w:vAlign w:val="center"/>
            <w:shd w:fill="F4F6F8"/>
          </w:tcPr>
          <w:p>
            <w:pPr>
              <w:spacing w:after="0"/>
            </w:pPr>
            <w:r/>
            <w:r>
              <w:rPr>
                <w:b w:val="0"/>
                <w:sz w:val="16"/>
              </w:rPr>
              <w:t>0.2933</w:t>
            </w:r>
          </w:p>
        </w:tc>
        <w:tc>
          <w:tcPr>
            <w:tcW w:type="dxa" w:w="1662"/>
            <w:vAlign w:val="center"/>
            <w:shd w:fill="F4F6F8"/>
          </w:tcPr>
          <w:p>
            <w:pPr>
              <w:spacing w:after="0"/>
            </w:pPr>
            <w:r/>
            <w:r>
              <w:rPr>
                <w:b w:val="0"/>
                <w:sz w:val="16"/>
              </w:rPr>
              <w:t>1.402×10−173</w:t>
            </w:r>
          </w:p>
        </w:tc>
        <w:tc>
          <w:tcPr>
            <w:tcW w:type="dxa" w:w="1662"/>
            <w:vAlign w:val="center"/>
            <w:shd w:fill="F4F6F8"/>
          </w:tcPr>
          <w:p>
            <w:pPr>
              <w:spacing w:after="0"/>
            </w:pPr>
            <w:r/>
            <w:r>
              <w:rPr>
                <w:b w:val="0"/>
                <w:sz w:val="16"/>
              </w:rPr>
              <w:t>97.70（2.05×10−5）</w:t>
            </w:r>
          </w:p>
        </w:tc>
      </w:tr>
      <w:tr>
        <w:tc>
          <w:tcPr>
            <w:tcW w:type="dxa" w:w="1662"/>
            <w:vAlign w:val="center"/>
          </w:tcPr>
          <w:p>
            <w:pPr>
              <w:spacing w:after="0"/>
            </w:pPr>
            <w:r/>
            <w:r>
              <w:rPr>
                <w:b w:val="0"/>
                <w:sz w:val="16"/>
              </w:rPr>
              <w:t>16°C</w:t>
            </w:r>
          </w:p>
        </w:tc>
        <w:tc>
          <w:tcPr>
            <w:tcW w:type="dxa" w:w="1662"/>
            <w:vAlign w:val="center"/>
          </w:tcPr>
          <w:p>
            <w:pPr>
              <w:spacing w:after="0"/>
            </w:pPr>
            <w:r/>
            <w:r>
              <w:rPr>
                <w:b w:val="0"/>
                <w:sz w:val="16"/>
              </w:rPr>
              <w:t>随机效应IVW</w:t>
            </w:r>
          </w:p>
        </w:tc>
        <w:tc>
          <w:tcPr>
            <w:tcW w:type="dxa" w:w="1662"/>
            <w:vAlign w:val="center"/>
          </w:tcPr>
          <w:p>
            <w:pPr>
              <w:spacing w:after="0"/>
            </w:pPr>
            <w:r/>
            <w:r>
              <w:rPr>
                <w:b w:val="0"/>
                <w:sz w:val="16"/>
              </w:rPr>
              <w:t>8.8667</w:t>
            </w:r>
          </w:p>
        </w:tc>
        <w:tc>
          <w:tcPr>
            <w:tcW w:type="dxa" w:w="1662"/>
            <w:vAlign w:val="center"/>
          </w:tcPr>
          <w:p>
            <w:pPr>
              <w:spacing w:after="0"/>
            </w:pPr>
            <w:r/>
            <w:r>
              <w:rPr>
                <w:b w:val="0"/>
                <w:sz w:val="16"/>
              </w:rPr>
              <w:t>0.4561</w:t>
            </w:r>
          </w:p>
        </w:tc>
        <w:tc>
          <w:tcPr>
            <w:tcW w:type="dxa" w:w="1662"/>
            <w:vAlign w:val="center"/>
          </w:tcPr>
          <w:p>
            <w:pPr>
              <w:spacing w:after="0"/>
            </w:pPr>
            <w:r/>
            <w:r>
              <w:rPr>
                <w:b w:val="0"/>
                <w:sz w:val="16"/>
              </w:rPr>
              <w:t>3.598×10−84</w:t>
            </w:r>
          </w:p>
        </w:tc>
        <w:tc>
          <w:tcPr>
            <w:tcW w:type="dxa" w:w="1662"/>
            <w:vAlign w:val="center"/>
          </w:tcPr>
          <w:p>
            <w:pPr>
              <w:spacing w:after="0"/>
            </w:pPr>
            <w:r/>
            <w:r>
              <w:rPr>
                <w:b w:val="0"/>
                <w:sz w:val="16"/>
              </w:rPr>
              <w:t>97.70（2.05×10−5）</w:t>
            </w:r>
          </w:p>
        </w:tc>
      </w:tr>
      <w:tr>
        <w:tc>
          <w:tcPr>
            <w:tcW w:type="dxa" w:w="1662"/>
            <w:vAlign w:val="center"/>
            <w:shd w:fill="F4F6F8"/>
          </w:tcPr>
          <w:p>
            <w:pPr>
              <w:spacing w:after="0"/>
            </w:pPr>
            <w:r/>
            <w:r>
              <w:rPr>
                <w:b w:val="0"/>
                <w:sz w:val="16"/>
              </w:rPr>
              <w:t>16°C</w:t>
            </w:r>
          </w:p>
        </w:tc>
        <w:tc>
          <w:tcPr>
            <w:tcW w:type="dxa" w:w="1662"/>
            <w:vAlign w:val="center"/>
            <w:shd w:fill="F4F6F8"/>
          </w:tcPr>
          <w:p>
            <w:pPr>
              <w:spacing w:after="0"/>
            </w:pPr>
            <w:r/>
            <w:r>
              <w:rPr>
                <w:b w:val="0"/>
                <w:sz w:val="16"/>
              </w:rPr>
              <w:t>MR-Egger</w:t>
            </w:r>
          </w:p>
        </w:tc>
        <w:tc>
          <w:tcPr>
            <w:tcW w:type="dxa" w:w="1662"/>
            <w:vAlign w:val="center"/>
            <w:shd w:fill="F4F6F8"/>
          </w:tcPr>
          <w:p>
            <w:pPr>
              <w:spacing w:after="0"/>
            </w:pPr>
            <w:r/>
            <w:r>
              <w:rPr>
                <w:b w:val="0"/>
                <w:sz w:val="16"/>
              </w:rPr>
              <w:t>6.7552</w:t>
            </w:r>
          </w:p>
        </w:tc>
        <w:tc>
          <w:tcPr>
            <w:tcW w:type="dxa" w:w="1662"/>
            <w:vAlign w:val="center"/>
            <w:shd w:fill="F4F6F8"/>
          </w:tcPr>
          <w:p>
            <w:pPr>
              <w:spacing w:after="0"/>
            </w:pPr>
            <w:r/>
            <w:r>
              <w:rPr>
                <w:b w:val="0"/>
                <w:sz w:val="16"/>
              </w:rPr>
              <w:t>0.7683</w:t>
            </w:r>
          </w:p>
        </w:tc>
        <w:tc>
          <w:tcPr>
            <w:tcW w:type="dxa" w:w="1662"/>
            <w:vAlign w:val="center"/>
            <w:shd w:fill="F4F6F8"/>
          </w:tcPr>
          <w:p>
            <w:pPr>
              <w:spacing w:after="0"/>
            </w:pPr>
            <w:r/>
            <w:r>
              <w:rPr>
                <w:b w:val="0"/>
                <w:sz w:val="16"/>
              </w:rPr>
              <w:t>1.466×10−18</w:t>
            </w:r>
          </w:p>
        </w:tc>
        <w:tc>
          <w:tcPr>
            <w:tcW w:type="dxa" w:w="1662"/>
            <w:vAlign w:val="center"/>
            <w:shd w:fill="F4F6F8"/>
          </w:tcPr>
          <w:p>
            <w:pPr>
              <w:spacing w:after="0"/>
            </w:pPr>
            <w:r/>
            <w:r>
              <w:rPr>
                <w:b w:val="0"/>
                <w:sz w:val="16"/>
              </w:rPr>
              <w:t>—</w:t>
            </w:r>
          </w:p>
        </w:tc>
      </w:tr>
    </w:tbl>
    <w:p>
      <w:pPr>
        <w:spacing w:after="0"/>
      </w:pPr>
    </w:p>
    <w:p>
      <w:pPr>
        <w:spacing w:line="269" w:lineRule="auto" w:after="100"/>
      </w:pPr>
      <w:r>
        <w:t>两个环境的IVW估计均为正，但大小不同（固定效应IVW在10°C为6.6001，在16°C为8.2379）。它们的异质性统计量显著，这为环境斜率分析提供了动机，但本身不能识别环境效应。MR-Egger估计值更低，并且截距诊断较大（10°C截距为2.9281，P=3.59×10−8；16°C截距为2.0160，P=0.0103），说明多效性应被视为尚未解决的限制，而不是已经解决的问题。</w:t>
      </w:r>
    </w:p>
    <w:p>
      <w:pPr>
        <w:spacing w:line="269" w:lineRule="auto" w:after="100"/>
      </w:pPr>
      <w:r>
        <w:t>敏感性分析使用1,122个共享AraPheno材料中FT10和FT16的Pearson相关性（r=0.88195）作为表型相关性代理。该分析估计截距为1.8027（SE 0.6217，P=0.00374），斜率为−0.08228（SE 0.06634，P=0.21491）。该代理值不是已知的比值误差协方差，因此不作为主要推断。</w:t>
      </w:r>
    </w:p>
    <w:tbl>
      <w:tblPr>
        <w:tblStyle w:val="TableGrid"/>
        <w:tblW w:type="auto" w:w="0"/>
        <w:jc w:val="center"/>
        <w:tblLook w:firstColumn="1" w:firstRow="1" w:lastColumn="0" w:lastRow="0" w:noHBand="0" w:noVBand="1" w:val="04A0"/>
      </w:tblPr>
      <w:tblGrid>
        <w:gridCol w:w="9972"/>
      </w:tblGrid>
      <w:tr>
        <w:tc>
          <w:tcPr>
            <w:tcW w:type="dxa" w:w="9972"/>
            <w:vAlign w:val="center"/>
            <w:shd w:fill="17365D"/>
          </w:tcPr>
          <w:p>
            <w:pPr>
              <w:spacing w:after="0"/>
            </w:pPr>
            <w:r/>
            <w:r>
              <w:rPr>
                <w:b/>
                <w:color w:val="FFFFFF"/>
                <w:sz w:val="16"/>
              </w:rPr>
              <w:t>解释 本案例说明PlantMR可以把植物数据来源、LD依赖、完整网格选择和协方差近似明确呈现出来。它不能证明AT1G11560具有因果作用，因为表达队列和结局队列存在材料重叠，没有估计暴露—结局协方差，局部OLS不同于发表的混合模型，并且残余异质性仍然存在。</w:t>
            </w:r>
          </w:p>
        </w:tc>
      </w:tr>
    </w:tbl>
    <w:p>
      <w:pPr>
        <w:spacing w:after="0"/>
      </w:pPr>
    </w:p>
    <w:p>
      <w:r>
        <w:drawing>
          <wp:inline xmlns:a="http://schemas.openxmlformats.org/drawingml/2006/main" xmlns:pic="http://schemas.openxmlformats.org/drawingml/2006/picture">
            <wp:extent cx="5806440" cy="4131634"/>
            <wp:docPr id="5" name="Picture 5"/>
            <wp:cNvGraphicFramePr>
              <a:graphicFrameLocks noChangeAspect="1"/>
            </wp:cNvGraphicFramePr>
            <a:graphic>
              <a:graphicData uri="http://schemas.openxmlformats.org/drawingml/2006/picture">
                <pic:pic>
                  <pic:nvPicPr>
                    <pic:cNvPr id="0" name="arabidopsis_case.png"/>
                    <pic:cNvPicPr/>
                  </pic:nvPicPr>
                  <pic:blipFill>
                    <a:blip r:embed="rId15"/>
                    <a:stretch>
                      <a:fillRect/>
                    </a:stretch>
                  </pic:blipFill>
                  <pic:spPr>
                    <a:xfrm>
                      <a:off x="0" y="0"/>
                      <a:ext cx="5806440" cy="4131634"/>
                    </a:xfrm>
                    <a:prstGeom prst="rect"/>
                  </pic:spPr>
                </pic:pic>
              </a:graphicData>
            </a:graphic>
          </wp:inline>
        </w:drawing>
      </w:r>
    </w:p>
    <w:p>
      <w:pPr>
        <w:spacing w:line="269" w:lineRule="auto" w:after="100"/>
      </w:pPr>
      <w:r>
        <w:t>图4。Arabidopsis植物MR案例。（a）AT1G11560案例中对齐的暴露和结局区域关联轨道；（b）48个保留工具变量之间的LD；（c）按环境分层的MR估计；（d）主要分析和表型相关性代理下的环境斜率。误差条表示95%置信区间。</w:t>
      </w:r>
    </w:p>
    <w:p>
      <w:pPr>
        <w:pStyle w:val="Heading2"/>
      </w:pPr>
      <w:r>
        <w:t>可复现性和运行时间</w:t>
      </w:r>
    </w:p>
    <w:p>
      <w:pPr>
        <w:spacing w:line="269" w:lineRule="auto" w:after="100"/>
      </w:pPr>
      <w:r>
        <w:t>本地运行基准以返回码0完成了验证、合成G×E运行和Arabidopsis案例。三个任务耗时9.70–9.93秒，峰值常驻内存为126,664–133,424 KB。这些结果是单台主机上的可复现性基准，不代表普遍性能，也不代表全基因组规模的可扩展性。</w:t>
      </w:r>
    </w:p>
    <w:p>
      <w:pPr>
        <w:spacing w:line="269" w:lineRule="auto" w:after="100"/>
      </w:pPr>
      <w:r>
        <w:t>表8。冻结版PlantMR实现的本地运行基准。</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17365D"/>
          </w:tcPr>
          <w:p>
            <w:pPr>
              <w:spacing w:after="0"/>
            </w:pPr>
            <w:r/>
            <w:r>
              <w:rPr>
                <w:b/>
                <w:color w:val="FFFFFF"/>
                <w:sz w:val="16"/>
              </w:rPr>
              <w:t>任务</w:t>
            </w:r>
          </w:p>
        </w:tc>
        <w:tc>
          <w:tcPr>
            <w:tcW w:type="dxa" w:w="2493"/>
            <w:vAlign w:val="center"/>
            <w:shd w:fill="17365D"/>
          </w:tcPr>
          <w:p>
            <w:pPr>
              <w:spacing w:after="0"/>
            </w:pPr>
            <w:r/>
            <w:r>
              <w:rPr>
                <w:b/>
                <w:color w:val="FFFFFF"/>
                <w:sz w:val="16"/>
              </w:rPr>
              <w:t>用时（秒）</w:t>
            </w:r>
          </w:p>
        </w:tc>
        <w:tc>
          <w:tcPr>
            <w:tcW w:type="dxa" w:w="2493"/>
            <w:vAlign w:val="center"/>
            <w:shd w:fill="17365D"/>
          </w:tcPr>
          <w:p>
            <w:pPr>
              <w:spacing w:after="0"/>
            </w:pPr>
            <w:r/>
            <w:r>
              <w:rPr>
                <w:b/>
                <w:color w:val="FFFFFF"/>
                <w:sz w:val="16"/>
              </w:rPr>
              <w:t>峰值RSS（KB）</w:t>
            </w:r>
          </w:p>
        </w:tc>
        <w:tc>
          <w:tcPr>
            <w:tcW w:type="dxa" w:w="2493"/>
            <w:vAlign w:val="center"/>
            <w:shd w:fill="17365D"/>
          </w:tcPr>
          <w:p>
            <w:pPr>
              <w:spacing w:after="0"/>
            </w:pPr>
            <w:r/>
            <w:r>
              <w:rPr>
                <w:b/>
                <w:color w:val="FFFFFF"/>
                <w:sz w:val="16"/>
              </w:rPr>
              <w:t>返回码</w:t>
            </w:r>
          </w:p>
        </w:tc>
      </w:tr>
      <w:tr>
        <w:tc>
          <w:tcPr>
            <w:tcW w:type="dxa" w:w="2493"/>
            <w:vAlign w:val="center"/>
          </w:tcPr>
          <w:p>
            <w:pPr>
              <w:spacing w:after="0"/>
            </w:pPr>
            <w:r/>
            <w:r>
              <w:rPr>
                <w:b w:val="0"/>
                <w:sz w:val="16"/>
              </w:rPr>
              <w:t>validate</w:t>
            </w:r>
          </w:p>
        </w:tc>
        <w:tc>
          <w:tcPr>
            <w:tcW w:type="dxa" w:w="2493"/>
            <w:vAlign w:val="center"/>
          </w:tcPr>
          <w:p>
            <w:pPr>
              <w:spacing w:after="0"/>
            </w:pPr>
            <w:r/>
            <w:r>
              <w:rPr>
                <w:b w:val="0"/>
                <w:sz w:val="16"/>
              </w:rPr>
              <w:t>9.7034</w:t>
            </w:r>
          </w:p>
        </w:tc>
        <w:tc>
          <w:tcPr>
            <w:tcW w:type="dxa" w:w="2493"/>
            <w:vAlign w:val="center"/>
          </w:tcPr>
          <w:p>
            <w:pPr>
              <w:spacing w:after="0"/>
            </w:pPr>
            <w:r/>
            <w:r>
              <w:rPr>
                <w:b w:val="0"/>
                <w:sz w:val="16"/>
              </w:rPr>
              <w:t>126,664</w:t>
            </w:r>
          </w:p>
        </w:tc>
        <w:tc>
          <w:tcPr>
            <w:tcW w:type="dxa" w:w="2493"/>
            <w:vAlign w:val="center"/>
          </w:tcPr>
          <w:p>
            <w:pPr>
              <w:spacing w:after="0"/>
            </w:pPr>
            <w:r/>
            <w:r>
              <w:rPr>
                <w:b w:val="0"/>
                <w:sz w:val="16"/>
              </w:rPr>
              <w:t>0</w:t>
            </w:r>
          </w:p>
        </w:tc>
      </w:tr>
      <w:tr>
        <w:tc>
          <w:tcPr>
            <w:tcW w:type="dxa" w:w="2493"/>
            <w:vAlign w:val="center"/>
            <w:shd w:fill="F4F6F8"/>
          </w:tcPr>
          <w:p>
            <w:pPr>
              <w:spacing w:after="0"/>
            </w:pPr>
            <w:r/>
            <w:r>
              <w:rPr>
                <w:b w:val="0"/>
                <w:sz w:val="16"/>
              </w:rPr>
              <w:t>gxe_synthetic</w:t>
            </w:r>
          </w:p>
        </w:tc>
        <w:tc>
          <w:tcPr>
            <w:tcW w:type="dxa" w:w="2493"/>
            <w:vAlign w:val="center"/>
            <w:shd w:fill="F4F6F8"/>
          </w:tcPr>
          <w:p>
            <w:pPr>
              <w:spacing w:after="0"/>
            </w:pPr>
            <w:r/>
            <w:r>
              <w:rPr>
                <w:b w:val="0"/>
                <w:sz w:val="16"/>
              </w:rPr>
              <w:t>9.7974</w:t>
            </w:r>
          </w:p>
        </w:tc>
        <w:tc>
          <w:tcPr>
            <w:tcW w:type="dxa" w:w="2493"/>
            <w:vAlign w:val="center"/>
            <w:shd w:fill="F4F6F8"/>
          </w:tcPr>
          <w:p>
            <w:pPr>
              <w:spacing w:after="0"/>
            </w:pPr>
            <w:r/>
            <w:r>
              <w:rPr>
                <w:b w:val="0"/>
                <w:sz w:val="16"/>
              </w:rPr>
              <w:t>129,736</w:t>
            </w:r>
          </w:p>
        </w:tc>
        <w:tc>
          <w:tcPr>
            <w:tcW w:type="dxa" w:w="2493"/>
            <w:vAlign w:val="center"/>
            <w:shd w:fill="F4F6F8"/>
          </w:tcPr>
          <w:p>
            <w:pPr>
              <w:spacing w:after="0"/>
            </w:pPr>
            <w:r/>
            <w:r>
              <w:rPr>
                <w:b w:val="0"/>
                <w:sz w:val="16"/>
              </w:rPr>
              <w:t>0</w:t>
            </w:r>
          </w:p>
        </w:tc>
      </w:tr>
      <w:tr>
        <w:tc>
          <w:tcPr>
            <w:tcW w:type="dxa" w:w="2493"/>
            <w:vAlign w:val="center"/>
          </w:tcPr>
          <w:p>
            <w:pPr>
              <w:spacing w:after="0"/>
            </w:pPr>
            <w:r/>
            <w:r>
              <w:rPr>
                <w:b w:val="0"/>
                <w:sz w:val="16"/>
              </w:rPr>
              <w:t>gxe_arabidopsis</w:t>
            </w:r>
          </w:p>
        </w:tc>
        <w:tc>
          <w:tcPr>
            <w:tcW w:type="dxa" w:w="2493"/>
            <w:vAlign w:val="center"/>
          </w:tcPr>
          <w:p>
            <w:pPr>
              <w:spacing w:after="0"/>
            </w:pPr>
            <w:r/>
            <w:r>
              <w:rPr>
                <w:b w:val="0"/>
                <w:sz w:val="16"/>
              </w:rPr>
              <w:t>9.9300</w:t>
            </w:r>
          </w:p>
        </w:tc>
        <w:tc>
          <w:tcPr>
            <w:tcW w:type="dxa" w:w="2493"/>
            <w:vAlign w:val="center"/>
          </w:tcPr>
          <w:p>
            <w:pPr>
              <w:spacing w:after="0"/>
            </w:pPr>
            <w:r/>
            <w:r>
              <w:rPr>
                <w:b w:val="0"/>
                <w:sz w:val="16"/>
              </w:rPr>
              <w:t>133,424</w:t>
            </w:r>
          </w:p>
        </w:tc>
        <w:tc>
          <w:tcPr>
            <w:tcW w:type="dxa" w:w="2493"/>
            <w:vAlign w:val="center"/>
          </w:tcPr>
          <w:p>
            <w:pPr>
              <w:spacing w:after="0"/>
            </w:pPr>
            <w:r/>
            <w:r>
              <w:rPr>
                <w:b w:val="0"/>
                <w:sz w:val="16"/>
              </w:rPr>
              <w:t>0</w:t>
            </w:r>
          </w:p>
        </w:tc>
      </w:tr>
    </w:tbl>
    <w:p>
      <w:pPr>
        <w:spacing w:after="0"/>
      </w:pPr>
    </w:p>
    <w:p>
      <w:pPr>
        <w:pStyle w:val="Heading1"/>
      </w:pPr>
      <w:r>
        <w:t>讨论</w:t>
      </w:r>
    </w:p>
    <w:p>
      <w:pPr>
        <w:pStyle w:val="Heading2"/>
      </w:pPr>
      <w:r>
        <w:t>主要发现</w:t>
      </w:r>
    </w:p>
    <w:p>
      <w:pPr>
        <w:spacing w:line="269" w:lineRule="auto" w:after="100"/>
      </w:pPr>
      <w:r>
        <w:t>PlantMR针对植物摘要统计MR中的一个反复出现的问题：基因型、组织、发育阶段、环境、LD和样本重叠信息经常被分别保存。该工作流将这些字段与估计结果联系起来，并带入报告。这一点很重要，因为当暴露组织、发育阶段或处理条件发生变化时，同一个SNP层面的beta和标准误可能对应不同的估计目标。因此，本文的贡献是一个可复现的数据和分析工作流，而不是关于植物因果关系的新声明。</w:t>
      </w:r>
    </w:p>
    <w:p>
      <w:pPr>
        <w:spacing w:line="269" w:lineRule="auto" w:after="100"/>
      </w:pPr>
      <w:r>
        <w:t>环境斜率分析回答的是一个更具体的问题：遗传代理的暴露—结局关联是否沿着预先指定的环境尺度发生变化？该斜率不是普遍适用的基因—环境因果参数，也不是多效性校正截距。它的使用依赖于共同的SNP×环境工具变量网格、具有生物学解释的环境对比以及与数据结构相匹配的协方差模型。</w:t>
      </w:r>
    </w:p>
    <w:p>
      <w:pPr>
        <w:spacing w:line="269" w:lineRule="auto" w:after="100"/>
      </w:pPr>
      <w:r>
        <w:t>模拟结果说明这些细节为什么会影响推断。在本研究测试场景下，正确协方差模型和对角模型给出了相近的点估计，但在LD压力测试中，独立性近似降低了标准误。零假设拒绝率从0.044升至0.126，覆盖率从0.956降至0.874。因此，在依赖性合理存在时，应报告协方差来源，并把对角分析作为敏感性分析，而不是默认的真实模型。</w:t>
      </w:r>
    </w:p>
    <w:p>
      <w:pPr>
        <w:pStyle w:val="Heading2"/>
      </w:pPr>
      <w:r>
        <w:t>与相关方法的比较</w:t>
      </w:r>
    </w:p>
    <w:p>
      <w:pPr>
        <w:spacing w:line="269" w:lineRule="auto" w:after="100"/>
      </w:pPr>
      <w:r>
        <w:t>PlantMR应当与已有MR方法配合使用。IVW、MR-Egger、稳健估计器和中位数估计器、多效性诊断、共定位及精细定位分别处理不同的不确定性来源。[3–12,28] 本文纳入的标准估计器提供共同的审计记录，但不能让无效工具变量变得有效。因此，Arabidopsis案例中的较大Q统计量和非零Egger截距是结果的一部分，不是通过更换另一个估计器就可以消除的问题。</w:t>
      </w:r>
    </w:p>
    <w:p>
      <w:pPr>
        <w:spacing w:line="269" w:lineRule="auto" w:after="100"/>
      </w:pPr>
      <w:r>
        <w:t>共享输入比较也区分了PlantMR和交互MR。摘要统计MR-GxE利用工具变量—暴露关联中的基因—协变量交互，并在相应假设下估计不变因果效应和多效性项。[14] MR-GENIUS采用不同的识别策略，对交互强度和异质性有自己的条件要求。[15] MR-EILLS针对异质GWAS摘要数据中的不变因果效应。[16] PlantMR则估计效应沿观测环境尺度的变化。这四种量不能互相替换。</w:t>
      </w:r>
    </w:p>
    <w:p>
      <w:pPr>
        <w:spacing w:line="269" w:lineRule="auto" w:after="100"/>
      </w:pPr>
      <w:r>
        <w:t>PlantMR与植物生物学MR应用的区别，在于证据目标不同。Liu等人将玉米干旱响应表达、eQTL、MR优先排序和实验跟进结合起来，提出了干旱耐受调控因子的候选名单。[18] Feng等人利用Arabidopsis区域GWAS和eQTL摘要统计、SMR/HEIDI以及独立表达数据，对AT1G11560进行候选优先排序。[19] 在Populus研究中，Liang等人通过关联分析、上位性、表达和MR分析，把一个miRNA及其靶基因的变异与木材性状联系起来。[37] 这些研究为本文的图形顺序提供了更直接的植物MR参照：环境或组织背景、区域遗传证据、分子关联、MR估计以及生物学解释边界。MRBIGR在玉米中整合基因型、转录组、代谢组、GWAS和MR分析，并用玉米和水稻数据展示工作流。[17] metaGE面向多环境GWAS荟萃分析，并在多个植物数据集上比较固定效应、随机效应和其他荟萃分析程序。[25] MAPtools强调命令行工作流、公开数据案例和可复现输出。[36] PlantMR采用植物研究中常见的证据顺序，但把重点放在考虑协方差的摘要统计MR上，而不是声称发现了新的生物学结论。</w:t>
      </w:r>
    </w:p>
    <w:p>
      <w:pPr>
        <w:pStyle w:val="Heading2"/>
      </w:pPr>
      <w:r>
        <w:t>模拟和协方差行为</w:t>
      </w:r>
    </w:p>
    <w:p>
      <w:pPr>
        <w:spacing w:line="269" w:lineRule="auto" w:after="100"/>
      </w:pPr>
      <w:r>
        <w:t>植物群体经常包含相关材料、局部单倍型和不均匀LD。因此，不能因为输入文件每行对应一个SNP，就假设比值估计的协方差矩阵是对角的。当相同材料被重复表型测量、试验共享对照或环境测量彼此相关时，环境之间也会产生依赖。在这些情况下，协方差模型对标准误和异质性的影响通常大于对点估计的影响。</w:t>
      </w:r>
    </w:p>
    <w:p>
      <w:pPr>
        <w:spacing w:line="269" w:lineRule="auto" w:after="100"/>
      </w:pPr>
      <w:r>
        <w:t>考虑矩阵秩的Q计算，为奇异或近似奇异的协方差矩阵提供了直接处理方式。主要案例有96个比值观测，但给定协方差矩阵的秩为62。因此，报告的残余自由度为rank(V)−rank(X)=60，而不是94或95。这个计算不能验证协方差矩阵在生物学上是否正确，但可以避免把线性依赖的观测当作相互独立。</w:t>
      </w:r>
    </w:p>
    <w:p>
      <w:pPr>
        <w:spacing w:line="269" w:lineRule="auto" w:after="100"/>
      </w:pPr>
      <w:r>
        <w:t>压力测试还区分了校准和功效。在真实斜率为0.25的测试中，两种协方差选择的功效均为1.00，但对角模型未能保持零假设校准。只用功效评价会漏掉这一差异。因此，对于考虑协方差的方法，应同时报告零假设拒绝率、覆盖率、偏差、RMSE和标准误表现。</w:t>
      </w:r>
    </w:p>
    <w:p>
      <w:pPr>
        <w:pStyle w:val="Heading2"/>
      </w:pPr>
      <w:r>
        <w:t>Arabidopsis数据应用</w:t>
      </w:r>
    </w:p>
    <w:p>
      <w:pPr>
        <w:spacing w:line="269" w:lineRule="auto" w:after="100"/>
      </w:pPr>
      <w:r>
        <w:t>Arabidopsis分析被用作一个公开数据工作流案例。局部区域提供了完整的双环境网格；有歧义的回文变异被排除，48个SNP通过最终工具变量筛选。按环境分层的固定效应IVW估计在两个温度下均为正，但大小不同。考虑协方差的环境斜率为−0.03705（SE 0.15617，P=0.81249），而残余异质性较高（Q=192.89，按矩阵秩调整的自由度为60，P=7.33×10−16）。</w:t>
      </w:r>
    </w:p>
    <w:p>
      <w:pPr>
        <w:spacing w:line="269" w:lineRule="auto" w:after="100"/>
      </w:pPr>
      <w:r>
        <w:t>该案例不能证明AT1G11560是开花时间的因果调控因子。表达队列和结局队列存在材料重叠，暴露—结局抽样协方差不可得，局部关联模型使用普通最小二乘而不是发表的混合模型。基线表达代理还被直接带入两个结局环境，而不是作为环境特异的eQTL重新估计。适当的解释是：PlantMR能够暴露这些依赖关系，并产生可复现的敏感性结果；生物学结论仍然是暂时性的。</w:t>
      </w:r>
    </w:p>
    <w:p>
      <w:pPr>
        <w:spacing w:line="269" w:lineRule="auto" w:after="100"/>
      </w:pPr>
      <w:r>
        <w:t>表型相关性敏感性分析说明了同一问题。FT10与FT16的相关性改变了拟合截距和斜率，但它不是暴露和结局GWAS估计值的实测协方差。因此，它可以作为敏感性计算，而不是样本重叠的正式校正。报告这个代理值及其性质，可以避免把一个方便获得的相关性误认为已识别的协方差。</w:t>
      </w:r>
    </w:p>
    <w:p>
      <w:pPr>
        <w:pStyle w:val="Heading2"/>
      </w:pPr>
      <w:r>
        <w:t>在植物和作物研究中的使用</w:t>
      </w:r>
    </w:p>
    <w:p>
      <w:pPr>
        <w:spacing w:line="269" w:lineRule="auto" w:after="100"/>
      </w:pPr>
      <w:r>
        <w:t>对于自然群体研究，报告应说明材料面板、地理结构处理策略、亲缘关系或混合模型方法、参考基因组组装，以及构建LD矩阵时使用的等位基因表示方式。对于育种群体和多环境试验，环境分数应在分析前定义，并代表具有生物学意义的对比，而不是事后命名的标签。温度、干旱程度、光周期或营养水平等变量的测量误差及其试验间相关性也应记录。</w:t>
      </w:r>
    </w:p>
    <w:p>
      <w:pPr>
        <w:spacing w:line="269" w:lineRule="auto" w:after="100"/>
      </w:pPr>
      <w:r>
        <w:t>表达介导分析还要求把暴露背景与关联结果绑定。每个eQTL都应报告组织、发育阶段、处理条件和标准化方式。不能把基线eQTL不加说明地当作胁迫特异分子暴露。若生物学问题是中介作用，除了MR之外，还需要共定位、精细定位或HEIDI类证据。[11,12,28] 如果问题是环境特异的生物学效应，可能还需要对暴露关联本身进行环境特异建模。</w:t>
      </w:r>
    </w:p>
    <w:p>
      <w:pPr>
        <w:spacing w:line="269" w:lineRule="auto" w:after="100"/>
      </w:pPr>
      <w:r>
        <w:t>多倍体剂量、同源异源基因归属、亚基因组特异LD、存在/缺失变异和结构变异都需要明确的数据模型。在当前实现中，这些变异不会被静默地重新编码为二倍体SNP。这样可以把软件限制与生物学阴性结果区分开，并明确未来解释这些分析所需的输入条件。</w:t>
      </w:r>
    </w:p>
    <w:p>
      <w:pPr>
        <w:pStyle w:val="Heading2"/>
      </w:pPr>
      <w:r>
        <w:t>局限性</w:t>
      </w:r>
    </w:p>
    <w:p>
      <w:pPr>
        <w:spacing w:line="269" w:lineRule="auto" w:after="100"/>
      </w:pPr>
      <w:r>
        <w:t>Arabidopsis案例不是独立的因果验证。它使用公开处理数据、重叠材料和局部OLS模型。案例只有两个结局环境，因此斜率只是预先指定环境尺度上的对比，不能证明线性关系、阈值效应或一般响应曲线。</w:t>
      </w:r>
    </w:p>
    <w:p>
      <w:pPr>
        <w:spacing w:line="269" w:lineRule="auto" w:after="100"/>
      </w:pPr>
      <w:r>
        <w:t>方向性多效性模拟只覆盖一个结构化场景，没有覆盖平衡多效性、相关多效性、弱工具变量、非线性效应、环境测量误差、赢家诅咒或群体分层LD错配。当前软件接收外部提供的带符号相关矩阵，但不会估计因果LD面板、修复所有非半正定输入，或建模多倍体剂量和结构变异。</w:t>
      </w:r>
    </w:p>
    <w:p>
      <w:pPr>
        <w:spacing w:line="269" w:lineRule="auto" w:after="100"/>
      </w:pPr>
      <w:r>
        <w:t>外部比较明确限于一个摘要统计MR-GxE实现。完整的个体水平MR-GxE分析以及MR-GENIUS或MR-EILLS的独立实现不在当前研究范围内。只有在对齐输入契约和目标估计量之后，才适合比较这些方法。若要把生物学结论推广到本演示之外，还需要在独立群体、更多环境、混合模型摘要统计和功能证据中扩展评估。</w:t>
      </w:r>
    </w:p>
    <w:p>
      <w:pPr>
        <w:pStyle w:val="Heading1"/>
      </w:pPr>
      <w:r>
        <w:t>结论</w:t>
      </w:r>
    </w:p>
    <w:p>
      <w:pPr>
        <w:spacing w:line="269" w:lineRule="auto" w:after="100"/>
      </w:pPr>
      <w:r>
        <w:t>PlantMR提供了一个用于植物摘要统计MR和环境效应异质性分析的可复现工作流。本文证据包括明确的元数据、完整网格工具变量选择、考虑协方差的GLS、考虑矩阵秩的异质性报告、校准模拟、共享输入MR-GxE比较和公开Arabidopsis案例。这些结果支持使用PlantMR把假设和数据依赖关系明确呈现出来；但它们不能证明AT1G11560是因果基因，也不能让PlantMR替代共定位、混合模型GWAS、交互MR方法或功能验证。</w:t>
      </w:r>
    </w:p>
    <w:p>
      <w:pPr>
        <w:pStyle w:val="Heading1"/>
      </w:pPr>
      <w:r>
        <w:t>可用性和运行要求</w:t>
      </w:r>
    </w:p>
    <w:p>
      <w:pPr>
        <w:spacing w:line="269" w:lineRule="auto" w:after="100"/>
      </w:pPr>
      <w:r>
        <w:t>PlantMR以MIT许可证发布。软件版本为v1.1.0，完整的手稿、基准结果和Word文档包冻结在v1.1.0-paper标签。公共代码仓库为https://github.com/Zhangzhishuai-HIT/PlantMR，供投稿使用的源码归档为release/PlantMR_v1.1.0-paper_source.zip。Zenodo或等效归档DOI尚待分配。</w:t>
      </w:r>
    </w:p>
    <w:p>
      <w:pPr>
        <w:spacing w:line="269" w:lineRule="auto" w:after="100"/>
      </w:pPr>
      <w:r>
        <w:t>公共数据来源包括GSE80744标准化表达数据、AraPheno FT10/FT16、1001 Genomes v3.1以及Arabidopsis相关原始研究。1001 Genomes的大型提供方归档不随项目重新分发；项目包含派生的局部基因型区域、主成分分数、等位基因对应关系和提供方校验值。玉米补充工作簿、eQTL表和候选基因表被纳入审计材料，但没有被当作新的因果结果。</w:t>
      </w:r>
    </w:p>
    <w:p>
      <w:pPr>
        <w:spacing w:line="269" w:lineRule="auto" w:after="100"/>
      </w:pPr>
      <w:r>
        <w:t>表9。Plant Methods软件可用性和运行要求。</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17365D"/>
          </w:tcPr>
          <w:p>
            <w:pPr>
              <w:spacing w:after="0"/>
            </w:pPr>
            <w:r/>
            <w:r>
              <w:rPr>
                <w:b/>
                <w:color w:val="FFFFFF"/>
                <w:sz w:val="16"/>
              </w:rPr>
              <w:t>字段</w:t>
            </w:r>
          </w:p>
        </w:tc>
        <w:tc>
          <w:tcPr>
            <w:tcW w:type="dxa" w:w="4986"/>
            <w:vAlign w:val="center"/>
            <w:shd w:fill="17365D"/>
          </w:tcPr>
          <w:p>
            <w:pPr>
              <w:spacing w:after="0"/>
            </w:pPr>
            <w:r/>
            <w:r>
              <w:rPr>
                <w:b/>
                <w:color w:val="FFFFFF"/>
                <w:sz w:val="16"/>
              </w:rPr>
              <w:t>当前值</w:t>
            </w:r>
          </w:p>
        </w:tc>
      </w:tr>
      <w:tr>
        <w:tc>
          <w:tcPr>
            <w:tcW w:type="dxa" w:w="4986"/>
            <w:vAlign w:val="center"/>
          </w:tcPr>
          <w:p>
            <w:pPr>
              <w:spacing w:after="0"/>
            </w:pPr>
            <w:r/>
            <w:r>
              <w:rPr>
                <w:b w:val="0"/>
                <w:sz w:val="16"/>
              </w:rPr>
              <w:t>项目名称</w:t>
            </w:r>
          </w:p>
        </w:tc>
        <w:tc>
          <w:tcPr>
            <w:tcW w:type="dxa" w:w="4986"/>
            <w:vAlign w:val="center"/>
          </w:tcPr>
          <w:p>
            <w:pPr>
              <w:spacing w:after="0"/>
            </w:pPr>
            <w:r/>
            <w:r>
              <w:rPr>
                <w:b w:val="0"/>
                <w:sz w:val="16"/>
              </w:rPr>
              <w:t>PlantMR 1.1</w:t>
            </w:r>
          </w:p>
        </w:tc>
      </w:tr>
      <w:tr>
        <w:tc>
          <w:tcPr>
            <w:tcW w:type="dxa" w:w="4986"/>
            <w:vAlign w:val="center"/>
            <w:shd w:fill="F4F6F8"/>
          </w:tcPr>
          <w:p>
            <w:pPr>
              <w:spacing w:after="0"/>
            </w:pPr>
            <w:r/>
            <w:r>
              <w:rPr>
                <w:b w:val="0"/>
                <w:sz w:val="16"/>
              </w:rPr>
              <w:t>项目主页</w:t>
            </w:r>
          </w:p>
        </w:tc>
        <w:tc>
          <w:tcPr>
            <w:tcW w:type="dxa" w:w="4986"/>
            <w:vAlign w:val="center"/>
            <w:shd w:fill="F4F6F8"/>
          </w:tcPr>
          <w:p>
            <w:pPr>
              <w:spacing w:after="0"/>
            </w:pPr>
            <w:r/>
            <w:r>
              <w:rPr>
                <w:b w:val="0"/>
                <w:sz w:val="16"/>
              </w:rPr>
              <w:t>https://github.com/Zhangzhishuai-HIT/PlantMR</w:t>
            </w:r>
          </w:p>
        </w:tc>
      </w:tr>
      <w:tr>
        <w:tc>
          <w:tcPr>
            <w:tcW w:type="dxa" w:w="4986"/>
            <w:vAlign w:val="center"/>
          </w:tcPr>
          <w:p>
            <w:pPr>
              <w:spacing w:after="0"/>
            </w:pPr>
            <w:r/>
            <w:r>
              <w:rPr>
                <w:b w:val="0"/>
                <w:sz w:val="16"/>
              </w:rPr>
              <w:t>操作系统</w:t>
            </w:r>
          </w:p>
        </w:tc>
        <w:tc>
          <w:tcPr>
            <w:tcW w:type="dxa" w:w="4986"/>
            <w:vAlign w:val="center"/>
          </w:tcPr>
          <w:p>
            <w:pPr>
              <w:spacing w:after="0"/>
            </w:pPr>
            <w:r/>
            <w:r>
              <w:rPr>
                <w:b w:val="0"/>
                <w:sz w:val="16"/>
              </w:rPr>
              <w:t>已在Linux上验证；目标是可移植的Python代码。</w:t>
            </w:r>
          </w:p>
        </w:tc>
      </w:tr>
      <w:tr>
        <w:tc>
          <w:tcPr>
            <w:tcW w:type="dxa" w:w="4986"/>
            <w:vAlign w:val="center"/>
            <w:shd w:fill="F4F6F8"/>
          </w:tcPr>
          <w:p>
            <w:pPr>
              <w:spacing w:after="0"/>
            </w:pPr>
            <w:r/>
            <w:r>
              <w:rPr>
                <w:b w:val="0"/>
                <w:sz w:val="16"/>
              </w:rPr>
              <w:t>编程语言</w:t>
            </w:r>
          </w:p>
        </w:tc>
        <w:tc>
          <w:tcPr>
            <w:tcW w:type="dxa" w:w="4986"/>
            <w:vAlign w:val="center"/>
            <w:shd w:fill="F4F6F8"/>
          </w:tcPr>
          <w:p>
            <w:pPr>
              <w:spacing w:after="0"/>
            </w:pPr>
            <w:r/>
            <w:r>
              <w:rPr>
                <w:b w:val="0"/>
                <w:sz w:val="16"/>
              </w:rPr>
              <w:t>Python 3.10或更高版本。</w:t>
            </w:r>
          </w:p>
        </w:tc>
      </w:tr>
      <w:tr>
        <w:tc>
          <w:tcPr>
            <w:tcW w:type="dxa" w:w="4986"/>
            <w:vAlign w:val="center"/>
          </w:tcPr>
          <w:p>
            <w:pPr>
              <w:spacing w:after="0"/>
            </w:pPr>
            <w:r/>
            <w:r>
              <w:rPr>
                <w:b w:val="0"/>
                <w:sz w:val="16"/>
              </w:rPr>
              <w:t>依赖</w:t>
            </w:r>
          </w:p>
        </w:tc>
        <w:tc>
          <w:tcPr>
            <w:tcW w:type="dxa" w:w="4986"/>
            <w:vAlign w:val="center"/>
          </w:tcPr>
          <w:p>
            <w:pPr>
              <w:spacing w:after="0"/>
            </w:pPr>
            <w:r/>
            <w:r>
              <w:rPr>
                <w:b w:val="0"/>
                <w:sz w:val="16"/>
              </w:rPr>
              <w:t>NumPy、pandas、SciPy、statsmodels、matplotlib和psutil；已在environment.yml中声明。</w:t>
            </w:r>
          </w:p>
        </w:tc>
      </w:tr>
      <w:tr>
        <w:tc>
          <w:tcPr>
            <w:tcW w:type="dxa" w:w="4986"/>
            <w:vAlign w:val="center"/>
            <w:shd w:fill="F4F6F8"/>
          </w:tcPr>
          <w:p>
            <w:pPr>
              <w:spacing w:after="0"/>
            </w:pPr>
            <w:r/>
            <w:r>
              <w:rPr>
                <w:b w:val="0"/>
                <w:sz w:val="16"/>
              </w:rPr>
              <w:t>许可证</w:t>
            </w:r>
          </w:p>
        </w:tc>
        <w:tc>
          <w:tcPr>
            <w:tcW w:type="dxa" w:w="4986"/>
            <w:vAlign w:val="center"/>
            <w:shd w:fill="F4F6F8"/>
          </w:tcPr>
          <w:p>
            <w:pPr>
              <w:spacing w:after="0"/>
            </w:pPr>
            <w:r/>
            <w:r>
              <w:rPr>
                <w:b w:val="0"/>
                <w:sz w:val="16"/>
              </w:rPr>
              <w:t>MIT许可证。</w:t>
            </w:r>
          </w:p>
        </w:tc>
      </w:tr>
      <w:tr>
        <w:tc>
          <w:tcPr>
            <w:tcW w:type="dxa" w:w="4986"/>
            <w:vAlign w:val="center"/>
          </w:tcPr>
          <w:p>
            <w:pPr>
              <w:spacing w:after="0"/>
            </w:pPr>
            <w:r/>
            <w:r>
              <w:rPr>
                <w:b w:val="0"/>
                <w:sz w:val="16"/>
              </w:rPr>
              <w:t>非学术使用限制</w:t>
            </w:r>
          </w:p>
        </w:tc>
        <w:tc>
          <w:tcPr>
            <w:tcW w:type="dxa" w:w="4986"/>
            <w:vAlign w:val="center"/>
          </w:tcPr>
          <w:p>
            <w:pPr>
              <w:spacing w:after="0"/>
            </w:pPr>
            <w:r/>
            <w:r>
              <w:rPr>
                <w:b w:val="0"/>
                <w:sz w:val="16"/>
              </w:rPr>
              <w:t>当前许可证没有额外限制。</w:t>
            </w:r>
          </w:p>
        </w:tc>
      </w:tr>
    </w:tbl>
    <w:p>
      <w:pPr>
        <w:spacing w:after="0"/>
      </w:pPr>
    </w:p>
    <w:p>
      <w:pPr>
        <w:pStyle w:val="Heading1"/>
      </w:pPr>
      <w:r>
        <w:t>缩略语</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17365D"/>
          </w:tcPr>
          <w:p>
            <w:pPr>
              <w:spacing w:after="0"/>
            </w:pPr>
            <w:r/>
            <w:r>
              <w:rPr>
                <w:b/>
                <w:color w:val="FFFFFF"/>
                <w:sz w:val="16"/>
              </w:rPr>
              <w:t>缩略语</w:t>
            </w:r>
          </w:p>
        </w:tc>
        <w:tc>
          <w:tcPr>
            <w:tcW w:type="dxa" w:w="4986"/>
            <w:vAlign w:val="center"/>
            <w:shd w:fill="17365D"/>
          </w:tcPr>
          <w:p>
            <w:pPr>
              <w:spacing w:after="0"/>
            </w:pPr>
            <w:r/>
            <w:r>
              <w:rPr>
                <w:b/>
                <w:color w:val="FFFFFF"/>
                <w:sz w:val="16"/>
              </w:rPr>
              <w:t>定义</w:t>
            </w:r>
          </w:p>
        </w:tc>
      </w:tr>
      <w:tr>
        <w:tc>
          <w:tcPr>
            <w:tcW w:type="dxa" w:w="4986"/>
            <w:vAlign w:val="center"/>
          </w:tcPr>
          <w:p>
            <w:pPr>
              <w:spacing w:after="0"/>
            </w:pPr>
            <w:r/>
            <w:r>
              <w:rPr>
                <w:b w:val="0"/>
                <w:sz w:val="16"/>
              </w:rPr>
              <w:t>MR</w:t>
            </w:r>
          </w:p>
        </w:tc>
        <w:tc>
          <w:tcPr>
            <w:tcW w:type="dxa" w:w="4986"/>
            <w:vAlign w:val="center"/>
          </w:tcPr>
          <w:p>
            <w:pPr>
              <w:spacing w:after="0"/>
            </w:pPr>
            <w:r/>
            <w:r>
              <w:rPr>
                <w:b w:val="0"/>
                <w:sz w:val="16"/>
              </w:rPr>
              <w:t>Mendelian randomization，孟德尔随机化</w:t>
            </w:r>
          </w:p>
        </w:tc>
      </w:tr>
      <w:tr>
        <w:tc>
          <w:tcPr>
            <w:tcW w:type="dxa" w:w="4986"/>
            <w:vAlign w:val="center"/>
            <w:shd w:fill="F4F6F8"/>
          </w:tcPr>
          <w:p>
            <w:pPr>
              <w:spacing w:after="0"/>
            </w:pPr>
            <w:r/>
            <w:r>
              <w:rPr>
                <w:b w:val="0"/>
                <w:sz w:val="16"/>
              </w:rPr>
              <w:t>GWAS</w:t>
            </w:r>
          </w:p>
        </w:tc>
        <w:tc>
          <w:tcPr>
            <w:tcW w:type="dxa" w:w="4986"/>
            <w:vAlign w:val="center"/>
            <w:shd w:fill="F4F6F8"/>
          </w:tcPr>
          <w:p>
            <w:pPr>
              <w:spacing w:after="0"/>
            </w:pPr>
            <w:r/>
            <w:r>
              <w:rPr>
                <w:b w:val="0"/>
                <w:sz w:val="16"/>
              </w:rPr>
              <w:t>Genome-wide association study，全基因组关联研究</w:t>
            </w:r>
          </w:p>
        </w:tc>
      </w:tr>
      <w:tr>
        <w:tc>
          <w:tcPr>
            <w:tcW w:type="dxa" w:w="4986"/>
            <w:vAlign w:val="center"/>
          </w:tcPr>
          <w:p>
            <w:pPr>
              <w:spacing w:after="0"/>
            </w:pPr>
            <w:r/>
            <w:r>
              <w:rPr>
                <w:b w:val="0"/>
                <w:sz w:val="16"/>
              </w:rPr>
              <w:t>eQTL</w:t>
            </w:r>
          </w:p>
        </w:tc>
        <w:tc>
          <w:tcPr>
            <w:tcW w:type="dxa" w:w="4986"/>
            <w:vAlign w:val="center"/>
          </w:tcPr>
          <w:p>
            <w:pPr>
              <w:spacing w:after="0"/>
            </w:pPr>
            <w:r/>
            <w:r>
              <w:rPr>
                <w:b w:val="0"/>
                <w:sz w:val="16"/>
              </w:rPr>
              <w:t>Expression quantitative trait locus，表达数量性状位点</w:t>
            </w:r>
          </w:p>
        </w:tc>
      </w:tr>
      <w:tr>
        <w:tc>
          <w:tcPr>
            <w:tcW w:type="dxa" w:w="4986"/>
            <w:vAlign w:val="center"/>
            <w:shd w:fill="F4F6F8"/>
          </w:tcPr>
          <w:p>
            <w:pPr>
              <w:spacing w:after="0"/>
            </w:pPr>
            <w:r/>
            <w:r>
              <w:rPr>
                <w:b w:val="0"/>
                <w:sz w:val="16"/>
              </w:rPr>
              <w:t>G×E / GxE</w:t>
            </w:r>
          </w:p>
        </w:tc>
        <w:tc>
          <w:tcPr>
            <w:tcW w:type="dxa" w:w="4986"/>
            <w:vAlign w:val="center"/>
            <w:shd w:fill="F4F6F8"/>
          </w:tcPr>
          <w:p>
            <w:pPr>
              <w:spacing w:after="0"/>
            </w:pPr>
            <w:r/>
            <w:r>
              <w:rPr>
                <w:b w:val="0"/>
                <w:sz w:val="16"/>
              </w:rPr>
              <w:t>Genotype-by-environment interaction，基因型—环境互作，或环境效应异质性</w:t>
            </w:r>
          </w:p>
        </w:tc>
      </w:tr>
      <w:tr>
        <w:tc>
          <w:tcPr>
            <w:tcW w:type="dxa" w:w="4986"/>
            <w:vAlign w:val="center"/>
          </w:tcPr>
          <w:p>
            <w:pPr>
              <w:spacing w:after="0"/>
            </w:pPr>
            <w:r/>
            <w:r>
              <w:rPr>
                <w:b w:val="0"/>
                <w:sz w:val="16"/>
              </w:rPr>
              <w:t>LD</w:t>
            </w:r>
          </w:p>
        </w:tc>
        <w:tc>
          <w:tcPr>
            <w:tcW w:type="dxa" w:w="4986"/>
            <w:vAlign w:val="center"/>
          </w:tcPr>
          <w:p>
            <w:pPr>
              <w:spacing w:after="0"/>
            </w:pPr>
            <w:r/>
            <w:r>
              <w:rPr>
                <w:b w:val="0"/>
                <w:sz w:val="16"/>
              </w:rPr>
              <w:t>Linkage disequilibrium，连锁不平衡</w:t>
            </w:r>
          </w:p>
        </w:tc>
      </w:tr>
      <w:tr>
        <w:tc>
          <w:tcPr>
            <w:tcW w:type="dxa" w:w="4986"/>
            <w:vAlign w:val="center"/>
            <w:shd w:fill="F4F6F8"/>
          </w:tcPr>
          <w:p>
            <w:pPr>
              <w:spacing w:after="0"/>
            </w:pPr>
            <w:r/>
            <w:r>
              <w:rPr>
                <w:b w:val="0"/>
                <w:sz w:val="16"/>
              </w:rPr>
              <w:t>GLS</w:t>
            </w:r>
          </w:p>
        </w:tc>
        <w:tc>
          <w:tcPr>
            <w:tcW w:type="dxa" w:w="4986"/>
            <w:vAlign w:val="center"/>
            <w:shd w:fill="F4F6F8"/>
          </w:tcPr>
          <w:p>
            <w:pPr>
              <w:spacing w:after="0"/>
            </w:pPr>
            <w:r/>
            <w:r>
              <w:rPr>
                <w:b w:val="0"/>
                <w:sz w:val="16"/>
              </w:rPr>
              <w:t>Generalized least squares，广义最小二乘</w:t>
            </w:r>
          </w:p>
        </w:tc>
      </w:tr>
      <w:tr>
        <w:tc>
          <w:tcPr>
            <w:tcW w:type="dxa" w:w="4986"/>
            <w:vAlign w:val="center"/>
          </w:tcPr>
          <w:p>
            <w:pPr>
              <w:spacing w:after="0"/>
            </w:pPr>
            <w:r/>
            <w:r>
              <w:rPr>
                <w:b w:val="0"/>
                <w:sz w:val="16"/>
              </w:rPr>
              <w:t>IVW</w:t>
            </w:r>
          </w:p>
        </w:tc>
        <w:tc>
          <w:tcPr>
            <w:tcW w:type="dxa" w:w="4986"/>
            <w:vAlign w:val="center"/>
          </w:tcPr>
          <w:p>
            <w:pPr>
              <w:spacing w:after="0"/>
            </w:pPr>
            <w:r/>
            <w:r>
              <w:rPr>
                <w:b w:val="0"/>
                <w:sz w:val="16"/>
              </w:rPr>
              <w:t>Inverse-variance weighted，逆方差加权</w:t>
            </w:r>
          </w:p>
        </w:tc>
      </w:tr>
      <w:tr>
        <w:tc>
          <w:tcPr>
            <w:tcW w:type="dxa" w:w="4986"/>
            <w:vAlign w:val="center"/>
            <w:shd w:fill="F4F6F8"/>
          </w:tcPr>
          <w:p>
            <w:pPr>
              <w:spacing w:after="0"/>
            </w:pPr>
            <w:r/>
            <w:r>
              <w:rPr>
                <w:b w:val="0"/>
                <w:sz w:val="16"/>
              </w:rPr>
              <w:t>MAF</w:t>
            </w:r>
          </w:p>
        </w:tc>
        <w:tc>
          <w:tcPr>
            <w:tcW w:type="dxa" w:w="4986"/>
            <w:vAlign w:val="center"/>
            <w:shd w:fill="F4F6F8"/>
          </w:tcPr>
          <w:p>
            <w:pPr>
              <w:spacing w:after="0"/>
            </w:pPr>
            <w:r/>
            <w:r>
              <w:rPr>
                <w:b w:val="0"/>
                <w:sz w:val="16"/>
              </w:rPr>
              <w:t>Minor allele frequency，次要等位基因频率</w:t>
            </w:r>
          </w:p>
        </w:tc>
      </w:tr>
      <w:tr>
        <w:tc>
          <w:tcPr>
            <w:tcW w:type="dxa" w:w="4986"/>
            <w:vAlign w:val="center"/>
          </w:tcPr>
          <w:p>
            <w:pPr>
              <w:spacing w:after="0"/>
            </w:pPr>
            <w:r/>
            <w:r>
              <w:rPr>
                <w:b w:val="0"/>
                <w:sz w:val="16"/>
              </w:rPr>
              <w:t>SNP</w:t>
            </w:r>
          </w:p>
        </w:tc>
        <w:tc>
          <w:tcPr>
            <w:tcW w:type="dxa" w:w="4986"/>
            <w:vAlign w:val="center"/>
          </w:tcPr>
          <w:p>
            <w:pPr>
              <w:spacing w:after="0"/>
            </w:pPr>
            <w:r/>
            <w:r>
              <w:rPr>
                <w:b w:val="0"/>
                <w:sz w:val="16"/>
              </w:rPr>
              <w:t>Single-nucleotide polymorphism，单核苷酸多态性</w:t>
            </w:r>
          </w:p>
        </w:tc>
      </w:tr>
      <w:tr>
        <w:tc>
          <w:tcPr>
            <w:tcW w:type="dxa" w:w="4986"/>
            <w:vAlign w:val="center"/>
            <w:shd w:fill="F4F6F8"/>
          </w:tcPr>
          <w:p>
            <w:pPr>
              <w:spacing w:after="0"/>
            </w:pPr>
            <w:r/>
            <w:r>
              <w:rPr>
                <w:b w:val="0"/>
                <w:sz w:val="16"/>
              </w:rPr>
              <w:t>Q</w:t>
            </w:r>
          </w:p>
        </w:tc>
        <w:tc>
          <w:tcPr>
            <w:tcW w:type="dxa" w:w="4986"/>
            <w:vAlign w:val="center"/>
            <w:shd w:fill="F4F6F8"/>
          </w:tcPr>
          <w:p>
            <w:pPr>
              <w:spacing w:after="0"/>
            </w:pPr>
            <w:r/>
            <w:r>
              <w:rPr>
                <w:b w:val="0"/>
                <w:sz w:val="16"/>
              </w:rPr>
              <w:t>Cochran-type heterogeneity statistic，Cochran类异质性统计量</w:t>
            </w:r>
          </w:p>
        </w:tc>
      </w:tr>
    </w:tbl>
    <w:p>
      <w:pPr>
        <w:spacing w:after="0"/>
      </w:pPr>
    </w:p>
    <w:p>
      <w:pPr>
        <w:pStyle w:val="Heading1"/>
      </w:pPr>
      <w:r>
        <w:t>声明</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17365D"/>
          </w:tcPr>
          <w:p>
            <w:pPr>
              <w:spacing w:after="0"/>
            </w:pPr>
            <w:r/>
            <w:r>
              <w:rPr>
                <w:b/>
                <w:color w:val="FFFFFF"/>
                <w:sz w:val="16"/>
              </w:rPr>
              <w:t>声明项目</w:t>
            </w:r>
          </w:p>
        </w:tc>
        <w:tc>
          <w:tcPr>
            <w:tcW w:type="dxa" w:w="4986"/>
            <w:vAlign w:val="center"/>
            <w:shd w:fill="17365D"/>
          </w:tcPr>
          <w:p>
            <w:pPr>
              <w:spacing w:after="0"/>
            </w:pPr>
            <w:r/>
            <w:r>
              <w:rPr>
                <w:b/>
                <w:color w:val="FFFFFF"/>
                <w:sz w:val="16"/>
              </w:rPr>
              <w:t>状态</w:t>
            </w:r>
          </w:p>
        </w:tc>
      </w:tr>
      <w:tr>
        <w:tc>
          <w:tcPr>
            <w:tcW w:type="dxa" w:w="4986"/>
            <w:vAlign w:val="center"/>
          </w:tcPr>
          <w:p>
            <w:pPr>
              <w:spacing w:after="0"/>
            </w:pPr>
            <w:r/>
            <w:r>
              <w:rPr>
                <w:b w:val="0"/>
                <w:sz w:val="16"/>
              </w:rPr>
              <w:t>伦理审批和参与同意</w:t>
            </w:r>
          </w:p>
        </w:tc>
        <w:tc>
          <w:tcPr>
            <w:tcW w:type="dxa" w:w="4986"/>
            <w:vAlign w:val="center"/>
          </w:tcPr>
          <w:p>
            <w:pPr>
              <w:spacing w:after="0"/>
            </w:pPr>
            <w:r/>
            <w:r>
              <w:rPr>
                <w:b w:val="0"/>
                <w:sz w:val="16"/>
              </w:rPr>
              <w:t>不适用：使用的是公共植物材料和公共汇总/处理数据。</w:t>
            </w:r>
          </w:p>
        </w:tc>
      </w:tr>
      <w:tr>
        <w:tc>
          <w:tcPr>
            <w:tcW w:type="dxa" w:w="4986"/>
            <w:vAlign w:val="center"/>
            <w:shd w:fill="F4F6F8"/>
          </w:tcPr>
          <w:p>
            <w:pPr>
              <w:spacing w:after="0"/>
            </w:pPr>
            <w:r/>
            <w:r>
              <w:rPr>
                <w:b w:val="0"/>
                <w:sz w:val="16"/>
              </w:rPr>
              <w:t>发表同意</w:t>
            </w:r>
          </w:p>
        </w:tc>
        <w:tc>
          <w:tcPr>
            <w:tcW w:type="dxa" w:w="4986"/>
            <w:vAlign w:val="center"/>
            <w:shd w:fill="F4F6F8"/>
          </w:tcPr>
          <w:p>
            <w:pPr>
              <w:spacing w:after="0"/>
            </w:pPr>
            <w:r/>
            <w:r>
              <w:rPr>
                <w:b w:val="0"/>
                <w:sz w:val="16"/>
              </w:rPr>
              <w:t>不适用。</w:t>
            </w:r>
          </w:p>
        </w:tc>
      </w:tr>
      <w:tr>
        <w:tc>
          <w:tcPr>
            <w:tcW w:type="dxa" w:w="4986"/>
            <w:vAlign w:val="center"/>
          </w:tcPr>
          <w:p>
            <w:pPr>
              <w:spacing w:after="0"/>
            </w:pPr>
            <w:r/>
            <w:r>
              <w:rPr>
                <w:b w:val="0"/>
                <w:sz w:val="16"/>
              </w:rPr>
              <w:t>数据和材料可得性</w:t>
            </w:r>
          </w:p>
        </w:tc>
        <w:tc>
          <w:tcPr>
            <w:tcW w:type="dxa" w:w="4986"/>
            <w:vAlign w:val="center"/>
          </w:tcPr>
          <w:p>
            <w:pPr>
              <w:spacing w:after="0"/>
            </w:pPr>
            <w:r/>
            <w:r>
              <w:rPr>
                <w:b w:val="0"/>
                <w:sz w:val="16"/>
              </w:rPr>
              <w:t>上文说明了公共源数据和派生审计材料；代码位于https://github.com/Zhangzhishuai-HIT/PlantMR；归档DOI待分配。</w:t>
            </w:r>
          </w:p>
        </w:tc>
      </w:tr>
      <w:tr>
        <w:tc>
          <w:tcPr>
            <w:tcW w:type="dxa" w:w="4986"/>
            <w:vAlign w:val="center"/>
            <w:shd w:fill="F4F6F8"/>
          </w:tcPr>
          <w:p>
            <w:pPr>
              <w:spacing w:after="0"/>
            </w:pPr>
            <w:r/>
            <w:r>
              <w:rPr>
                <w:b w:val="0"/>
                <w:sz w:val="16"/>
              </w:rPr>
              <w:t>利益冲突</w:t>
            </w:r>
          </w:p>
        </w:tc>
        <w:tc>
          <w:tcPr>
            <w:tcW w:type="dxa" w:w="4986"/>
            <w:vAlign w:val="center"/>
            <w:shd w:fill="F4F6F8"/>
          </w:tcPr>
          <w:p>
            <w:pPr>
              <w:spacing w:after="0"/>
            </w:pPr>
            <w:r/>
            <w:r>
              <w:rPr>
                <w:b w:val="0"/>
                <w:sz w:val="16"/>
              </w:rPr>
              <w:t>待作者补充。</w:t>
            </w:r>
          </w:p>
        </w:tc>
      </w:tr>
      <w:tr>
        <w:tc>
          <w:tcPr>
            <w:tcW w:type="dxa" w:w="4986"/>
            <w:vAlign w:val="center"/>
          </w:tcPr>
          <w:p>
            <w:pPr>
              <w:spacing w:after="0"/>
            </w:pPr>
            <w:r/>
            <w:r>
              <w:rPr>
                <w:b w:val="0"/>
                <w:sz w:val="16"/>
              </w:rPr>
              <w:t>基金</w:t>
            </w:r>
          </w:p>
        </w:tc>
        <w:tc>
          <w:tcPr>
            <w:tcW w:type="dxa" w:w="4986"/>
            <w:vAlign w:val="center"/>
          </w:tcPr>
          <w:p>
            <w:pPr>
              <w:spacing w:after="0"/>
            </w:pPr>
            <w:r/>
            <w:r>
              <w:rPr>
                <w:b w:val="0"/>
                <w:sz w:val="16"/>
              </w:rPr>
              <w:t>待作者补充。</w:t>
            </w:r>
          </w:p>
        </w:tc>
      </w:tr>
      <w:tr>
        <w:tc>
          <w:tcPr>
            <w:tcW w:type="dxa" w:w="4986"/>
            <w:vAlign w:val="center"/>
            <w:shd w:fill="F4F6F8"/>
          </w:tcPr>
          <w:p>
            <w:pPr>
              <w:spacing w:after="0"/>
            </w:pPr>
            <w:r/>
            <w:r>
              <w:rPr>
                <w:b w:val="0"/>
                <w:sz w:val="16"/>
              </w:rPr>
              <w:t>作者贡献</w:t>
            </w:r>
          </w:p>
        </w:tc>
        <w:tc>
          <w:tcPr>
            <w:tcW w:type="dxa" w:w="4986"/>
            <w:vAlign w:val="center"/>
            <w:shd w:fill="F4F6F8"/>
          </w:tcPr>
          <w:p>
            <w:pPr>
              <w:spacing w:after="0"/>
            </w:pPr>
            <w:r/>
            <w:r>
              <w:rPr>
                <w:b w:val="0"/>
                <w:sz w:val="16"/>
              </w:rPr>
              <w:t>待作者补充。</w:t>
            </w:r>
          </w:p>
        </w:tc>
      </w:tr>
      <w:tr>
        <w:tc>
          <w:tcPr>
            <w:tcW w:type="dxa" w:w="4986"/>
            <w:vAlign w:val="center"/>
          </w:tcPr>
          <w:p>
            <w:pPr>
              <w:spacing w:after="0"/>
            </w:pPr>
            <w:r/>
            <w:r>
              <w:rPr>
                <w:b w:val="0"/>
                <w:sz w:val="16"/>
              </w:rPr>
              <w:t>致谢</w:t>
            </w:r>
          </w:p>
        </w:tc>
        <w:tc>
          <w:tcPr>
            <w:tcW w:type="dxa" w:w="4986"/>
            <w:vAlign w:val="center"/>
          </w:tcPr>
          <w:p>
            <w:pPr>
              <w:spacing w:after="0"/>
            </w:pPr>
            <w:r/>
            <w:r>
              <w:rPr>
                <w:b w:val="0"/>
                <w:sz w:val="16"/>
              </w:rPr>
              <w:t>待作者补充，或标记为不适用。</w:t>
            </w:r>
          </w:p>
        </w:tc>
      </w:tr>
      <w:tr>
        <w:tc>
          <w:tcPr>
            <w:tcW w:type="dxa" w:w="4986"/>
            <w:vAlign w:val="center"/>
            <w:shd w:fill="F4F6F8"/>
          </w:tcPr>
          <w:p>
            <w:pPr>
              <w:spacing w:after="0"/>
            </w:pPr>
            <w:r/>
            <w:r>
              <w:rPr>
                <w:b w:val="0"/>
                <w:sz w:val="16"/>
              </w:rPr>
              <w:t>作者信息</w:t>
            </w:r>
          </w:p>
        </w:tc>
        <w:tc>
          <w:tcPr>
            <w:tcW w:type="dxa" w:w="4986"/>
            <w:vAlign w:val="center"/>
            <w:shd w:fill="F4F6F8"/>
          </w:tcPr>
          <w:p>
            <w:pPr>
              <w:spacing w:after="0"/>
            </w:pPr>
            <w:r/>
            <w:r>
              <w:rPr>
                <w:b w:val="0"/>
                <w:sz w:val="16"/>
              </w:rPr>
              <w:t>作者姓名、单位和通讯作者信息待补。</w:t>
            </w:r>
          </w:p>
        </w:tc>
      </w:tr>
    </w:tbl>
    <w:p>
      <w:pPr>
        <w:spacing w:after="0"/>
      </w:pPr>
    </w:p>
    <w:p>
      <w:pPr>
        <w:pStyle w:val="Heading1"/>
      </w:pPr>
      <w:r>
        <w:t>参考文献</w:t>
      </w:r>
    </w:p>
    <w:p>
      <w:pPr>
        <w:spacing w:line="269" w:lineRule="auto" w:after="100"/>
      </w:pPr>
      <w:r>
        <w:t>1. Davey Smith, G. &amp; Ebrahim, S. “Mendelian randomization”: can genetic epidemiology contribute to understanding environmental determinants of disease? Int. J. Epidemiol. 32, 1–22 (2003). https://doi.org/10.1093/ije/dyg070</w:t>
      </w:r>
    </w:p>
    <w:p>
      <w:pPr>
        <w:spacing w:line="269" w:lineRule="auto" w:after="100"/>
      </w:pPr>
      <w:r>
        <w:t>2. Lawlor, D. A., Harbord, R. M., Sterne, J. A. C., Timpson, N. &amp; Smith, G. D. Mendelian randomization: using genes as instruments for making causal inferences in epidemiology. Stat. Med. 27, 1133–1163 (2008). https://doi.org/10.1002/sim.3034</w:t>
      </w:r>
    </w:p>
    <w:p>
      <w:pPr>
        <w:spacing w:line="269" w:lineRule="auto" w:after="100"/>
      </w:pPr>
      <w:r>
        <w:t>3. Burgess, S., Butterworth, A. &amp; Thompson, S. G. Mendelian randomization analysis with multiple genetic variants using summarized data. Genet. Epidemiol. 37, 658–665 (2013). https://doi.org/10.1002/gepi.21758</w:t>
      </w:r>
    </w:p>
    <w:p>
      <w:pPr>
        <w:spacing w:line="269" w:lineRule="auto" w:after="100"/>
      </w:pPr>
      <w:r>
        <w:t>4. Bowden, J., Davey Smith, G. &amp; Burgess, S. Mendelian randomization with invalid instruments: effect estimation and bias detection through Egger regression. Int. J. Epidemiol. 44, 512–525 (2015). https://doi.org/10.1093/ije/dyv080</w:t>
      </w:r>
    </w:p>
    <w:p>
      <w:pPr>
        <w:spacing w:line="269" w:lineRule="auto" w:after="100"/>
      </w:pPr>
      <w:r>
        <w:t>5. Bowden, J., Davey Smith, G., Haycock, P. C. &amp; Burgess, S. Consistent estimation in Mendelian randomization with some invalid instruments using a weighted median estimator. Genet. Epidemiol. 40, 304–314 (2016). https://doi.org/10.1002/gepi.21965</w:t>
      </w:r>
    </w:p>
    <w:p>
      <w:pPr>
        <w:spacing w:line="269" w:lineRule="auto" w:after="100"/>
      </w:pPr>
      <w:r>
        <w:t>6. Hartwig, F. P., Davey Smith, G. &amp; Bowden, J. Robust inference in summary data Mendelian randomization via the zero modal pleiotropy assumption. Int. J. Epidemiol. 46, 1985–1998 (2017). https://doi.org/10.1093/ije/dyx102</w:t>
      </w:r>
    </w:p>
    <w:p>
      <w:pPr>
        <w:spacing w:line="269" w:lineRule="auto" w:after="100"/>
      </w:pPr>
      <w:r>
        <w:t>7. Verbanck, M. et al. Detection of widespread horizontal pleiotropy in causal relationships inferred from Mendelian randomization between complex traits and diseases. Nat. Genet. 50, 693–698 (2018). https://doi.org/10.1038/s41588-018-0099-7</w:t>
      </w:r>
    </w:p>
    <w:p>
      <w:pPr>
        <w:spacing w:line="269" w:lineRule="auto" w:after="100"/>
      </w:pPr>
      <w:r>
        <w:t>8. Zhao, Q., Wang, J., Hemani, G., Bowden, J. &amp; Small, D. S. Statistical inference in two-sample summary-data Mendelian randomization using robust adjusted profile score. Ann. Statist. 48, 1742–1769 (2020). https://doi.org/10.1214/19-AOS1866</w:t>
      </w:r>
    </w:p>
    <w:p>
      <w:pPr>
        <w:spacing w:line="269" w:lineRule="auto" w:after="100"/>
      </w:pPr>
      <w:r>
        <w:t>9. Burgess, S. et al. Guidelines for performing Mendelian randomization investigations: update for summer 2023. Wellcome Open Res. 4, 186 (2023). https://doi.org/10.12688/wellcomeopenres.15555.3</w:t>
      </w:r>
    </w:p>
    <w:p>
      <w:pPr>
        <w:spacing w:line="269" w:lineRule="auto" w:after="100"/>
      </w:pPr>
      <w:r>
        <w:t>10. Hemani, G. et al. The MR-Base platform supports systematic causal inference across the human phenome. eLife 7, e34408 (2018). https://doi.org/10.7554/eLife.34408</w:t>
      </w:r>
    </w:p>
    <w:p>
      <w:pPr>
        <w:spacing w:line="269" w:lineRule="auto" w:after="100"/>
      </w:pPr>
      <w:r>
        <w:t>11. Zhu, Z. et al. Integration of summary data from GWAS and eQTL studies predicts complex trait gene targets. Nat. Genet. 48, 481–487 (2016). https://doi.org/10.1038/ng.3538</w:t>
      </w:r>
    </w:p>
    <w:p>
      <w:pPr>
        <w:spacing w:line="269" w:lineRule="auto" w:after="100"/>
      </w:pPr>
      <w:r>
        <w:t>12. Zhu, Z. et al. Causal associations between risk factors and common diseases inferred from GWAS summary data. Nat. Commun. 9, 224 (2018). https://doi.org/10.1038/s41467-017-02317-2</w:t>
      </w:r>
    </w:p>
    <w:p>
      <w:pPr>
        <w:spacing w:line="269" w:lineRule="auto" w:after="100"/>
      </w:pPr>
      <w:r>
        <w:t>13. Skrivankova, V. W. et al. Strengthening the reporting of observational studies in epidemiology using Mendelian randomization: the STROBE-MR statement. JAMA 326, 1614–1621 (2021). https://doi.org/10.1001/jama.2021.18236</w:t>
      </w:r>
    </w:p>
    <w:p>
      <w:pPr>
        <w:spacing w:line="269" w:lineRule="auto" w:after="100"/>
      </w:pPr>
      <w:r>
        <w:t>14. Spiller, W. et al. Detecting and correcting for bias in Mendelian randomization analyses using Gene-by-Environment interactions. Int. J. Epidemiol. 48, 702–712 (2019). https://doi.org/10.1093/ije/dyy204</w:t>
      </w:r>
    </w:p>
    <w:p>
      <w:pPr>
        <w:spacing w:line="269" w:lineRule="auto" w:after="100"/>
      </w:pPr>
      <w:r>
        <w:t>15. Spiller, W., Hartwig, F. P., Sanderson, E., Davey Smith, G. &amp; Bowden, J. Interaction-based Mendelian randomization with measured and unmeasured gene-by-covariate interactions. PLoS ONE 17, e0271933 (2022). https://doi.org/10.1371/journal.pone.0271933</w:t>
      </w:r>
    </w:p>
    <w:p>
      <w:pPr>
        <w:spacing w:line="269" w:lineRule="auto" w:after="100"/>
      </w:pPr>
      <w:r>
        <w:t>16. Hou, L., Chen, H. &amp; Zhou, X.-H. MR-EILLS: an invariance-based Mendelian randomization method integrating multiple heterogeneous GWAS summary datasets. Nat. Commun. 16, 1–15 (2025). https://doi.org/10.1038/s41467-025-62823-6</w:t>
      </w:r>
    </w:p>
    <w:p>
      <w:pPr>
        <w:spacing w:line="269" w:lineRule="auto" w:after="100"/>
      </w:pPr>
      <w:r>
        <w:t>17. Xu, F. et al. MRBIGR: a versatile toolbox for genetic regulation inference from population-scale multi-omics data. Plant Commun. 6, 101197 (2025). https://doi.org/10.1016/j.xplc.2024.101197</w:t>
      </w:r>
    </w:p>
    <w:p>
      <w:pPr>
        <w:spacing w:line="269" w:lineRule="auto" w:after="100"/>
      </w:pPr>
      <w:r>
        <w:t>18. Liu, S. et al. Mapping regulatory variants controlling gene expression in drought response and tolerance in maize. Genome Biol. 21, 163 (2020). https://doi.org/10.1186/s13059-020-02069-1</w:t>
      </w:r>
    </w:p>
    <w:p>
      <w:pPr>
        <w:spacing w:line="269" w:lineRule="auto" w:after="100"/>
      </w:pPr>
      <w:r>
        <w:t>19. Feng, X. et al. Dual-trait genomic analysis in highly stratified Arabidopsis thaliana populations using genome-wide association summary statistics. Heredity 133, 11–20 (2024). https://doi.org/10.1038/s41437-024-00688-z</w:t>
      </w:r>
    </w:p>
    <w:p>
      <w:pPr>
        <w:spacing w:line="269" w:lineRule="auto" w:after="100"/>
      </w:pPr>
      <w:r>
        <w:t>20. The 1001 Genomes Consortium. 1,135 Genomes reveal the global pattern of polymorphism in Arabidopsis thaliana. Cell 166, 481–491 (2016). https://doi.org/10.1016/j.cell.2016.05.063</w:t>
      </w:r>
    </w:p>
    <w:p>
      <w:pPr>
        <w:spacing w:line="269" w:lineRule="auto" w:after="100"/>
      </w:pPr>
      <w:r>
        <w:t>21. Kawakatsu, T. et al. Epigenomic diversity in a global collection of Arabidopsis thaliana accessions. Cell 166, 492–505 (2016). https://doi.org/10.1016/j.cell.2016.06.044</w:t>
      </w:r>
    </w:p>
    <w:p>
      <w:pPr>
        <w:spacing w:line="269" w:lineRule="auto" w:after="100"/>
      </w:pPr>
      <w:r>
        <w:t>22. Schmitz, R. J. et al. Patterns of population epigenomic diversity. Nature 495, 193–198 (2013). https://doi.org/10.1038/nature11968</w:t>
      </w:r>
    </w:p>
    <w:p>
      <w:pPr>
        <w:spacing w:line="269" w:lineRule="auto" w:after="100"/>
      </w:pPr>
      <w:r>
        <w:t>23. Atwell, S. et al. Genome-wide association study of 107 phenotypes in Arabidopsis thaliana inbred lines. Nature 465, 627–631 (2010). https://doi.org/10.1038/nature08800</w:t>
      </w:r>
    </w:p>
    <w:p>
      <w:pPr>
        <w:spacing w:line="269" w:lineRule="auto" w:after="100"/>
      </w:pPr>
      <w:r>
        <w:t>24. Brachi, B. et al. Linkage and association mapping of Arabidopsis thaliana flowering time in nature. PLoS Genet. 6, e1000940 (2010). https://doi.org/10.1371/journal.pgen.1000940</w:t>
      </w:r>
    </w:p>
    <w:p>
      <w:pPr>
        <w:spacing w:line="269" w:lineRule="auto" w:after="100"/>
      </w:pPr>
      <w:r>
        <w:t>25. De Walsche, A. et al. metaGE: investigating genotype × environment interactions through GWAS meta-analysis. PLoS Genet. 21, e1011553 (2025). https://doi.org/10.1371/journal.pgen.1011553</w:t>
      </w:r>
    </w:p>
    <w:p>
      <w:pPr>
        <w:spacing w:line="269" w:lineRule="auto" w:after="100"/>
      </w:pPr>
      <w:r>
        <w:t>26. Sul, J. H. et al. Accounting for population structure in gene-by-environment interactions in genome-wide association studies using mixed models. PLoS Genet. 12, e1005849 (2016). https://doi.org/10.1371/journal.pgen.1005849</w:t>
      </w:r>
    </w:p>
    <w:p>
      <w:pPr>
        <w:spacing w:line="269" w:lineRule="auto" w:after="100"/>
      </w:pPr>
      <w:r>
        <w:t>27. An, X. et al. An approach to identify gene-environment interactions and reveal new biological insight in complex traits. Nat. Commun. 15, 1–16 (2024). https://doi.org/10.1038/s41467-024-47806-3</w:t>
      </w:r>
    </w:p>
    <w:p>
      <w:pPr>
        <w:spacing w:line="269" w:lineRule="auto" w:after="100"/>
      </w:pPr>
      <w:r>
        <w:t>28. Giambartolomei, C. et al. Bayesian test for colocalisation between pairs of genetic association studies using summary statistics. PLoS Genet. 10, e1004383 (2014). https://doi.org/10.1371/journal.pgen.1004383</w:t>
      </w:r>
    </w:p>
    <w:p>
      <w:pPr>
        <w:spacing w:line="269" w:lineRule="auto" w:after="100"/>
      </w:pPr>
      <w:r>
        <w:t>29. Price, A. L. et al. Principal components analysis corrects for stratification in genome-wide association studies. Nat. Genet. 38, 904–909 (2006). https://doi.org/10.1038/ng1847</w:t>
      </w:r>
    </w:p>
    <w:p>
      <w:pPr>
        <w:spacing w:line="269" w:lineRule="auto" w:after="100"/>
      </w:pPr>
      <w:r>
        <w:t>30. Kang, H. M. et al. Efficient control of population structure in model organism association mapping. Genetics 178, 1709–1723 (2008). https://doi.org/10.1534/genetics.107.080101</w:t>
      </w:r>
    </w:p>
    <w:p>
      <w:pPr>
        <w:spacing w:line="269" w:lineRule="auto" w:after="100"/>
      </w:pPr>
      <w:r>
        <w:t>31. Zhou, X. &amp; Stephens, M. Genome-wide efficient mixed-model analysis for association studies. Nat. Genet. 44, 821–824 (2012). https://doi.org/10.1038/ng.2310</w:t>
      </w:r>
    </w:p>
    <w:p>
      <w:pPr>
        <w:spacing w:line="269" w:lineRule="auto" w:after="100"/>
      </w:pPr>
      <w:r>
        <w:t>32. Lipka, A. E. et al. GAPIT: genome association and prediction integrated tool. Bioinformatics 28, 2397–2399 (2012). https://doi.org/10.1093/bioinformatics/bts444</w:t>
      </w:r>
    </w:p>
    <w:p>
      <w:pPr>
        <w:spacing w:line="269" w:lineRule="auto" w:after="100"/>
      </w:pPr>
      <w:r>
        <w:t>33. Purcell, S. et al. PLINK: a tool set for whole-genome association and population-based linkage analyses. Am. J. Hum. Genet. 81, 559–575 (2007). https://doi.org/10.1086/519795</w:t>
      </w:r>
    </w:p>
    <w:p>
      <w:pPr>
        <w:spacing w:line="269" w:lineRule="auto" w:after="100"/>
      </w:pPr>
      <w:r>
        <w:t>34. Chang, C. C. et al. Second-generation PLINK: rising to the challenge of larger and richer datasets. GigaScience 4, 7 (2015). https://doi.org/10.1186/s13742-015-0047-8</w:t>
      </w:r>
    </w:p>
    <w:p>
      <w:pPr>
        <w:spacing w:line="269" w:lineRule="auto" w:after="100"/>
      </w:pPr>
      <w:r>
        <w:t>35. Kang, M. et al. The pan-genome and local adaptation of Arabidopsis thaliana. Nat. Commun. 14, 6259 (2023). https://doi.org/10.1038/s41467-023-42029-4</w:t>
      </w:r>
    </w:p>
    <w:p>
      <w:pPr>
        <w:spacing w:line="269" w:lineRule="auto" w:after="100"/>
      </w:pPr>
      <w:r>
        <w:t>36. Candela, H. et al. MAPtools: command-line tools for mapping-by-sequencing and QTL-Seq analysis and visualization. Plant Methods 20, 107 (2024). https://doi.org/10.1186/s13007-024-01222-2</w:t>
      </w:r>
    </w:p>
    <w:p>
      <w:pPr>
        <w:spacing w:line="269" w:lineRule="auto" w:after="100"/>
      </w:pPr>
      <w:r>
        <w:t>37. Liang, X. et al. Association study and Mendelian randomization analysis reveal effects of the genetic interaction between PtoMIR403b and PtoGT31B-1 on wood formation in Populus tomentosa. Front. Plant Sci. 12, 704941 (2021). https://doi.org/10.3389/fpls.2021.704941</w:t>
      </w:r>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fldChar w:fldCharType="begin" w:dirty="true"/>
      <w:instrText xml:space="preserve"> PAGE </w:instrText>
      <w:fldChar w:fldCharType="separate"/>
      <w:t>1</w:t>
      <w:fldChar w:fldCharType="end"/>
    </w:r>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PlantMR｜中文阅读稿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Microsoft Ya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Microsoft YaHei"/>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Microsoft YaHei"/>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