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 问题一的建模分析与求解</w:t>
      </w:r>
    </w:p>
    <w:p>
      <w:pPr>
        <w:pStyle w:val="Heading2"/>
        <w:keepNext/>
      </w:pPr>
      <w:r>
        <w:t>3.1.1 问题描述与总体思路</w:t>
      </w:r>
    </w:p>
    <w:p>
      <w:pPr>
        <w:ind w:firstLine="420"/>
      </w:pPr>
      <w:r>
        <w:t>问题一要求由100条英文原始视频构造可直接复核的文本、语音和视觉时序特征。困难不只在于三类模态的特征尺度不同，还在于文本由离散词语组成、语音是高频连续波形、视频是图像序列，三者缺少天然一致的采样位置。因此，若先独立抽取定长向量再直接拼接，将无法回答某一特征行究竟对应原视频的哪个时段，也难以区分真实观测、局部无效和序列填充。</w:t>
      </w:r>
    </w:p>
    <w:p>
      <w:pPr>
        <w:ind w:firstLine="420"/>
      </w:pPr>
      <w:r>
        <w:t>为满足完整性、可核验性和可复现性要求，本文建立以原视频绝对时间为主轴的可追溯三模态特征流水线。样本以video_id与clip_id组成的二元键唯一标识；标签表只用于建立清单和核对样本，不参与特征计算。每条视频先经过媒体探测与音轨解码，再在0.5 s统一时间窗上分别聚合词级语义、短时声学描述子和2 fps视觉特征，最后将全部序列零填充至70窗，并同时保存填充掩码、三模态有效性掩码、窗口边界和原始素材路径。总体流程如图3-1所示。</w:t>
      </w:r>
    </w:p>
    <w:p>
      <w:pPr>
        <w:pStyle w:val="Caption"/>
        <w:keepNext/>
        <w:jc w:val="center"/>
      </w:pPr>
      <w:r>
        <w:t>图 3-1  问题一多模态特征提取与时序对齐流程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99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9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3.1.2 统一时间轴与符号约定</w:t>
      </w:r>
    </w:p>
    <w:p>
      <w:pPr>
        <w:ind w:firstLine="420"/>
      </w:pPr>
      <w:r>
        <w:t>设一条样本的容器时长为T。考虑到题目中最长视频为34.567 s，本文取时间步长Δt=0.5 s，并将序列上限设为70，从而覆盖35 s。第k个时间窗及真实窗口数定义为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t>=[k</m:t>
              </m:r>
              <m:r>
                <m:rPr>
                  <m:sty m:val="p"/>
                </m:rPr>
                <m:t>Δt</m:t>
              </m:r>
              <m:r>
                <m:t>,</m:t>
              </m:r>
              <m:r>
                <m:rPr>
                  <m:sty m:val="p"/>
                </m:rPr>
                <m:t>min</m:t>
              </m:r>
              <m:r>
                <m:t>((k+1)</m:t>
              </m:r>
              <m:r>
                <m:rPr>
                  <m:sty m:val="p"/>
                </m:rPr>
                <m:t>Δt</m:t>
              </m:r>
              <m:r>
                <m:t>,T)),</m:t>
              </m:r>
              <m:r>
                <m:t>N=</m:t>
              </m:r>
              <m:r>
                <m:rPr>
                  <m:sty m:val="p"/>
                </m:rPr>
                <m:t>min</m:t>
              </m:r>
              <m:r>
                <m:t>(70,⌈T/</m:t>
              </m:r>
              <m:r>
                <m:rPr>
                  <m:sty m:val="p"/>
                </m:rPr>
                <m:t>Δt</m:t>
              </m:r>
              <m:r>
                <m:t>⌉),</m:t>
              </m:r>
              <m:r>
                <m:rPr>
                  <m:sty m:val="p"/>
                </m:rPr>
                <m:t>Δt</m:t>
              </m:r>
              <m:r>
                <m:t>=0.5</m:t>
              </m:r>
              <m:r>
                <m:rPr>
                  <m:sty m:val="p"/>
                </m:rPr>
                <m:t>s</m:t>
              </m:r>
              <m:r>
                <m:t>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(3-1)</w:t>
            </w:r>
          </w:p>
        </w:tc>
      </w:tr>
    </w:tbl>
    <w:p>
      <w:pPr>
        <w:ind w:firstLine="420"/>
      </w:pPr>
      <w:r>
        <w:t>其中k=0,1,…,N-1。所有模态均以I_k为唯一时间索引。若媒体流报告的结束时间与容器时长不一致，则使用容器时长建立主时间轴，同时保留各流报告时长和实际可解码帧数用于审计；超出可解码内容的视觉位置保持无效，不补造观测。由此，任何序列位置都能通过window_start与window_end还原到原视频的绝对时间区间。</w:t>
      </w:r>
    </w:p>
    <w:p>
      <w:pPr>
        <w:pStyle w:val="Heading2"/>
        <w:keepNext/>
      </w:pPr>
      <w:r>
        <w:t>3.1.3 三模态情感特征构建</w:t>
      </w:r>
    </w:p>
    <w:p>
      <w:pPr>
        <w:pStyle w:val="Heading3"/>
        <w:keepNext/>
      </w:pPr>
      <w:r>
        <w:t>3.1.3.1 文本语义特征</w:t>
      </w:r>
    </w:p>
    <w:p>
      <w:pPr>
        <w:ind w:firstLine="420"/>
      </w:pPr>
      <w:r>
        <w:t>赛题给出的英文转写是唯一正式文本。本文不重新进行自动语音识别，而是利用WhisperX对赛题转写和原音轨做强制对齐，得到第j个词的起止时间[a_j,b_j)及置信分。无法匹配的词仍保留在记录中，但不给出虚构时间。随后使用RoBERTa-base最后一层隐状态提取上下文语义；同一词可能被分为多个子词，其词向量取对应子词向量的均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r∈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/>
                <m:e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nary>
              <m:r>
                <m:t>,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t>∈</m:t>
              </m:r>
              <m:sSup>
                <m:e>
                  <m:r>
                    <m:t>R</m:t>
                  </m:r>
                </m:e>
                <m:sup>
                  <m:r>
                    <m:t>768</m:t>
                  </m:r>
                </m:sup>
              </m:sSup>
              <m:r>
                <m:t>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(3-2)</w:t>
            </w:r>
          </w:p>
        </w:tc>
      </w:tr>
    </w:tbl>
    <w:p>
      <w:pPr>
        <w:ind w:firstLine="420"/>
      </w:pPr>
      <w:r>
        <w:t>其中S_j为第j个词对应的子词集合，h_r为第r个子词的最后一层隐向量。对落入时间窗I_k的词，按词区间与窗口的重叠长度加权聚合：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(T)</m:t>
                  </m:r>
                </m:sup>
              </m:sSubSup>
              <m: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/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jk</m:t>
                          </m:r>
                        </m:sub>
                      </m:sSub>
                    </m:e>
                  </m:nary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/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jk</m:t>
                          </m:r>
                        </m:sub>
                      </m:sSub>
                    </m:e>
                  </m:nary>
                </m:den>
              </m:f>
              <m:r>
                <m:t>,</m:t>
              </m:r>
              <m:sSub>
                <m:e>
                  <m:r>
                    <m:t>ℓ</m:t>
                  </m:r>
                </m:e>
                <m:sub>
                  <m:r>
                    <m:t>jk</m:t>
                  </m:r>
                </m:sub>
              </m:sSub>
              <m:r>
                <m:t>=|[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t>,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)∩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t>|.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(3-3)</w:t>
            </w:r>
          </w:p>
        </w:tc>
      </w:tr>
    </w:tbl>
    <w:p>
      <w:pPr>
        <w:ind w:firstLine="420"/>
      </w:pPr>
      <w:r>
        <w:t>当分母为0时，该窗文本向量置零且text_mask[k]=false；否则text_mask[k]=true。该规则允许跨窗词按实际覆盖时长分配语义信息，避免将整个词武断地归入单一窗口。</w:t>
      </w:r>
    </w:p>
    <w:p>
      <w:pPr>
        <w:pStyle w:val="Heading3"/>
        <w:keepNext/>
      </w:pPr>
      <w:r>
        <w:t>3.1.3.2 语音韵律特征</w:t>
      </w:r>
    </w:p>
    <w:p>
      <w:pPr>
        <w:ind w:firstLine="420"/>
      </w:pPr>
      <w:r>
        <w:t>原视频音轨经FFmpeg解码为16 kHz、单声道PCM。采用openSMILE的eGeMAPSv02 LowLevelDescriptors提取25个短时低层描述子，包括响度、基频、谱通量、MFCC、抖动、闪烁、谐噪比和前三个共振峰等。对每个0.5 s窗口内的短时帧分别计算均值与标准差并串联：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(A)</m:t>
                  </m:r>
                </m:sup>
              </m:sSubSup>
              <m:r>
                <m:t>=[</m:t>
              </m:r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k</m:t>
                  </m:r>
                </m:sub>
              </m:sSub>
              <m:r>
                <m:t>;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k</m:t>
                  </m:r>
                </m:sub>
              </m:sSub>
              <m:r>
                <m:t>]∈</m:t>
              </m:r>
              <m:sSup>
                <m:e>
                  <m:r>
                    <m:t>R</m:t>
                  </m:r>
                </m:e>
                <m:sup>
                  <m:r>
                    <m:t>50</m:t>
                  </m:r>
                </m:sup>
              </m:sSup>
              <m:r>
                <m:t>,</m:t>
              </m:r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>
                <m:e>
                  <m:r>
                    <m:rPr>
                      <m:sty m:val="p"/>
                    </m:rPr>
                    <m:t>mean</m:t>
                  </m:r>
                </m:e>
                <m:sub>
                  <m:r>
                    <m:t>q∈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b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t>q</m:t>
                  </m:r>
                </m:sub>
              </m:sSub>
              <m:r>
                <m:t>,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>
                <m:e>
                  <m:r>
                    <m:rPr>
                      <m:sty m:val="p"/>
                    </m:rPr>
                    <m:t>std</m:t>
                  </m:r>
                </m:e>
                <m:sub>
                  <m:r>
                    <m:t>q∈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b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t>q</m:t>
                  </m:r>
                </m:sub>
              </m:sSub>
              <m:r>
                <m:t>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(3-4)</w:t>
            </w:r>
          </w:p>
        </w:tc>
      </w:tr>
    </w:tbl>
    <w:p>
      <w:pPr>
        <w:ind w:firstLine="420"/>
      </w:pPr>
      <w:r>
        <w:t>因此语音特征维度为50。若窗口内无可用短时帧、含非有限值，或音频RMS低于0.001，则将该位置记为静音/无效，audio_mask[k]=false；该窗仍保留在统一时间轴上，不删除样本。</w:t>
      </w:r>
    </w:p>
    <w:p>
      <w:pPr>
        <w:pStyle w:val="Heading3"/>
        <w:keepNext/>
      </w:pPr>
      <w:r>
        <w:t>3.1.3.3 视觉表情与姿态特征</w:t>
      </w:r>
    </w:p>
    <w:p>
      <w:pPr>
        <w:ind w:firstLine="420"/>
      </w:pPr>
      <w:r>
        <w:t>视觉分支按2 fps从原视频确定性采样，即每个0.5 s窗口对应一个采样时刻。OpenFace 2.2.0输出视线方向与视角8维、眼部二维/三维关键点280维、头部平移与旋转6维、68点面部二维坐标136维，以及面部动作单元强度与出现状态35维，共465维。仅当OpenFace检测成功、置信度不低于0.80且全部特征为有限值时，视觉窗口才被视为有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bSup>
                <m:e>
                  <m:r>
                    <m:t>m</m:t>
                  </m:r>
                </m:e>
                <m:sub>
                  <m:r>
                    <m:t>k</m:t>
                  </m:r>
                </m:sub>
                <m:sup>
                  <m:r>
                    <m:t>(V)</m:t>
                  </m:r>
                </m:sup>
              </m:sSubSup>
              <m:r>
                <m:t>=𝕀(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t>=1)𝕀(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≥0.8)𝕀(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(V)</m:t>
                  </m:r>
                </m:sup>
              </m:sSubSup>
              <m:r>
                <m:rPr>
                  <m:sty m:val="p"/>
                </m:rPr>
                <m:t>is finite</m:t>
              </m:r>
              <m:r>
                <m:t>).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(3-5)</w:t>
            </w:r>
          </w:p>
        </w:tc>
      </w:tr>
    </w:tbl>
    <w:p>
      <w:pPr>
        <w:ind w:firstLine="420"/>
      </w:pPr>
      <w:r>
        <w:t>检测失败或低置信度只表示该时刻没有可信视觉观测，不解释为‘没有情绪’。对应特征置零并令visual_mask[k]=false，从而为后续鲁棒建模保留真实的局部缺失信息。</w:t>
      </w:r>
    </w:p>
    <w:p>
      <w:pPr>
        <w:pStyle w:val="Heading2"/>
        <w:keepNext/>
      </w:pPr>
      <w:r>
        <w:t>3.1.4 跨模态时序对齐与定长组织</w:t>
      </w:r>
    </w:p>
    <w:p>
      <w:pPr>
        <w:ind w:firstLine="420"/>
      </w:pPr>
      <w:r>
        <w:t>三条分支最终都映射到同一组I_k。文本使用词区间与I_k的重叠长度，语音使用短时帧起点所属窗口，视觉使用2 fps采样序号与窗口序号的一一对应关系。对文本、语音和视觉任一模态，先计算该模态的有效掩码，再与真实时间轴掩码共同约束特征：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bSup>
                <m:e>
                  <m:limUp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k</m:t>
                  </m:r>
                </m:sub>
                <m:sup>
                  <m:r>
                    <m:t>(m)</m:t>
                  </m:r>
                </m:sup>
              </m:sSubSup>
              <m:r>
                <m:t>=</m:t>
              </m:r>
              <m:sSubSup>
                <m:e>
                  <m:r>
                    <m:t>m</m:t>
                  </m:r>
                </m:e>
                <m:sub>
                  <m:r>
                    <m:t>k</m:t>
                  </m:r>
                </m:sub>
                <m:sup>
                  <m:r>
                    <m:t>(m)</m:t>
                  </m:r>
                </m:sup>
              </m:sSubSup>
              <m:sSubSup>
                <m:e>
                  <m:r>
                    <m:t>m</m:t>
                  </m:r>
                </m:e>
                <m:sub>
                  <m:r>
                    <m:t>k</m:t>
                  </m:r>
                </m:sub>
                <m:sup>
                  <m:r>
                    <m:t>(P)</m:t>
                  </m:r>
                </m:sup>
              </m:sSubSup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(m)</m:t>
                  </m:r>
                </m:sup>
              </m:sSubSup>
              <m:r>
                <m:t>,</m:t>
              </m:r>
              <m:r>
                <m:t>m∈{T,A,V}.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(3-6)</w:t>
            </w:r>
          </w:p>
        </w:tc>
      </w:tr>
    </w:tbl>
    <w:p>
      <w:pPr>
        <w:ind w:firstLine="420"/>
      </w:pPr>
      <w:r>
        <w:t>其中真实时间轴掩码取1表示k&lt;N，反之为填充位置。最终三模态矩阵的形状统一为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567"/>
      </w:tblGrid>
      <w:tr>
        <w:tc>
          <w:tcPr>
            <w:tcW w:type="dxa" w:w="827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center"/>
            </w:pPr>
            <m:oMath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t>(T)</m:t>
                  </m:r>
                </m:sup>
              </m:sSup>
              <m:r>
                <m:t>∈</m:t>
              </m:r>
              <m:sSup>
                <m:e>
                  <m:r>
                    <m:t>R</m:t>
                  </m:r>
                </m:e>
                <m:sup>
                  <m:r>
                    <m:t>70×768</m:t>
                  </m:r>
                </m:sup>
              </m:sSup>
              <m:r>
                <m:t>,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t>(A)</m:t>
                  </m:r>
                </m:sup>
              </m:sSup>
              <m:r>
                <m:t>∈</m:t>
              </m:r>
              <m:sSup>
                <m:e>
                  <m:r>
                    <m:t>R</m:t>
                  </m:r>
                </m:e>
                <m:sup>
                  <m:r>
                    <m:t>70×50</m:t>
                  </m:r>
                </m:sup>
              </m:sSup>
              <m:r>
                <m:t>,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t>(V)</m:t>
                  </m:r>
                </m:sup>
              </m:sSup>
              <m:r>
                <m:t>∈</m:t>
              </m:r>
              <m:sSup>
                <m:e>
                  <m:r>
                    <m:t>R</m:t>
                  </m:r>
                </m:e>
                <m:sup>
                  <m:r>
                    <m:t>70×465</m:t>
                  </m:r>
                </m:sup>
              </m:sSup>
              <m:r>
                <m:t>.</m:t>
              </m:r>
            </m:oMath>
          </w:p>
        </w:tc>
        <w:tc>
          <w:tcPr>
            <w:tcW w:type="dxa" w:w="567"/>
            <w:vAlign w:val="center"/>
            <w:tcMar>
              <w:top w:w="15" w:type="dxa"/>
              <w:start w:w="10" w:type="dxa"/>
              <w:bottom w:w="15" w:type="dxa"/>
              <w:end w:w="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sz w:val="21"/>
              </w:rPr>
              <w:t>(3-7)</w:t>
            </w:r>
          </w:p>
        </w:tc>
      </w:tr>
    </w:tbl>
    <w:p>
      <w:pPr>
        <w:ind w:firstLine="420"/>
      </w:pPr>
      <w:r>
        <w:t>固定形状便于批量建模，但零值本身不能判断该位置是否有效，读取时必须联合padding_mask与相应的text_mask、audio_mask或visual_mask。该双层掩码机制同时区分了‘视频已结束’与‘视频仍在继续但当前模态不可用’两种情况。</w:t>
      </w:r>
    </w:p>
    <w:p>
      <w:pPr>
        <w:pStyle w:val="Heading2"/>
        <w:keepNext/>
      </w:pPr>
      <w:r>
        <w:t>3.1.5 特征文件规范与追溯设计</w:t>
      </w:r>
    </w:p>
    <w:p>
      <w:pPr>
        <w:ind w:firstLine="420"/>
      </w:pPr>
      <w:r>
        <w:t>每条样本单独存放于outputs/samples/&lt;video_id&gt;__&lt;clip_id&gt;/，主特征采用压缩NPZ格式，浮点特征统一为float32，掩码统一为布尔类型。NPZ中同时写入样本主键、源标签行号、原始时长、真实窗口数、70个窗口的起止时间和四类掩码。配套JSON与CSV保存模型、特征名、媒体属性、词级时间戳、帧级检测状态和阶段日志，形成‘特征行—时间窗—原始词/帧—源视频’的追溯链。各文件作用见表3-1。</w:t>
      </w:r>
    </w:p>
    <w:p>
      <w:pPr>
        <w:pStyle w:val="Caption"/>
        <w:keepNext/>
        <w:jc w:val="center"/>
      </w:pPr>
      <w:r>
        <w:t>表 3-1  自生成特征文件的组织结构与用途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28"/>
        <w:gridCol w:w="4649"/>
        <w:gridCol w:w="2381"/>
      </w:tblGrid>
      <w:tr>
        <w:trPr>
          <w:tblHeader w:val="true"/>
        </w:trPr>
        <w:tc>
          <w:tcPr>
            <w:tcW w:type="dxa" w:w="3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主要字段</w:t>
            </w:r>
          </w:p>
        </w:tc>
        <w:tc>
          <w:tcPr>
            <w:tcW w:type="dxa" w:w="3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核验用途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features.npz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三模态矩阵、四类掩码、窗口边界、有效长度及样本主键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模型读取的主文件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metadata.json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媒体信息、特征名、模型与聚合规则、只读标签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解释维度与参数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word_alignment.csv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词序号、词文本、起止时间、置信度与有效标志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文本回溯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timeline.json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统一时间轴上的词、采样帧、人脸置信度与静音窗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跨模态核验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status.json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处理签名、分阶段状态、告警、错误和工具版本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断点续跑与审计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summary.csv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100条样本的宽表汇总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论文统计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modality_summary.csv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样本×模态的300行长表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全量逐模态清单</w:t>
            </w:r>
          </w:p>
        </w:tc>
      </w:tr>
    </w:tbl>
    <w:p>
      <w:pPr>
        <w:pStyle w:val="Heading2"/>
        <w:keepNext/>
      </w:pPr>
      <w:r>
        <w:t>3.1.6 典型样本的时序对齐验证</w:t>
      </w:r>
    </w:p>
    <w:p>
      <w:pPr>
        <w:ind w:firstLine="420"/>
      </w:pPr>
      <w:r>
        <w:t>从成功样本中自动选择三模态覆盖完整、词级对齐质量较高的-dxfTGcXJoc__6作为典型样本。该视频时长12.967 s，对应26个真实窗口；27个转写词全部获得有效起止时间。图3-2在同一原视频横轴上依次展示4个实际视频帧、词级区间、原始音频波形、窗口级F0半音均值、OpenFace动作单元AU12_r以及三模态覆盖掩码。浅蓝色区域给出一个三模态同时有效的0.5 s窗口，灰色斜线表示无效或越出真实时长的位置。</w:t>
      </w:r>
    </w:p>
    <w:p>
      <w:pPr>
        <w:pStyle w:val="Caption"/>
        <w:keepNext/>
        <w:jc w:val="center"/>
      </w:pPr>
      <w:r>
        <w:t>图 3-2  典型样本的文本 语音 视觉时序对应关系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000" cy="5319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_alignment_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1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表 3-2  典型样本的对齐核验结果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68"/>
        <w:gridCol w:w="6690"/>
      </w:tblGrid>
      <w:tr>
        <w:tc>
          <w:tcPr>
            <w:tcW w:type="dxa" w:w="45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5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核验结果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样本主键</w:t>
            </w:r>
          </w:p>
        </w:tc>
        <w:tc>
          <w:tcPr>
            <w:tcW w:type="dxa" w:w="66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-dxfTGcXJoc__6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原始时长与序列</w:t>
            </w:r>
          </w:p>
        </w:tc>
        <w:tc>
          <w:tcPr>
            <w:tcW w:type="dxa" w:w="66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12.967 s，26个真实窗口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</w:t>
            </w:r>
          </w:p>
        </w:tc>
        <w:tc>
          <w:tcPr>
            <w:tcW w:type="dxa" w:w="66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27/27个词得到有效时间戳，25个窗口有效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语音</w:t>
            </w:r>
          </w:p>
        </w:tc>
        <w:tc>
          <w:tcPr>
            <w:tcW w:type="dxa" w:w="66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26个窗口有效，图中展示F0半音均值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视觉</w:t>
            </w:r>
          </w:p>
        </w:tc>
        <w:tc>
          <w:tcPr>
            <w:tcW w:type="dxa" w:w="66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25个窗口有效，图中展示AU12_r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综合覆盖</w:t>
            </w:r>
          </w:p>
        </w:tc>
        <w:tc>
          <w:tcPr>
            <w:tcW w:type="dxa" w:w="66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三模态窗口覆盖率均值97.4%</w:t>
            </w:r>
          </w:p>
        </w:tc>
      </w:tr>
    </w:tbl>
    <w:p>
      <w:pPr>
        <w:ind w:firstLine="420"/>
      </w:pPr>
      <w:r>
        <w:t>图中词区间与音频波形的发声片段相互对应，视频帧时刻与视觉序列位置严格遵循2 fps规则；三模态均可由窗口索引还原到原素材。该样本的文本、语音和视觉有效窗分别为25、26和25，平均覆盖率为97.4%，说明统一时间轴没有改变各模态的原始时序关系。</w:t>
      </w:r>
    </w:p>
    <w:p>
      <w:pPr>
        <w:pStyle w:val="Heading2"/>
        <w:keepNext/>
      </w:pPr>
      <w:r>
        <w:t>3.1.7 全量提取结果与质量核验</w:t>
      </w:r>
    </w:p>
    <w:p>
      <w:pPr>
        <w:ind w:firstLine="420"/>
      </w:pPr>
      <w:r>
        <w:t>程序对标签表与视频目录进行双向核对，100行标签均找到唯一视频，未发现重复主键、缺失视频、额外无标签视频、空文本或越界情感强度。全部100条样本均完成媒体探测、文本对齐、语音提取、视觉提取和文件写入，状态均为success。主要统计结果见表3-3。</w:t>
      </w:r>
    </w:p>
    <w:p>
      <w:pPr>
        <w:pStyle w:val="Caption"/>
        <w:keepNext/>
        <w:jc w:val="center"/>
      </w:pPr>
      <w:r>
        <w:t>表 3-3  问题一全量特征提取与质量统计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701"/>
        <w:gridCol w:w="2154"/>
        <w:gridCol w:w="5102"/>
      </w:tblGrid>
      <w:tr>
        <w:trPr>
          <w:tblHeader w:val="true"/>
        </w:trPr>
        <w:tc>
          <w:tcPr>
            <w:tcW w:type="dxa" w:w="3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统计项目</w:t>
            </w:r>
          </w:p>
        </w:tc>
        <w:tc>
          <w:tcPr>
            <w:tcW w:type="dxa" w:w="3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样本覆盖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100/100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标签行与视频文件一一匹配，重复键与缺失视频均为0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视频时长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2.648--34.567 s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平均 11.201 s，中位数 10.384 s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统一序列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 s/窗，最多70窗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真实时间窗合计 2287 个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文本特征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70×768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有效窗 1814 个；有效对齐词 1920/1932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语音特征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70×50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有效非静音窗 1538 个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视觉特征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70×465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有效窗 1411 个；通过阈值帧 1411/1570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质量核验</w:t>
            </w:r>
          </w:p>
        </w:tc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全部通过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形状、有限值、掩码、填充、时间越界与追溯文件检查均通过</w:t>
            </w:r>
          </w:p>
        </w:tc>
      </w:tr>
    </w:tbl>
    <w:p>
      <w:pPr>
        <w:ind w:firstLine="420"/>
      </w:pPr>
      <w:r>
        <w:t>在1 932个对齐词中，1 920个具有有效时间戳，对齐有效率为99.38%；其余12个词分布在9条样本中，均保留原词并将相应位置记为无时间戳。视觉分支实际获得1 570个采样帧，其中1 411个通过检测成功与0.80置信度阈值，有效率为89.87%。所有词时间和帧时间的越界数均为0。按统一时间轴统计，100条样本共有2 287个真实窗口，文本、语音和视觉分别有1 814、1 538和1 411个有效窗口。视觉流短于容器时长或人脸不可见所造成的空窗均由掩码记录，未删除任何原始样本。</w:t>
      </w:r>
    </w:p>
    <w:p>
      <w:pPr>
        <w:pStyle w:val="Caption"/>
        <w:keepNext/>
        <w:jc w:val="center"/>
      </w:pPr>
      <w:r>
        <w:t>表 3-4  附件1全部100条样本的特征提取结果</w:t>
      </w:r>
    </w:p>
    <w:p>
      <w:pPr>
        <w:spacing w:after="100"/>
        <w:ind w:firstLine="0"/>
        <w:jc w:val="both"/>
      </w:pPr>
      <w:r>
        <w:rPr>
          <w:sz w:val="18"/>
        </w:rPr>
        <w:t>注：三模态特征维度固定为T/A/V=768/50/465，对齐粒度固定为0.5 s；N为真实时间窗数，T、A、V分别为三模态有效窗数。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67"/>
        <w:gridCol w:w="2835"/>
        <w:gridCol w:w="1020"/>
        <w:gridCol w:w="709"/>
        <w:gridCol w:w="709"/>
        <w:gridCol w:w="709"/>
        <w:gridCol w:w="709"/>
        <w:gridCol w:w="1134"/>
      </w:tblGrid>
      <w:tr>
        <w:trPr>
          <w:tblHeader w:val="true"/>
        </w:trPr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样本编号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时长/s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N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T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A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V</w:t>
            </w:r>
          </w:p>
        </w:tc>
        <w:tc>
          <w:tcPr>
            <w:tcW w:type="dxa" w:w="114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-3g5yACwYnA__13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8.767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-3g5yACwYnA__3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19.273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-3g5yACwYnA__2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14.234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-3g5yACwYnA__9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16.234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-3nNcZdcdvU__5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10.937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-HwX2H8Z4hY__2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8.151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-HwX2H8Z4hY__5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11.467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-HwX2H8Z4hY__6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6.767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-HwX2H8Z4hY__9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11.434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-NFrJFQijFE__1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9.120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-NFrJFQijFE__2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9.760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-THoVjtIkeU__12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18.800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-THoVjtIkeU__2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4.644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-THoVjtIkeU__6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11.067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-UuX1xuaiiE__1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13.434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-UuX1xuaiiE__0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3.700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-UuX1xuaiiE__3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10.634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-UuX1xuaiiE__6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15.234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-a55Q6RWvTA__3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22.617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-aNfi7CP8vM__7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11.334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-aqamKhZ1Ec__0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11.000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-dxfTGcXJoc__1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19.700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-dxfTGcXJoc__0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20.534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-dxfTGcXJoc__2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19.552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-dxfTGcXJoc__6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12.967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-egA8-b7-3M__26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11.500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-egA8-b7-3M__17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14.000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-egA8-b7-3M__18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13.367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-egA8-b7-3M__16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7.129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-egA8-b7-3M__13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6.967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11.534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8.035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10.134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-egA8-b7-3M__20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14.767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-iRBcNs9oI8__3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5.840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-iRBcNs9oI8__7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5.806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-iRBcNs9oI8__6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7.475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-iRBcNs9oI8__9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7.152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-iRBcNs9oI8__8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8.642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-lzEya4AM_4__5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7.800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-lzEya4AM_4__6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22.733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-mJ2ud6oKI8__1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6.574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-mJ2ud6oKI8__2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6.781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-mJ2ud6oKI8__6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2.648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-mJ2ud6oKI8__9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10.010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-mJ2ud6oKI8__8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8.662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-mqbVkbCndg__0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6.500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-t217m2on-s__2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8.011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-t217m2on-s__7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18.700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-tANM6ETl_M__3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9.100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-tPCytz4rww__11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8.000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-tPCytz4rww__10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11.734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-tPCytz4rww__12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18.767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-tPCytz4rww__16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13.236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-tPCytz4rww__18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14.281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-vxjVxOeScU__4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11.734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-wMB_hJL-3o__7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7.315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9.100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3.334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11.169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11.934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9.967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9.500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-wny0OAz3g8__9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9.867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-571d8cVauQ__0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5.167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-571d8cVauQ__5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18.500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-I_e4mIh0yE__1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10.767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-I_e4mIh0yE__3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9.300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-UacrmKiTn4__10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12.634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-UacrmKiTn4__4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6.223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-hnBHBN8p5A__7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9.176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-hnBHBN8p5A__6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11.429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-qDkUB0GgYY__6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9.683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-uywlfIYOS8__4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14.334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-6rXp3zJ3kc__8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16.580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-9y-fZ3swSY__0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6.900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-9y-fZ3swSY__4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9.334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-9y-fZ3swSY__8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10.775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-AUZQgSxyPQ__2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27.300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-HeZS2-Prhc__2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15.834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-MeTTeMJBNc__0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9.334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-MeTTeMJBNc__13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7.467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-MeTTeMJBNc__7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17.367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-RfYyzHpjk4__11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11.700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-RfYyzHpjk4__8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11.657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-RfYyzHpjk4__2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6.234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-UUCSKoHeMA__0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7.867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-ri04Z7vwnc__0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3.295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-ri04Z7vwnc__2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6.966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-ri04Z7vwnc__5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5.965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10.900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6.867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13.567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6.200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12.767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6.600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-s9qJ7ATP7w__8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6.600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-yRb-Jum7EQ__1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34.567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-yRb-Jum7EQ__5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13.634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-yRb-Jum7EQ__6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15.488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0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B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</w:t>
            </w:r>
          </w:p>
        </w:tc>
      </w:tr>
    </w:tbl>
    <w:p>
      <w:pPr>
        <w:pStyle w:val="Heading2"/>
        <w:keepNext/>
      </w:pPr>
      <w:r>
        <w:t>3.1.8 可复现性与异常处理规则</w:t>
      </w:r>
    </w:p>
    <w:p>
      <w:pPr>
        <w:ind w:firstLine="420"/>
      </w:pPr>
      <w:r>
        <w:t>关键参数集中写入config.yaml，执行顺序固定为清单扫描、环境预检、单样本试跑、全量运行、质量核验和典型样本绘图。程序以配置、视频大小与修改时间、转写文本及流水线版本计算处理签名；签名不变且状态成功的样本可安全断点续跑，参数改变则自动重新处理。随机种子固定为2026。工具版本与关键参数见表3-5。</w:t>
      </w:r>
    </w:p>
    <w:p>
      <w:pPr>
        <w:pStyle w:val="Caption"/>
        <w:keepNext/>
        <w:jc w:val="center"/>
      </w:pPr>
      <w:r>
        <w:t>表 3-5  问题一复现实验环境与关键参数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84"/>
        <w:gridCol w:w="6973"/>
      </w:tblGrid>
      <w:tr>
        <w:tc>
          <w:tcPr>
            <w:tcW w:type="dxa" w:w="45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5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365F91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版本与参数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运行环境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Ubuntu 22.04；Python 3.8.20；随机种子2026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媒体处理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FFmpeg/FFprobe 4.4.2；音频16 kHz单声道PCM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WhisperX 3.2.0；RoBERTa-base；Transformers 4.39.3；PyTorch 2.4.1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语音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openSMILE 2.5.0；eGeMAPSv02 LowLevelDescriptors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视觉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OpenFace 2.2.0；2 fps；人脸置信度阈值0.80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数据依赖</w:t>
            </w:r>
          </w:p>
        </w:tc>
        <w:tc>
          <w:tcPr>
            <w:tcW w:type="dxa" w:w="697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NumPy 1.24.3；pandas 2.0.3；openpyxl 3.1.5；SoundFile 0.12.1</w:t>
            </w:r>
          </w:p>
        </w:tc>
      </w:tr>
    </w:tbl>
    <w:p>
      <w:pPr>
        <w:ind w:firstLine="420"/>
      </w:pPr>
      <w:r>
        <w:t>异常处理遵循‘保留原样本、显式标记、禁止替代’原则：词无法对齐时不伪造时间；静音、非有限声学帧和低置信度人脸均只关闭相应模态掩码；视频流时长冲突时保留容器时长、流结束时间和实际解码数量；工具或固定模型不可用时记录失败并继续处理其他样本，不以语义不同的特征替代。质量控制程序逐样本检查矩阵形状、数值有限性、零填充、掩码逻辑、时间边界、主键一致性和追溯文件完整性，最终报告structural_checks_passed=true、extraction_complete=true。</w:t>
      </w:r>
    </w:p>
    <w:p>
      <w:pPr>
        <w:pStyle w:val="Heading2"/>
        <w:keepNext/>
      </w:pPr>
      <w:r>
        <w:t>3.1.9 问题一小结</w:t>
      </w:r>
    </w:p>
    <w:p>
      <w:pPr>
        <w:ind w:firstLine="420"/>
      </w:pPr>
      <w:r>
        <w:t>本文完成了附件1全部100条视频的三模态情感特征构建。以0.5 s原视频时间窗为公共坐标，将RoBERTa文本语义、eGeMAPS声学统计和OpenFace视觉行为统一组织为70步定长序列，并用填充掩码与模态掩码保存真实有效性。全量样本、全部模态文件和窗口位置均可追溯至原视频，典型样本验证与质量报告共同表明该特征集满足覆盖完整、时序可核验和过程可复现三项要求，可作为问题二和问题三的统一输入接口。</w:t>
      </w:r>
    </w:p>
    <w:p>
      <w:pPr>
        <w:pStyle w:val="Heading2"/>
        <w:keepNext/>
      </w:pPr>
      <w:r>
        <w:t>问题一相关参考文献</w:t>
      </w:r>
    </w:p>
    <w:p>
      <w:pPr>
        <w:spacing w:line="276" w:lineRule="auto" w:after="40"/>
        <w:ind w:left="420" w:hanging="420"/>
      </w:pPr>
      <w:r>
        <w:t>[1] Liu Y, Ott M, Goyal N, et al. RoBERTa: A Robustly Optimized BERT Pretraining Approach. arXiv:1907.11692, 2019.</w:t>
      </w:r>
    </w:p>
    <w:p>
      <w:pPr>
        <w:spacing w:line="276" w:lineRule="auto" w:after="40"/>
        <w:ind w:left="420" w:hanging="420"/>
      </w:pPr>
      <w:r>
        <w:t>[2] Bain M, Huh J, Han T, et al. WhisperX: Time-Accurate Speech Transcription of Long-Form Audio. INTERSPEECH, 2023: 4489-4493.</w:t>
      </w:r>
    </w:p>
    <w:p>
      <w:pPr>
        <w:spacing w:line="276" w:lineRule="auto" w:after="40"/>
        <w:ind w:left="420" w:hanging="420"/>
      </w:pPr>
      <w:r>
        <w:t>[3] Eyben F, Wöllmer M, Schuller B. openSMILE: The Munich Versatile and Fast Open-Source Audio Feature Extractor. ACM Multimedia, 2010: 1459-1462.</w:t>
      </w:r>
    </w:p>
    <w:p>
      <w:pPr>
        <w:spacing w:line="276" w:lineRule="auto" w:after="40"/>
        <w:ind w:left="420" w:hanging="420"/>
      </w:pPr>
      <w:r>
        <w:t>[4] Eyben F, Scherer K R, Schuller B W, et al. The Geneva Minimalistic Acoustic Parameter Set (GeMAPS) for Voice Research and Affective Computing. IEEE Transactions on Affective Computing, 2016, 7(2): 190-202.</w:t>
      </w:r>
    </w:p>
    <w:p>
      <w:pPr>
        <w:spacing w:line="276" w:lineRule="auto" w:after="40"/>
        <w:ind w:left="420" w:hanging="420"/>
      </w:pPr>
      <w:r>
        <w:t>[5] Baltrušaitis T, Zadeh A, Lim Y C, et al. OpenFace 2.0: Facial Behavior Analysis Toolkit. IEEE International Conference on Automatic Face and Gesture Recognition, 2018: 59-66.</w:t>
      </w:r>
    </w:p>
    <w:sectPr w:rsidR="00FC693F" w:rsidRPr="0006063C" w:rsidSect="00034616">
      <w:footerReference w:type="default" r:id="rId11"/>
      <w:pgSz w:w="11906" w:h="16838"/>
      <w:pgMar w:top="1389" w:right="1332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80"/>
    </w:pPr>
    <w:rPr>
      <w:rFonts w:ascii="Times New Roman" w:hAnsi="Times New Roman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 多模态情感特征提取与时序对齐</dc:title>
  <dc:subject>数学建模竞赛论文问题一</dc:subject>
  <dc:creator/>
  <cp:keywords>多模态情感分析, 时序对齐, 特征提取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