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A17C11B">
        <w:tc>
          <w:tcPr>
            <w:tcW w:w="100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EDC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  <w:lang w:val="zh-CN" w:eastAsia="zh-CN" w:bidi="ar-SA"/>
              </w:rPr>
              <w:t>提交给 Codex 的完整提示词 | GEMINI → PICASSO | SC2026 论文与实验复现</w:t>
            </w:r>
          </w:p>
        </w:tc>
      </w:tr>
    </w:tbl>
    <w:p w14:paraId="5A78D298"/>
    <w:p w14:paraId="119AB79B">
      <w:pPr>
        <w:spacing w:before="200" w:after="120" w:line="252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0"/>
          <w:lang w:val="zh-CN" w:eastAsia="zh-CN" w:bidi="ar-SA"/>
        </w:rPr>
        <w:t>将 GEMINI-HPCA2024 仓库改造成可支撑 SC2026 论文的完整实验 Artifact</w:t>
      </w:r>
    </w:p>
    <w:p w14:paraId="0122E537">
      <w:pPr>
        <w:spacing w:before="0" w:after="240" w:line="276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666666"/>
          <w:sz w:val="21"/>
          <w:lang w:val="zh-CN" w:eastAsia="zh-CN" w:bidi="ar-SA"/>
        </w:rPr>
        <w:t>目标论文：PICASSO: In-the-Loop Co-Exploration of Packages, D2D Interfaces, and Chiplets for AI Accelerator Nodes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72A9302">
        <w:trPr>
          <w:jc w:val="center"/>
        </w:trPr>
        <w:tc>
          <w:tcPr>
            <w:tcW w:w="5040" w:type="dxa"/>
            <w:shd w:val="clear" w:color="auto" w:fill="EEF5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F50D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  <w:lang w:val="zh-CN" w:eastAsia="zh-CN" w:bidi="ar-SA"/>
              </w:rPr>
              <w:t>输入仓库</w:t>
            </w:r>
          </w:p>
        </w:tc>
        <w:tc>
          <w:tcPr>
            <w:tcW w:w="5040" w:type="dxa"/>
            <w:shd w:val="clear" w:color="auto" w:fill="EEF5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81A25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  <w:lang w:val="zh-CN" w:eastAsia="zh-CN" w:bidi="ar-SA"/>
              </w:rPr>
              <w:t>https://github.com/SET-Scheduling-Project/GEMINI-HPCA2024</w:t>
            </w:r>
          </w:p>
        </w:tc>
      </w:tr>
      <w:tr w14:paraId="30736DB5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1A795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核心目标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DC3D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把代码、实验、日志、图表、README 一次性整理到可直接支撑 SC2026 投稿与 AD/AE 的状态</w:t>
            </w:r>
          </w:p>
        </w:tc>
      </w:tr>
      <w:tr w14:paraId="315AC733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F110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必须产出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510A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更新后的可运行代码、自动化实验脚本、原始日志、聚合 CSV/JSON、论文图表、复现实验说明</w:t>
            </w:r>
          </w:p>
        </w:tc>
      </w:tr>
      <w:tr w14:paraId="36C07D23">
        <w:trPr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495B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禁止事项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5BFE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禁止手工硬填论文数字；禁止只改绘图不改模型；禁止生成无法复跑的“一次性结果”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930CE68">
        <w:trPr>
          <w:jc w:val="center"/>
        </w:trPr>
        <w:tc>
          <w:tcPr>
            <w:tcW w:w="10080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79A689"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6D3D"/>
                <w:sz w:val="21"/>
                <w:lang w:val="zh-CN" w:eastAsia="zh-CN" w:bidi="ar-SA"/>
              </w:rPr>
              <w:t xml:space="preserve">如何使用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把本文件第 1 节到最后一节的正文整体交给 Codex 即可。Codex 的任务不是“给建议”，而是直接改代码、补模型、跑实验、生成图、整理输出，并最终返回可核查的结果目录和命令清单。</w:t>
            </w:r>
          </w:p>
        </w:tc>
      </w:tr>
    </w:tbl>
    <w:p w14:paraId="3C5CB6D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D418CC9">
        <w:trPr>
          <w:jc w:val="center"/>
        </w:trPr>
        <w:tc>
          <w:tcPr>
            <w:tcW w:w="10080" w:type="dxa"/>
            <w:shd w:val="clear" w:color="auto" w:fill="FDEC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8AF489"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9F1239"/>
                <w:sz w:val="21"/>
                <w:lang w:val="zh-CN" w:eastAsia="zh-CN" w:bidi="ar-SA"/>
              </w:rPr>
              <w:t xml:space="preserve">红线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所有图和论文数字都必须来自脚本自动生成的结果文件。任何与论文趋势不一致的现象都必须解释原因并给出修复路径，不能通过手工改 CSV、改图片或硬编码常数来“对齐论文”。</w:t>
            </w:r>
          </w:p>
        </w:tc>
      </w:tr>
    </w:tbl>
    <w:p w14:paraId="44155096"/>
    <w:p w14:paraId="0EA7CD44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1. 你现在接手的对象</w:t>
      </w:r>
    </w:p>
    <w:p w14:paraId="6C238FE3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  <w:lang w:val="zh-CN" w:eastAsia="zh-CN" w:bidi="ar-SA"/>
        </w:rPr>
        <w:t>你要接手的是一个以 GEMINI / SET 为基础的设计空间探索仓库。当前仓库根目录已经存在 C++ 源码目录（例如 include/、src/）、Python 脚本目录（pyscripts/）、若干 shell 入口脚本（72tops_dse13.sh、72tops_dse16.sh、72tops_dse17.sh、128tops_dse.sh、512tops_dse13.sh、512tops_dse16.sh、512tops_dse17.sh）、成本相关目录（cost/）、makefile、requirements.txt 和 summary.sh。你可以彻底重构目录，但必须保留“可一键编译 + 可一键复跑 + 可一键出图”的体验。</w:t>
      </w:r>
    </w:p>
    <w:p w14:paraId="75ABB07C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  <w:lang w:val="zh-CN" w:eastAsia="zh-CN" w:bidi="ar-SA"/>
        </w:rPr>
        <w:t>论文目标已经从旧版 HPCA/GEMINI 方向重构为 PICASSO。新的论文主张不是 tapeout sign-off，也不是全局最优搜索；而是一个 architecture-level feasibility-aware 的联合搜索、排名与 sampled backend closure 方法。你必须让代码与论文中的状态定义、基线、实验矩阵、图表和日志输出完全对齐。</w:t>
      </w:r>
    </w:p>
    <w:p w14:paraId="35308B02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2. 总目标（必须全部达成）</w:t>
      </w:r>
    </w:p>
    <w:p w14:paraId="18872676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把搜索状态从旧版以 mapping / architecture / chiplet 为核心的实现，扩展为 d=(m, a, k, i, p, b)：其中 m 是 mapping，a 是片上微结构，k 是 chiplet 组织，i 是 D2D interface，p 是 package 类别/拓扑，b 是 memory / I/O provisioning。</w:t>
      </w:r>
    </w:p>
    <w:p w14:paraId="3C162723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把 package、interface、memory legality 放进 inner loop：候选点在搜索过程中就能因为 edge 不足、route budget 超标、memory attachment 非法而被拒绝，而不是事后修补。</w:t>
      </w:r>
    </w:p>
    <w:p w14:paraId="106906B9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实现并暴露强基线：Joint、Stage-wise、Package-oblivious、Architecture-first、Partition-first、Cost/interface-first、Gemini-outer repair、Memory-off，以及必要的 interface-fixed / package-fixed 开关。</w:t>
      </w:r>
    </w:p>
    <w:p w14:paraId="70D9D86F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加入论文要求的 6 类 workload motif：CNN inference、long-context prefill、KV-heavy decode、dense decoder block、Mixtral-style MoE trace、Megatron-style collective trace。</w:t>
      </w:r>
    </w:p>
    <w:p w14:paraId="63C0ABD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自动输出原始日志、聚合结果、plot-ready CSV、最终 PDF/PNG 图表，并使这些产物能一一对应到论文中的图和表。</w:t>
      </w:r>
    </w:p>
    <w:p w14:paraId="43A611E8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最终让使用者通过少量命令就能完成：编译 → 烟雾测试 → 主实验 → 聚合 → 出图 → 检查。</w:t>
      </w:r>
    </w:p>
    <w:p w14:paraId="20E15AEB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3. 非目标（不要浪费时间）</w:t>
      </w:r>
    </w:p>
    <w:p w14:paraId="0EF0F745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不要做 RTL、版图、真实 SI/PI、完整 package routing sign-off。论文明确是 architecture-level ranking。</w:t>
      </w:r>
    </w:p>
    <w:p w14:paraId="7058A2ED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不要引入需要专有 trace、专有工具、专有硬件授权才能运行的依赖。优先使用公开配置、脚本可生成输入和公开模型族参数。</w:t>
      </w:r>
    </w:p>
    <w:p w14:paraId="43406468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不要只追求把旧图“画得像”；必须让图背后有真实可复跑的数据生成管线。</w:t>
      </w:r>
    </w:p>
    <w:p w14:paraId="112EE915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不要把所有逻辑写成一个巨大脚本。必须按模块拆分，并给出 README、配置文件和输出目录约定。</w:t>
      </w:r>
    </w:p>
    <w:p w14:paraId="0769825C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4. 代码层面的强制改造</w:t>
      </w:r>
    </w:p>
    <w:p w14:paraId="5197A57E">
      <w:pPr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3"/>
          <w:lang w:val="zh-CN" w:eastAsia="zh-CN" w:bidi="ar-SA"/>
        </w:rPr>
        <w:t>4.1 状态空间与配置层</w:t>
      </w:r>
    </w:p>
    <w:p w14:paraId="3BCDD956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定义统一的配置对象 / schema，至少覆盖：workload、node target、process node、chiplet count、interface class、package class、memory class、seed、proposal budget、time cap。</w:t>
      </w:r>
    </w:p>
    <w:p w14:paraId="47EF7D76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把 interface、package、memory 从“附属参数”升级为搜索状态的一部分。所有候选点都必须记录完整 state tuple。</w:t>
      </w:r>
    </w:p>
    <w:p w14:paraId="200B51CF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保留旧入口脚本的兼容性，但新实验必须有新的统一入口，例如 run_paper_full.sh、run_paper_smoke.sh、run_figure4.sh 之类。</w:t>
      </w:r>
    </w:p>
    <w:p w14:paraId="70362947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输出的每个 design point 必须带唯一 design_id，方便从最终图表反向定位到原始日志。</w:t>
      </w:r>
    </w:p>
    <w:p w14:paraId="41D8F44D">
      <w:pPr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3"/>
          <w:lang w:val="zh-CN" w:eastAsia="zh-CN" w:bidi="ar-SA"/>
        </w:rPr>
        <w:t>4.2 模型层（必须和论文公式对应）</w:t>
      </w:r>
    </w:p>
    <w:p w14:paraId="0AA67B08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实现 latency / energy / cost 的分解模型，并让 NoP 项显式依赖 interface 与 package。</w:t>
      </w:r>
    </w:p>
    <w:p w14:paraId="36C560B9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实现 PHY area、endpoint latency、bandwidth density、energy/bit、route budget、edge demand、idle-PHY energy、yield-aware cost。</w:t>
      </w:r>
    </w:p>
    <w:p w14:paraId="0F0D50D2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实现 architecture-level feasibility：至少包括 (1) edge demand &lt;= available edge，(2) route demand &lt;= package budget，(3) memory attachment legality。</w:t>
      </w:r>
    </w:p>
    <w:p w14:paraId="15A7CCE0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memory legality 不能只是 bandwidth 上限；必须考虑 channel count、HBM / GDDR / LPDDR 风格 attachment、I/O die 组织是否允许、以及与 D2D edge 竞争的关系。</w:t>
      </w:r>
    </w:p>
    <w:p w14:paraId="016746BD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保留参数化 envelope：XSR-like / USR-like / UCIe-like；OS / RDL fan-out / silicon interposer；LPDDR5-like / GDDR6X-like / HBM-like。参数要集中管理，禁止散落硬编码。</w:t>
      </w:r>
    </w:p>
    <w:p w14:paraId="2DD8FCA8">
      <w:pPr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3"/>
          <w:lang w:val="zh-CN" w:eastAsia="zh-CN" w:bidi="ar-SA"/>
        </w:rPr>
        <w:t>4.3 搜索与基线</w:t>
      </w:r>
    </w:p>
    <w:p w14:paraId="07C0D0AF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Joint 搜索采用简单、可审计、可复现的实现：多 legal seeds + move family + annealed acceptance + Pareto archive。</w:t>
      </w:r>
    </w:p>
    <w:p w14:paraId="35E1970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默认建议：8 个 legal seeds；60k proposals/seed；15 min/seed 上限；move family 至少包含 map / arch / split / interface-package / memory / coupled moves。</w:t>
      </w:r>
    </w:p>
    <w:p w14:paraId="3CC2B5DC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Projected baselines 必须共享同等预算、同等 seeds、同等 evaluator，只改变“哪些变量先看、哪些变量后修”。这点极其关键。</w:t>
      </w:r>
    </w:p>
    <w:p w14:paraId="17C63CDB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Gemini-outer repair 必须足够强，不能故意做成弱基线。它应该先跑强 mapping+architecture outer loop，再进行 partition/package/memory repair。</w:t>
      </w:r>
    </w:p>
    <w:p w14:paraId="2B1DE1D0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每一轮搜索都要日志化：round、seed、move family、accepted、legal、illegal reason、best score、temperature、elapsed time。</w:t>
      </w:r>
    </w:p>
    <w:p w14:paraId="561FD82C">
      <w:pPr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3"/>
          <w:lang w:val="zh-CN" w:eastAsia="zh-CN" w:bidi="ar-SA"/>
        </w:rPr>
        <w:t>4.4 Workload / Trace 层</w:t>
      </w:r>
    </w:p>
    <w:p w14:paraId="3A6AD5AF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CNN：保持低 φ、规则内存访问，作为 package-oblivious 仍可能看起来“没那么错”的 corner case。</w:t>
      </w:r>
    </w:p>
    <w:p w14:paraId="67BF2373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Long-context prefill：高 sustained activation movement，用来拉高 φ 和有效 monolithic area。</w:t>
      </w:r>
    </w:p>
    <w:p w14:paraId="44263C60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KV-heavy decode：较低利用率但更显著的 endpoint / idle-PHY 成本。</w:t>
      </w:r>
    </w:p>
    <w:p w14:paraId="32077DC1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Dense decoder block：代表现代 dense LLM block，介于 prefill 和 decode 之间。</w:t>
      </w:r>
    </w:p>
    <w:p w14:paraId="47D7FC5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Mixtral-style MoE trace：至少包含 8 experts、top-2 dispatch、1.35x load imbalance、0.34 locality probability；要体现 bursty / topology-sensitive 特征。</w:t>
      </w:r>
    </w:p>
    <w:p w14:paraId="7D529F6C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Megatron-style collective trace：至少包含 bucketized all-reduce / all-gather phases，默认 128MB bucket，体现 route budget 与 memory attachment 压力。</w:t>
      </w:r>
    </w:p>
    <w:p w14:paraId="2E02DB21">
      <w:pPr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3"/>
          <w:lang w:val="zh-CN" w:eastAsia="zh-CN" w:bidi="ar-SA"/>
        </w:rPr>
        <w:t>4.5 结果、聚合与出图层</w:t>
      </w:r>
    </w:p>
    <w:p w14:paraId="6B4179A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每个实验点必须生成 raw JSON 日志；每类 figure 必须有专门的 aggregation 脚本输出 plot-ready CSV。</w:t>
      </w:r>
    </w:p>
    <w:p w14:paraId="525221C0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必须自动导出中间表，例如 winner_change_matrix.csv、reevaluated_loss.csv、memory_off_ablation.csv、illegal_breakdown.csv、phase_boundary.csv、sensitivity_tags.csv。</w:t>
      </w:r>
    </w:p>
    <w:p w14:paraId="0036678D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绘图脚本必须直接消费聚合后的 CSV/JSON，而不是手工复制数字。</w:t>
      </w:r>
    </w:p>
    <w:p w14:paraId="443EFCF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图表输出必须同时支持 PDF 和 PNG，并在文件名上与论文图号对齐。</w:t>
      </w:r>
    </w:p>
    <w:p w14:paraId="3D4F47E9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5. 论文图表与脚本的强绑定要求</w:t>
      </w:r>
    </w:p>
    <w:p w14:paraId="13B04389">
      <w:pPr>
        <w:spacing w:before="4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  <w:lang w:val="zh-CN" w:eastAsia="zh-CN" w:bidi="ar-SA"/>
        </w:rPr>
        <w:t>表 1  论文图 / 表与必须生成的脚本、数据和验收条件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4176"/>
        <w:gridCol w:w="3168"/>
      </w:tblGrid>
      <w:tr w14:paraId="2F633BDA">
        <w:trPr>
          <w:jc w:val="center"/>
        </w:trPr>
        <w:tc>
          <w:tcPr>
            <w:tcW w:w="2736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3004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论文元素</w:t>
            </w:r>
          </w:p>
        </w:tc>
        <w:tc>
          <w:tcPr>
            <w:tcW w:w="4176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3A8B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必须生成的脚本 / 数据</w:t>
            </w:r>
          </w:p>
        </w:tc>
        <w:tc>
          <w:tcPr>
            <w:tcW w:w="3168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5C96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最低验收标准</w:t>
            </w:r>
          </w:p>
        </w:tc>
      </w:tr>
      <w:tr w14:paraId="44895965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27E3C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3 Validation chain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8AAE9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gen_validation.py + validation/*.csv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B431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输出 compute grounding、interface envelope、package/yield anchor 三个子图；趋势与论文一致</w:t>
            </w:r>
          </w:p>
        </w:tc>
      </w:tr>
      <w:tr w14:paraId="45A96740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3E67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4 Stronger baselines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9823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run_figure4.sh + winner_change_matrix.csv + reevaluated_loss.csv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3D8B4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MoE / collective 的 winner-change 明显高于 CNN；Pkg-oblivious 最弱</w:t>
            </w:r>
          </w:p>
        </w:tc>
      </w:tr>
      <w:tr w14:paraId="13DA8FF3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BDEB9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5 Interface vs package + memory ablation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C763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run_figure5.sh + interface_vs_package.csv + memory_off_ablation.csv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E54D5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随 φ 增长，interface upgrade 的收益超过 package-only upgrade；memory-off 在高压力 workload 上更容易翻转 winner</w:t>
            </w:r>
          </w:p>
        </w:tc>
      </w:tr>
      <w:tr w14:paraId="5C560B9A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7333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6 Phase map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FD53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run_figure6.sh + phase_boundary.csv + split_margin.csv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83C2E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出现广泛的 2–4 chiplet middle；many-chiplet 区域更脆弱</w:t>
            </w:r>
          </w:p>
        </w:tc>
      </w:tr>
      <w:tr w14:paraId="0687963F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5BBC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7 Pareto + energy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405E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run_figure7.sh + pareto_points.csv + energy_breakdown.csv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6B42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OS/RDL/SI 形成不同 cost band；NoP 和 idle-PHY 是主要差异来源</w:t>
            </w:r>
          </w:p>
        </w:tc>
      </w:tr>
      <w:tr w14:paraId="197160D1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2451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Fig. 8 Sensitivity + tags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AFE43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run_figure8.sh + boundary_drift.csv + sensitivity_tags.csv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5815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输出 robust / conditional / boundary-sensitive 标签，并给出 boundary drift</w:t>
            </w:r>
          </w:p>
        </w:tc>
      </w:tr>
      <w:tr w14:paraId="02E2A620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CE3B2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Table: illegal breakdown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476E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aggregate_illegal_breakdown.py + illegal_breakdown.csv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F949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区分 edge / route / memory 三类非法原因，decode 偏 memory，MoE / collective 同时偏 route+memory</w:t>
            </w:r>
          </w:p>
        </w:tc>
      </w:tr>
      <w:tr w14:paraId="1A9B9120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97B5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Table: weight stress test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B4B0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aggregate_weight_sweep.py + weight_shift_summary.csv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6BC9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能说明 latency / energy / cost 权重变化如何推动 regime boundary</w:t>
            </w:r>
          </w:p>
        </w:tc>
      </w:tr>
    </w:tbl>
    <w:p w14:paraId="232317ED"/>
    <w:p w14:paraId="494B56F2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6. 必跑实验矩阵</w:t>
      </w:r>
    </w:p>
    <w:p w14:paraId="42D06CEA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  <w:lang w:val="zh-CN" w:eastAsia="zh-CN" w:bidi="ar-SA"/>
        </w:rPr>
        <w:t>主实验不要做成“随便跑几组看看”。你必须明确区分 smoke、paper-core、paper-full 三个层级，并在 README 中写清每个层级的运行时间和输出内容。</w:t>
      </w:r>
    </w:p>
    <w:p w14:paraId="34BAD236">
      <w:pPr>
        <w:spacing w:before="4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  <w:lang w:val="zh-CN" w:eastAsia="zh-CN" w:bidi="ar-SA"/>
        </w:rPr>
        <w:t>表 2  建议的实验矩阵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168"/>
        <w:gridCol w:w="4752"/>
      </w:tblGrid>
      <w:tr w14:paraId="61B01B90">
        <w:trPr>
          <w:jc w:val="center"/>
        </w:trPr>
        <w:tc>
          <w:tcPr>
            <w:tcW w:w="2160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BDF3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维度</w:t>
            </w:r>
          </w:p>
        </w:tc>
        <w:tc>
          <w:tcPr>
            <w:tcW w:w="3168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D07E4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至少覆盖的取值</w:t>
            </w:r>
          </w:p>
        </w:tc>
        <w:tc>
          <w:tcPr>
            <w:tcW w:w="4752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7A14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说明</w:t>
            </w:r>
          </w:p>
        </w:tc>
      </w:tr>
      <w:tr w14:paraId="48FEC044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2C75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Node target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3755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72 / 128 / 256 / 512 / 1024 TOPS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D37FF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允许 paper-core 缩减，但 paper-full 必须覆盖完整区间</w:t>
            </w:r>
          </w:p>
        </w:tc>
      </w:tr>
      <w:tr w14:paraId="4C35479B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7D9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Process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41489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12nm, 7nm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9B81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保持与现有仓库公开说明一致</w:t>
            </w:r>
          </w:p>
        </w:tc>
      </w:tr>
      <w:tr w14:paraId="6FEB648E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F7D9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Interface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C3743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XSR-like, USR-like, UCIe-like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22B1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以归一化 envelope 方式建模</w:t>
            </w:r>
          </w:p>
        </w:tc>
      </w:tr>
      <w:tr w14:paraId="24683643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30AA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Package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CD9A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OS, RDL fan-out, Si interposer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25DA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至少三类</w:t>
            </w:r>
          </w:p>
        </w:tc>
      </w:tr>
      <w:tr w14:paraId="09B7114D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3A0F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Memory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771A5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LPDDR5-like, GDDR6X-like, HBM-like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A4FB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至少三类，并与 legality 强耦合</w:t>
            </w:r>
          </w:p>
        </w:tc>
      </w:tr>
      <w:tr w14:paraId="75DD1F2B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80814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Workload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A257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CNN / Prefill / Decode / Dense block / MoE / Collective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8F4B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六类都要有</w:t>
            </w:r>
          </w:p>
        </w:tc>
      </w:tr>
      <w:tr w14:paraId="1E386BB0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72CD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Seeds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B7E72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8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1DC5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Joint 与所有 projected baselines 共用</w:t>
            </w:r>
          </w:p>
        </w:tc>
      </w:tr>
      <w:tr w14:paraId="323288AA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8A99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Budget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9A12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60k proposals/seed 或 15 min/seed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7147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共享预算，确保公平比较</w:t>
            </w:r>
          </w:p>
        </w:tc>
      </w:tr>
    </w:tbl>
    <w:p w14:paraId="237F63E4"/>
    <w:p w14:paraId="04DE0AD3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7. 你必须创建的目录结构（建议目标态）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3AF6018">
        <w:trPr>
          <w:jc w:val="center"/>
        </w:trPr>
        <w:tc>
          <w:tcPr>
            <w:tcW w:w="10080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56FAB"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>repo_root/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include/                 # C++ headers（可保留并重构）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src/                     # core engine, models, baselines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pyscripts/               # aggregation / plotting / trace generation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configs/                 # workload, package, interface, memory, sweep YAML/JSON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workloads/               # dense shapes + generated MoE / collective traces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scripts/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run_smoke.sh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run_paper_core.sh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run_paper_full.sh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run_figure4.sh ... run_figure8.sh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results/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raw/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aggregated/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plot_ready/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figures/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docs/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README.md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REPRODUCE.md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  PAPER_MAPPING.md       # 论文图/表 ↔ 脚本/结果文件 的映射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requirements.txt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makefile</w:t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br w:type="textWrapping"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22222"/>
                <w:sz w:val="18"/>
                <w:lang w:val="zh-CN" w:eastAsia="zh-CN" w:bidi="ar-SA"/>
              </w:rPr>
              <w:t xml:space="preserve">  summary.sh               # 可保留但需更新</w:t>
            </w:r>
          </w:p>
        </w:tc>
      </w:tr>
    </w:tbl>
    <w:p w14:paraId="5A20A5B6"/>
    <w:p w14:paraId="53E126AD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8. 必须实现的可复现输出</w:t>
      </w:r>
    </w:p>
    <w:p w14:paraId="3AF29CB8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每个 figure 一个明确脚本；每个 figure 对应至少一个聚合数据文件；每个 figure 在 README 中有命令示例。</w:t>
      </w:r>
    </w:p>
    <w:p w14:paraId="6433AB95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所有实验输出必须附带 config snapshot（保存 sweep 配置、seed、git commit、时间戳、命令行）。</w:t>
      </w:r>
    </w:p>
    <w:p w14:paraId="7BF3F85F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必须能从任何一个 figure 文件反向追溯到其原始 raw logs。</w:t>
      </w:r>
    </w:p>
    <w:p w14:paraId="1090DD5B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必须提供 smoke test：即使评审没有完整时间跑 full matrix，也能在较短时间内验证 pipeline 是通的。</w:t>
      </w:r>
    </w:p>
    <w:p w14:paraId="00BF21F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必须提供 figure rebuild：只要 raw / aggregated 文件存在，就能不重跑搜索直接重建所有图。</w:t>
      </w:r>
    </w:p>
    <w:p w14:paraId="38AE146B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9. 编码与工程约束</w:t>
      </w:r>
    </w:p>
    <w:p w14:paraId="6DBB63B7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优先保持 deterministic：固定 seed、固定配置、固定输出 schema。</w:t>
      </w:r>
    </w:p>
    <w:p w14:paraId="6C75F822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把论文公式对应的参数集中在少数配置文件 / 常量表中，不要在代码中散落复制。</w:t>
      </w:r>
    </w:p>
    <w:p w14:paraId="1B0CD7C6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新增模型或基线时，必须同步补 README、默认配置和结果聚合逻辑。</w:t>
      </w:r>
    </w:p>
    <w:p w14:paraId="733F9271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对核心聚合脚本做最基本的 schema 检查：缺列、空文件、异常值要尽早失败。</w:t>
      </w:r>
    </w:p>
    <w:p w14:paraId="7D3A3AF6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对绘图脚本添加“输入不存在时给出明确报错”的逻辑，不要静默生成空图。</w:t>
      </w:r>
    </w:p>
    <w:p w14:paraId="0C8A19E7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若某个 workload 或某个基线运行异常，必须把失败点写到 summary，而不是悄悄跳过。</w:t>
      </w:r>
    </w:p>
    <w:p w14:paraId="70E4CC86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10. 你最终必须交付给我的内容</w:t>
      </w:r>
    </w:p>
    <w:p w14:paraId="3805161E">
      <w:pPr>
        <w:spacing w:before="4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  <w:lang w:val="zh-CN" w:eastAsia="zh-CN" w:bidi="ar-SA"/>
        </w:rPr>
        <w:t>表 3  Codex 最终回复时的交付物清单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352"/>
      </w:tblGrid>
      <w:tr w14:paraId="145FF096">
        <w:trPr>
          <w:jc w:val="center"/>
        </w:trPr>
        <w:tc>
          <w:tcPr>
            <w:tcW w:w="1728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0C1BE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类别</w:t>
            </w:r>
          </w:p>
        </w:tc>
        <w:tc>
          <w:tcPr>
            <w:tcW w:w="8352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EB0C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必须交付的内容</w:t>
            </w:r>
          </w:p>
        </w:tc>
      </w:tr>
      <w:tr w14:paraId="04937412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0F169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代码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D18D3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修改后的所有源码与脚本；列出关键改动文件</w:t>
            </w:r>
          </w:p>
        </w:tc>
      </w:tr>
      <w:tr w14:paraId="05E028F6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C54C2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结果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662DB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raw logs、aggregated CSV/JSON、plot-ready 数据、最终 figures</w:t>
            </w:r>
          </w:p>
        </w:tc>
      </w:tr>
      <w:tr w14:paraId="1D4C840D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9B15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说明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01935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README / REPRODUCE / PAPER_MAPPING，说明如何从零跑到论文图</w:t>
            </w:r>
          </w:p>
        </w:tc>
      </w:tr>
      <w:tr w14:paraId="2F3984E5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945A2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核查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A6982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每张图对应的命令、输入文件、输出文件、耗时</w:t>
            </w:r>
          </w:p>
        </w:tc>
      </w:tr>
      <w:tr w14:paraId="2B9B10C6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601F0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风险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8F4A3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若有与论文趋势不一致的点，必须说明原因、影响范围、下一步修复建议</w:t>
            </w:r>
          </w:p>
        </w:tc>
      </w:tr>
    </w:tbl>
    <w:p w14:paraId="4D61599B"/>
    <w:p w14:paraId="33434C6B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11. 直接给 Codex 的执行口径（请严格照做）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90AE0FA">
        <w:trPr>
          <w:jc w:val="center"/>
        </w:trPr>
        <w:tc>
          <w:tcPr>
            <w:tcW w:w="10080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4CB3FF"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  <w:lang w:val="zh-CN" w:eastAsia="zh-CN" w:bidi="ar-SA"/>
              </w:rPr>
              <w:t xml:space="preserve">请以第一优先级执行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你不是来写一份“改造建议”，而是来把仓库改造成可运行、可复现、可出图、可对接论文的最终版本。你需要自己动手修改代码、补脚本、跑实验、汇总结果、重建图表，并在最后返回可以核查的输出目录和命令列表。</w:t>
            </w:r>
          </w:p>
        </w:tc>
      </w:tr>
    </w:tbl>
    <w:p w14:paraId="13F6B65A"/>
    <w:p w14:paraId="53E691DE">
      <w:pPr>
        <w:pStyle w:val="14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先完整扫描当前仓库，梳理现有 build 入口、数据结构、shell 脚本、聚合脚本和绘图脚本，输出一个“现状 → 目标态”的改造计划。</w:t>
      </w:r>
    </w:p>
    <w:p w14:paraId="1EA21F16">
      <w:pPr>
        <w:pStyle w:val="14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然后按“模型层 → 搜索层 → workload/trace 层 → baseline 层 → aggregation/plotting 层 → README/复现层”的顺序改造，保证每一步都能运行。</w:t>
      </w:r>
    </w:p>
    <w:p w14:paraId="47E04F9B">
      <w:pPr>
        <w:pStyle w:val="14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完成 smoke test 后，再跑 paper-core；paper-core 通过后，再跑 paper-full。</w:t>
      </w:r>
    </w:p>
    <w:p w14:paraId="67255B77">
      <w:pPr>
        <w:pStyle w:val="14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所有图表和关键表格都必须来自自动生成的数据文件；若出现趋势偏差，优先检查模型定义、workload trace、legality 判断和 baseline 公平性。</w:t>
      </w:r>
    </w:p>
    <w:p w14:paraId="3D7BA6A3">
      <w:pPr>
        <w:pStyle w:val="14"/>
        <w:spacing w:before="0" w:after="40" w:line="276" w:lineRule="auto"/>
      </w:pPr>
      <w:r>
        <w:rPr>
          <w:rFonts w:ascii="Noto Sans CJK SC" w:hAnsi="Noto Sans CJK SC" w:eastAsia="Noto Sans CJK SC" w:cs="Noto Sans CJK SC"/>
          <w:b w:val="0"/>
          <w:i w:val="0"/>
          <w:sz w:val="20"/>
          <w:lang w:val="zh-CN" w:eastAsia="zh-CN" w:bidi="ar-SA"/>
        </w:rPr>
        <w:t>最终回复我时，必须给出：变更文件列表、关键设计决策、所有运行命令、运行耗时、生成结果的目录树、以及尚未完全解决的问题。</w:t>
      </w:r>
    </w:p>
    <w:p w14:paraId="2511E93E">
      <w:pPr>
        <w:spacing w:before="280" w:after="16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  <w:lang w:val="zh-CN" w:eastAsia="zh-CN" w:bidi="ar-SA"/>
        </w:rPr>
        <w:t>12. 最后一条要求：绝对禁止的行为</w:t>
      </w:r>
    </w:p>
    <w:p w14:paraId="3BE2E970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9F1239"/>
          <w:sz w:val="20"/>
          <w:lang w:val="zh-CN" w:eastAsia="zh-CN" w:bidi="ar-SA"/>
        </w:rPr>
        <w:t>禁止为了“让图看起来对”而手工改 CSV、手工改 PDF、手工改 PNG。</w:t>
      </w:r>
    </w:p>
    <w:p w14:paraId="7039FF44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9F1239"/>
          <w:sz w:val="20"/>
          <w:lang w:val="zh-CN" w:eastAsia="zh-CN" w:bidi="ar-SA"/>
        </w:rPr>
        <w:t>禁止只做新绘图脚本，不改底层模型和搜索状态。</w:t>
      </w:r>
    </w:p>
    <w:p w14:paraId="1BB7BC7B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9F1239"/>
          <w:sz w:val="20"/>
          <w:lang w:val="zh-CN" w:eastAsia="zh-CN" w:bidi="ar-SA"/>
        </w:rPr>
        <w:t>禁止把 projected baselines 做弱来衬托 joint search。</w:t>
      </w:r>
    </w:p>
    <w:p w14:paraId="606F5777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9F1239"/>
          <w:sz w:val="20"/>
          <w:lang w:val="zh-CN" w:eastAsia="zh-CN" w:bidi="ar-SA"/>
        </w:rPr>
        <w:t>禁止把 memory legality 简化成一个无约束的大 bandwidth scalar。</w:t>
      </w:r>
    </w:p>
    <w:p w14:paraId="0FB4FCF3">
      <w:pPr>
        <w:pStyle w:val="16"/>
        <w:spacing w:before="0" w:after="40" w:line="276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9F1239"/>
          <w:sz w:val="20"/>
          <w:lang w:val="zh-CN" w:eastAsia="zh-CN" w:bidi="ar-SA"/>
        </w:rPr>
        <w:t>禁止输出“看起来像完整实验”，但没有保留 raw logs 和聚合脚本。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152A1D8">
        <w:trPr>
          <w:jc w:val="center"/>
        </w:trPr>
        <w:tc>
          <w:tcPr>
            <w:tcW w:w="10080" w:type="dxa"/>
            <w:shd w:val="clear" w:color="auto" w:fill="EA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7A63C0"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6D3D"/>
                <w:sz w:val="21"/>
                <w:lang w:val="zh-CN" w:eastAsia="zh-CN" w:bidi="ar-SA"/>
              </w:rPr>
              <w:t xml:space="preserve">完成定义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  <w:lang w:val="zh-CN" w:eastAsia="zh-CN" w:bidi="ar-SA"/>
              </w:rPr>
              <w:t>只有当仓库可以从统一入口复跑、生成与论文一致方向的图表、并且每个图表都能追溯到原始结果文件时，任务才算完成。</w:t>
            </w:r>
          </w:p>
        </w:tc>
      </w:tr>
    </w:tbl>
    <w:p w14:paraId="2D2D16D3"/>
    <w:p w14:paraId="4B84844F">
      <w:pPr>
        <w:spacing w:before="40" w:after="80" w:line="276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  <w:lang w:val="zh-CN" w:eastAsia="zh-CN" w:bidi="ar-SA"/>
        </w:rPr>
        <w:t>交付前 60 秒自检清单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7344"/>
      </w:tblGrid>
      <w:tr w14:paraId="75DD5DF5">
        <w:trPr>
          <w:jc w:val="center"/>
        </w:trPr>
        <w:tc>
          <w:tcPr>
            <w:tcW w:w="2736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104CB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检查项</w:t>
            </w:r>
          </w:p>
        </w:tc>
        <w:tc>
          <w:tcPr>
            <w:tcW w:w="7344" w:type="dxa"/>
            <w:shd w:val="clear" w:color="auto" w:fill="DC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3369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  <w:lang w:val="zh-CN" w:eastAsia="zh-CN" w:bidi="ar-SA"/>
              </w:rPr>
              <w:t>通过标准</w:t>
            </w:r>
          </w:p>
        </w:tc>
      </w:tr>
      <w:tr w14:paraId="0A6E91A6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98A3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状态空间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1102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已显式支持 d=(m, a, k, i, p, b)，并写入日志 / 配置快照</w:t>
            </w:r>
          </w:p>
        </w:tc>
      </w:tr>
      <w:tr w14:paraId="7D774526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95F88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强基线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C588C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Joint + 6 类 projected baselines + memory-off 均可单独运行</w:t>
            </w:r>
          </w:p>
        </w:tc>
      </w:tr>
      <w:tr w14:paraId="7A4A9CA9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EA93D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合法性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11AF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edge / route / memory legality 均在 inner loop 生效，非法原因可追踪</w:t>
            </w:r>
          </w:p>
        </w:tc>
      </w:tr>
      <w:tr w14:paraId="33302975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02107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结果链路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CD10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raw → aggregated → plot_ready → figures 全链路自动化</w:t>
            </w:r>
          </w:p>
        </w:tc>
      </w:tr>
      <w:tr w14:paraId="4672E432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D6D8A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论文映射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95F36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每张图 / 表都有脚本、输入、输出和 README 命令示例</w:t>
            </w:r>
          </w:p>
        </w:tc>
      </w:tr>
      <w:tr w14:paraId="070481B1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3B681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复跑分层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13419">
            <w:pPr>
              <w:spacing w:before="0"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  <w:lang w:val="zh-CN" w:eastAsia="zh-CN" w:bidi="ar-SA"/>
              </w:rPr>
              <w:t>smoke、paper-core、paper-full 三层入口全部可用</w:t>
            </w:r>
          </w:p>
        </w:tc>
      </w:tr>
    </w:tbl>
    <w:p w14:paraId="4D56C054"/>
    <w:p w14:paraId="62DAC76B">
      <w:pPr>
        <w:pStyle w:val="3"/>
      </w:pPr>
      <w:r>
        <w:t>13. 组合 A 后端闭环（必须执行，新增）</w:t>
      </w:r>
    </w:p>
    <w:p w14:paraId="78ECC4DB">
      <w:r>
        <w:t>本节为最新版 PICASSO / SC2026 提示词的强制增补。你必须采用唯一后端方案组合 A：OpenROAD + 自建 semi-physical package router + BookSim 2.0 + Ramulator 2.0。禁止改成依赖专有 EDA、专有 trace 或无法公开复现的方案。</w:t>
      </w:r>
    </w:p>
    <w:p w14:paraId="61F379C0">
      <w:r>
        <w:t>本节的目标不是把仓库改成 industrial sign-off flow，而是把 winner ranking、legality decision 和 phase boundary 做成 reviewer 可接受的 sampled surrogate-to-backend closure。package 成本继续沿用原项目已有的工业真实数据；新增 package backend 只负责 route / hop / congestion / escape / legality。</w:t>
      </w:r>
    </w:p>
    <w:p w14:paraId="53123581">
      <w:r>
        <w:t>所有 backend replay 都必须落到统一的 canonical design record。禁止四个 backend 各吃一套互不一致的输入。所有 closure 结果都必须可追溯到 design_id、原始 raw logs 和聚合 CSV/JSON。</w:t>
      </w:r>
    </w:p>
    <w:p w14:paraId="2B9158D1">
      <w:pPr>
        <w:pStyle w:val="4"/>
      </w:pPr>
      <w:r>
        <w:t>13.1 四类 backend 与职责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2341"/>
        <w:gridCol w:w="2385"/>
        <w:gridCol w:w="3255"/>
      </w:tblGrid>
      <w:tr w14:paraId="05851FFE">
        <w:tc>
          <w:tcPr>
            <w:tcW w:w="2520" w:type="dxa"/>
          </w:tcPr>
          <w:p w14:paraId="4F9A1269">
            <w:r>
              <w:t>后端</w:t>
            </w:r>
          </w:p>
        </w:tc>
        <w:tc>
          <w:tcPr>
            <w:tcW w:w="2520" w:type="dxa"/>
          </w:tcPr>
          <w:p w14:paraId="1664FB28">
            <w:r>
              <w:t>建议工具</w:t>
            </w:r>
          </w:p>
        </w:tc>
        <w:tc>
          <w:tcPr>
            <w:tcW w:w="2520" w:type="dxa"/>
          </w:tcPr>
          <w:p w14:paraId="7F72AB03">
            <w:r>
              <w:t>主要复核对象</w:t>
            </w:r>
          </w:p>
        </w:tc>
        <w:tc>
          <w:tcPr>
            <w:tcW w:w="2520" w:type="dxa"/>
          </w:tcPr>
          <w:p w14:paraId="5907BAAD">
            <w:r>
              <w:t>必须导出的关键量</w:t>
            </w:r>
          </w:p>
        </w:tc>
      </w:tr>
      <w:tr w14:paraId="62257446">
        <w:tc>
          <w:tcPr>
            <w:tcW w:w="2520" w:type="dxa"/>
          </w:tcPr>
          <w:p w14:paraId="7D7BE5F9">
            <w:r>
              <w:t>Floorplan / perimeter</w:t>
            </w:r>
          </w:p>
        </w:tc>
        <w:tc>
          <w:tcPr>
            <w:tcW w:w="2520" w:type="dxa"/>
          </w:tcPr>
          <w:p w14:paraId="22F81AAD">
            <w:r>
              <w:t>OpenROAD</w:t>
            </w:r>
          </w:p>
        </w:tc>
        <w:tc>
          <w:tcPr>
            <w:tcW w:w="2520" w:type="dxa"/>
          </w:tcPr>
          <w:p w14:paraId="1D0BDCA7">
            <w:r>
              <w:t>PHY 与 memory 宏块能否放下、边缘压力、布局拥塞</w:t>
            </w:r>
          </w:p>
        </w:tc>
        <w:tc>
          <w:tcPr>
            <w:tcW w:w="2520" w:type="dxa"/>
          </w:tcPr>
          <w:p w14:paraId="1A7A2529">
            <w:r>
              <w:t>edge_overflow_ratio、macro_packing_pressure、placement_congestion_score、global_routing_overflow、status</w:t>
            </w:r>
          </w:p>
        </w:tc>
      </w:tr>
      <w:tr w14:paraId="6760AA65">
        <w:tc>
          <w:tcPr>
            <w:tcW w:w="2520" w:type="dxa"/>
          </w:tcPr>
          <w:p w14:paraId="398919C2">
            <w:r>
              <w:t>Package / routing</w:t>
            </w:r>
          </w:p>
        </w:tc>
        <w:tc>
          <w:tcPr>
            <w:tcW w:w="2520" w:type="dxa"/>
          </w:tcPr>
          <w:p w14:paraId="0DA1D615">
            <w:r>
              <w:t>semi-physical package router</w:t>
            </w:r>
          </w:p>
        </w:tc>
        <w:tc>
          <w:tcPr>
            <w:tcW w:w="2520" w:type="dxa"/>
          </w:tcPr>
          <w:p w14:paraId="4C6B2035">
            <w:r>
              <w:t>route budget、hop richness、topology-induced congestion、escape pressure</w:t>
            </w:r>
          </w:p>
        </w:tc>
        <w:tc>
          <w:tcPr>
            <w:tcW w:w="2520" w:type="dxa"/>
          </w:tcPr>
          <w:p w14:paraId="47A55523">
            <w:r>
              <w:t>route_overflow_ratio、avg_hops、p95_hops、congestion_hotspot_count、escape_pressure、package_status</w:t>
            </w:r>
          </w:p>
        </w:tc>
      </w:tr>
      <w:tr w14:paraId="1677F68E">
        <w:tc>
          <w:tcPr>
            <w:tcW w:w="2520" w:type="dxa"/>
          </w:tcPr>
          <w:p w14:paraId="410FC613">
            <w:r>
              <w:t>NoP timing / energy</w:t>
            </w:r>
          </w:p>
        </w:tc>
        <w:tc>
          <w:tcPr>
            <w:tcW w:w="2520" w:type="dxa"/>
          </w:tcPr>
          <w:p w14:paraId="7F94458E">
            <w:r>
              <w:t>BookSim 2.0</w:t>
            </w:r>
          </w:p>
        </w:tc>
        <w:tc>
          <w:tcPr>
            <w:tcW w:w="2520" w:type="dxa"/>
          </w:tcPr>
          <w:p w14:paraId="40183149">
            <w:r>
              <w:t>endpoint latency、serialization、contention、拓扑差异</w:t>
            </w:r>
          </w:p>
        </w:tc>
        <w:tc>
          <w:tcPr>
            <w:tcW w:w="2520" w:type="dxa"/>
          </w:tcPr>
          <w:p w14:paraId="0F840AEE">
            <w:r>
              <w:t>average_latency、p95_latency、throughput_saturation、link_utilization、nop_replay_summary</w:t>
            </w:r>
          </w:p>
        </w:tc>
      </w:tr>
      <w:tr w14:paraId="4D738D17">
        <w:tc>
          <w:tcPr>
            <w:tcW w:w="2520" w:type="dxa"/>
          </w:tcPr>
          <w:p w14:paraId="22A60EA3">
            <w:r>
              <w:t>Memory backend</w:t>
            </w:r>
          </w:p>
        </w:tc>
        <w:tc>
          <w:tcPr>
            <w:tcW w:w="2520" w:type="dxa"/>
          </w:tcPr>
          <w:p w14:paraId="33120A3E">
            <w:r>
              <w:t>Ramulator 2.0</w:t>
            </w:r>
          </w:p>
        </w:tc>
        <w:tc>
          <w:tcPr>
            <w:tcW w:w="2520" w:type="dxa"/>
          </w:tcPr>
          <w:p w14:paraId="0CC23554">
            <w:r>
              <w:t>HBM/direct-attached/I/O-die attachment legality 与 timing pressure</w:t>
            </w:r>
          </w:p>
        </w:tc>
        <w:tc>
          <w:tcPr>
            <w:tcW w:w="2520" w:type="dxa"/>
          </w:tcPr>
          <w:p w14:paraId="15A11D43">
            <w:r>
              <w:t>avg_latency、tail_latency、channel_imbalance、queue_depth_proxy、memory_stall_proxy、memory_status</w:t>
            </w:r>
          </w:p>
        </w:tc>
      </w:tr>
    </w:tbl>
    <w:p w14:paraId="5ED2F04A">
      <w:pPr>
        <w:pStyle w:val="4"/>
      </w:pPr>
      <w:r>
        <w:t>13.2 canonical design record 与 translator 约束</w:t>
      </w:r>
    </w:p>
    <w:p w14:paraId="0ABB640D">
      <w:r>
        <w:t>你必须新增 export_design_records.py，从现有搜索结果中导出 canonical design record。每个 record 至少包含：design_id、baseline_mode、workload、trace_id、tops_target、process_node、seed、完整 state tuple d=(m,a,k,i,p,b)、traffic matrix、per-edge bandwidth、die area breakdown、PHY count、package class、memory attachment、surrogate latency/energy/cost、legality flags、M1/M2/Si/Sp。</w:t>
      </w:r>
    </w:p>
    <w:p w14:paraId="7E9DB869">
      <w:r>
        <w:t>你必须从同一个 canonical design record 自动派生四类输入文件：floorplan_input.json、package_input.json、booksim_config.json、ramulator_config.yaml（或等价格式）。禁止手工修改 backend 输入。translator 必须支持从任意 figure 或 aggregated CSV 反查到原始 design_record。</w:t>
      </w:r>
    </w:p>
    <w:p w14:paraId="4439CA37">
      <w:pPr>
        <w:pStyle w:val="4"/>
      </w:pPr>
      <w:r>
        <w:t>13.3 抽样规则（必须实现 sample_backend_points.py）</w:t>
      </w:r>
    </w:p>
    <w:p w14:paraId="72C56293">
      <w:r>
        <w:t>必须按五类 cohort 抽样：Winner set、Boundary set、Near-legality set、Disagreement set、Control set。</w:t>
      </w:r>
    </w:p>
    <w:p w14:paraId="0C3FFED8">
      <w:r>
        <w:t>Winner set：各 mode 的 top-1 / top-3；Boundary set：|M1|、|M2| 接近 0；Near-legality set：G(d)、R(d)、memory legality 接近阈值；Disagreement set：winner flip、memory-off flip、6–8 chiplet、MoE/collective hardest cases；Control set：随机 legal 点。</w:t>
      </w:r>
    </w:p>
    <w:p w14:paraId="6190DE9D">
      <w:r>
        <w:t>paper-core 推荐规模：Winner 80、Boundary 40、Near-legality 40、Disagreement 40、Control 20。若算力不够，可以先做 smoke 缩减版，但代码路径、schema 和聚合逻辑必须与正式版一致。</w:t>
      </w:r>
    </w:p>
    <w:p w14:paraId="58C88733">
      <w:pPr>
        <w:pStyle w:val="4"/>
      </w:pPr>
      <w:r>
        <w:t>13.4 必增脚本、目录与聚合产物</w:t>
      </w:r>
    </w:p>
    <w:p w14:paraId="60A3E107">
      <w:r>
        <w:t>必增脚本：translate_to_openroad.py、translate_to_package_router.py、translate_to_booksim.py、translate_to_ramulator.py、run_backend_smoke.sh、run_backend_core.sh、run_backend_full.sh、aggregate_backend_closure.py、plot_backend_closure.py。</w:t>
      </w:r>
    </w:p>
    <w:p w14:paraId="3E3C5AC6">
      <w:r>
        <w:t>必增目录：results/backend/floorplan、results/backend/package、results/backend/nop、results/backend/memory、results/backend_aggregated、results/backend_figures。</w:t>
      </w:r>
    </w:p>
    <w:p w14:paraId="5BEEF001">
      <w:r>
        <w:t>必增聚合文件：winner_agreement.csv（top-1 agreement、top-3 overlap、backend regret）、legality_confusion.csv（overall + edge/route/memory confusion）、boundary_drift_backend.csv（monolithic/few、few/many、Si/Sp crossing drift、M1/M2 sign consistency）、claim_closure.csv（preserved / shifted / weakened）。</w:t>
      </w:r>
    </w:p>
    <w:p w14:paraId="2AEC2B6C">
      <w:pPr>
        <w:pStyle w:val="4"/>
      </w:pPr>
      <w:r>
        <w:t>13.5 结果写法与论文/README 同步要求</w:t>
      </w:r>
    </w:p>
    <w:p w14:paraId="01FFEDF7">
      <w:r>
        <w:t>backend closure 的写法必须是“decision preservation”，不是“sign-off correctness”。不要写 backend confirms correctness；应写 backend replay validates winner identity, legality classification, and boundary stability for the ranking questions posed in the paper。</w:t>
      </w:r>
    </w:p>
    <w:p w14:paraId="42769637">
      <w:r>
        <w:t>README、REPRODUCE、PAPER_MAPPING、AD/AE 附录都必须同步加入组合 A 后端闭环的命令、目录和输出物说明。Discussion/Limitations 里要明确：Combo-A open stack 用于 sampled replay 和 claim calibration，而不是 industrial sign-off。</w:t>
      </w:r>
    </w:p>
    <w:p w14:paraId="1F398042">
      <w:r>
        <w:t>如果 backend replay 使 many-chiplet frontier 更脆弱，这是允许的；应把 many-chiplet claim 标成 conditional 或 boundary-sensitive，而不是硬改模型把它做成 robust。</w:t>
      </w:r>
    </w:p>
    <w:p w14:paraId="5487CBA1">
      <w:pPr>
        <w:pStyle w:val="4"/>
      </w:pPr>
      <w:r>
        <w:t>13.6 完成标准（在原完成定义之外新增）</w:t>
      </w:r>
    </w:p>
    <w:p w14:paraId="0A79F85D">
      <w:r>
        <w:t>只有当以下条件同时满足时，backend closure 才算完成：四个 backend 都能从统一入口批量调用；每个 sampled point 都能追溯到 canonical design record；winner agreement、legality confusion、boundary drift 三类结果都能自动聚合；至少 rerun 一轮 hardest slices；论文正文、AD/AE、README、Codex prompt 四者对 backend closure 的口径一致。</w:t>
      </w:r>
    </w:p>
    <w:p w14:paraId="23B87748">
      <w:r>
        <w:t>绝对禁止：手工改 CSV/PNG/PDF 让 agreement 好看；只验证 joint 而不验证 baseline winners；只报告 average error 而不报告 decision-preservation metrics；把 semi-physical package router 写成 industrial sign-off tool。</w:t>
      </w:r>
    </w:p>
    <w:p w14:paraId="14E21FA1">
      <w:pPr>
        <w:pStyle w:val="3"/>
      </w:pPr>
      <w:r>
        <w:t>14. 最终 reviewer-driven hardening（必须新增并执行）</w:t>
      </w:r>
    </w:p>
    <w:p w14:paraId="6F1A9EFB">
      <w:r>
        <w:t>本节是基于最新版 SC2026 审稿意见的最终增强要求。你的任务不是只让仓库“能跑”，而是要把代码、日志、聚合和图表补强到可以直接支撑论文中已经写出来的 reviewer-facing 结论。</w:t>
      </w:r>
    </w:p>
    <w:p w14:paraId="44922EAC">
      <w:pPr>
        <w:pStyle w:val="4"/>
      </w:pPr>
      <w:r>
        <w:t>14.1 必须直接产出的新增 closure 结果文件</w:t>
      </w:r>
    </w:p>
    <w:p w14:paraId="6D35B0A5">
      <w:r>
        <w:t>你必须新增并自动生成以下聚合文件，并让它们与论文正文里的 Figure 8(c) 与 closure summary 表述直接对应：</w:t>
      </w:r>
    </w:p>
    <w:p w14:paraId="62F8E134">
      <w:pPr>
        <w:pStyle w:val="16"/>
      </w:pPr>
      <w:r>
        <w:t>results/backend_aggregated/closure_summary.csv</w:t>
      </w:r>
    </w:p>
    <w:p w14:paraId="2C6D0404">
      <w:pPr>
        <w:pStyle w:val="16"/>
      </w:pPr>
      <w:r>
        <w:t>results/backend_aggregated/closure_summary.json</w:t>
      </w:r>
    </w:p>
    <w:p w14:paraId="4B6118B2">
      <w:pPr>
        <w:pStyle w:val="16"/>
      </w:pPr>
      <w:r>
        <w:t>results/backend_aggregated/router_sensitivity.csv</w:t>
      </w:r>
    </w:p>
    <w:p w14:paraId="41739926">
      <w:pPr>
        <w:pStyle w:val="16"/>
      </w:pPr>
      <w:r>
        <w:t>results/backend_aggregated/package_cost_ordering_check.csv</w:t>
      </w:r>
    </w:p>
    <w:p w14:paraId="627CAC31">
      <w:pPr>
        <w:pStyle w:val="16"/>
      </w:pPr>
      <w:r>
        <w:t>results/backend_aggregated/deployment_regime_summary.csv</w:t>
      </w:r>
    </w:p>
    <w:p w14:paraId="2EA3D317">
      <w:r>
        <w:t>其中 closure_summary.csv/json 至少包含：</w:t>
      </w:r>
    </w:p>
    <w:p w14:paraId="365AF0EA">
      <w:pPr>
        <w:pStyle w:val="16"/>
      </w:pPr>
      <w:r>
        <w:t>top1_agreement</w:t>
      </w:r>
    </w:p>
    <w:p w14:paraId="73B6ABC8">
      <w:pPr>
        <w:pStyle w:val="16"/>
        <w:spacing w:after="40" w:line="276" w:lineRule="auto"/>
      </w:pPr>
      <w:r>
        <w:t>hard_slice_agreement</w:t>
      </w:r>
    </w:p>
    <w:p w14:paraId="36E4485C">
      <w:pPr>
        <w:pStyle w:val="16"/>
        <w:spacing w:after="40" w:line="276" w:lineRule="auto"/>
      </w:pPr>
      <w:r>
        <w:t>legal_precision</w:t>
      </w:r>
    </w:p>
    <w:p w14:paraId="51376EAF">
      <w:pPr>
        <w:pStyle w:val="16"/>
        <w:spacing w:after="40" w:line="276" w:lineRule="auto"/>
      </w:pPr>
      <w:r>
        <w:t>legal_recall</w:t>
      </w:r>
    </w:p>
    <w:p w14:paraId="72B51463">
      <w:pPr>
        <w:pStyle w:val="16"/>
        <w:spacing w:after="40" w:line="276" w:lineRule="auto"/>
      </w:pPr>
      <w:r>
        <w:t>mono_few_boundary_drift</w:t>
      </w:r>
    </w:p>
    <w:p w14:paraId="5BFBAD45">
      <w:pPr>
        <w:pStyle w:val="16"/>
        <w:spacing w:after="40" w:line="276" w:lineRule="auto"/>
      </w:pPr>
      <w:r>
        <w:t>few_many_boundary_drift</w:t>
      </w:r>
    </w:p>
    <w:p w14:paraId="2D37EB87">
      <w:pPr>
        <w:pStyle w:val="16"/>
        <w:spacing w:after="40" w:line="276" w:lineRule="auto"/>
      </w:pPr>
      <w:r>
        <w:t>cohort_size_total</w:t>
      </w:r>
    </w:p>
    <w:p w14:paraId="46B9B39E">
      <w:pPr>
        <w:pStyle w:val="16"/>
        <w:spacing w:after="40" w:line="276" w:lineRule="auto"/>
      </w:pPr>
      <w:r>
        <w:t>cohort_size_winner</w:t>
      </w:r>
    </w:p>
    <w:p w14:paraId="305ED0BB">
      <w:pPr>
        <w:pStyle w:val="16"/>
        <w:spacing w:after="40" w:line="276" w:lineRule="auto"/>
      </w:pPr>
      <w:r>
        <w:t>cohort_size_boundary</w:t>
      </w:r>
    </w:p>
    <w:p w14:paraId="78D21167">
      <w:pPr>
        <w:pStyle w:val="16"/>
        <w:spacing w:after="40" w:line="276" w:lineRule="auto"/>
      </w:pPr>
      <w:r>
        <w:t>cohort_size_near_legality</w:t>
      </w:r>
    </w:p>
    <w:p w14:paraId="19F32DFA">
      <w:pPr>
        <w:pStyle w:val="16"/>
        <w:spacing w:after="40" w:line="276" w:lineRule="auto"/>
      </w:pPr>
      <w:r>
        <w:t>cohort_size_disagreement</w:t>
      </w:r>
    </w:p>
    <w:p w14:paraId="49C67349">
      <w:pPr>
        <w:pStyle w:val="16"/>
        <w:spacing w:after="40" w:line="276" w:lineRule="auto"/>
      </w:pPr>
      <w:r>
        <w:t>cohort_size_control</w:t>
      </w:r>
    </w:p>
    <w:p w14:paraId="77BFCCC4">
      <w:pPr>
        <w:spacing w:after="120" w:line="276" w:lineRule="auto"/>
      </w:pPr>
      <w:r>
        <w:t>router_sensitivity.csv 必须记录 semi-physical package router 在 nominal、-15%、+15% route-capacity template 下的 winner agreement、precision/recall、boundary drift 变化。</w:t>
      </w:r>
    </w:p>
    <w:p w14:paraId="074F2E7E">
      <w:pPr>
        <w:spacing w:after="120" w:line="276" w:lineRule="auto"/>
      </w:pPr>
      <w:r>
        <w:t>package_cost_ordering_check.csv 必须验证 package 成本排序在论文主 sweep 范围内保持稳定，至少覆盖：OS vs RDL vs SI、按 monolithic-equivalent area 分桶、按 process 分桶、按 node target 分桶。输出必须能支持论文中的表述：industrial package cost anchor 在主 sweep 区间内保持 OS -&gt; RDL -&gt; SI 的 ordering stability，变化主要来自 routing/legality，而不是 cost ordering 反转。</w:t>
      </w:r>
    </w:p>
    <w:p w14:paraId="2535DF3D">
      <w:pPr>
        <w:spacing w:after="120" w:line="276" w:lineRule="auto"/>
      </w:pPr>
      <w:r>
        <w:t>deployment_regime_summary.csv 必须把 paper 中的 regime 直接映射到系统含义，至少包含：serving_latency_tier、serving_throughput_tier、training_cost_pod、training_collective_heavy_pod。每类要输出推荐的 chiplet regime、优先优化杠杆（interface / package / memory / mapping）、以及触发 regime shift 的指标阈值范围。</w:t>
      </w:r>
    </w:p>
    <w:p w14:paraId="045D8228">
      <w:pPr>
        <w:pStyle w:val="4"/>
        <w:spacing w:before="200" w:after="80"/>
      </w:pPr>
      <w:r>
        <w:t>14.2 必须补齐的模型可解释性输出</w:t>
      </w:r>
    </w:p>
    <w:p w14:paraId="1F3573B7">
      <w:pPr>
        <w:spacing w:after="120" w:line="276" w:lineRule="auto"/>
      </w:pPr>
      <w:r>
        <w:t>为了对应论文中 Eq. (7), (10), (12), (15) 仍可能被 reviewer 追问的部分，你必须新增一个可导出的参数说明文件：results/aggregated/model_parameterization.json。</w:t>
      </w:r>
    </w:p>
    <w:p w14:paraId="1C306985">
      <w:pPr>
        <w:spacing w:after="120" w:line="276" w:lineRule="auto"/>
      </w:pPr>
      <w:r>
        <w:t>该文件至少要显式记录：Be(i,p) 的构成（raw interface envelope、usable bandwidth factor、serialization/utilization loss、package/topology penalty）；Gedge(p,k) 的构成（package-specific exposed perimeter、keep-out reservation、memory-edge reservation、organization-dependent edge availability）；Rbudget(p) 的构成（route-capacity template、package class richness scaling、topology penalty）；I(d) 与 P(d) 的定义（哪些 interface/package upgrade 在保持其余 state 固定时是可行的）。</w:t>
      </w:r>
    </w:p>
    <w:p w14:paraId="17525386">
      <w:pPr>
        <w:spacing w:after="120" w:line="276" w:lineRule="auto"/>
      </w:pPr>
      <w:r>
        <w:t>README 与 PAPER_MAPPING 必须明确引用这个文件，并说明论文中的符号如何对应到 artifact 中的可追溯配置与输出。</w:t>
      </w:r>
    </w:p>
    <w:p w14:paraId="1BAB8056">
      <w:pPr>
        <w:pStyle w:val="4"/>
        <w:spacing w:before="200" w:after="80"/>
      </w:pPr>
      <w:r>
        <w:t>14.3 必须新增的 README / PAPER_MAPPING / AD 同步内容</w:t>
      </w:r>
    </w:p>
    <w:p w14:paraId="5815FE9B">
      <w:pPr>
        <w:spacing w:after="120" w:line="276" w:lineRule="auto"/>
      </w:pPr>
      <w:r>
        <w:t>README、REPRODUCE、PAPER_MAPPING、AD/AE 附录必须同步新增：</w:t>
      </w:r>
    </w:p>
    <w:p w14:paraId="66FB795A">
      <w:pPr>
        <w:pStyle w:val="16"/>
        <w:spacing w:after="40" w:line="276" w:lineRule="auto"/>
      </w:pPr>
      <w:r>
        <w:t>sampled Combo-A closure cohort 的规模（paper-core = 220）与五类组成</w:t>
      </w:r>
    </w:p>
    <w:p w14:paraId="68987730">
      <w:pPr>
        <w:pStyle w:val="16"/>
        <w:spacing w:after="40" w:line="276" w:lineRule="auto"/>
      </w:pPr>
      <w:r>
        <w:t>closure_summary.csv/json 的生成命令</w:t>
      </w:r>
    </w:p>
    <w:p w14:paraId="178BAA70">
      <w:pPr>
        <w:pStyle w:val="16"/>
        <w:spacing w:after="40" w:line="276" w:lineRule="auto"/>
      </w:pPr>
      <w:r>
        <w:t>router_sensitivity.csv 的生成命令</w:t>
      </w:r>
    </w:p>
    <w:p w14:paraId="565E9326">
      <w:pPr>
        <w:pStyle w:val="16"/>
        <w:spacing w:after="40" w:line="276" w:lineRule="auto"/>
      </w:pPr>
      <w:r>
        <w:t>package_cost_ordering_check.csv 的生成命令</w:t>
      </w:r>
    </w:p>
    <w:p w14:paraId="23F71ECD">
      <w:pPr>
        <w:pStyle w:val="16"/>
        <w:spacing w:after="40" w:line="276" w:lineRule="auto"/>
      </w:pPr>
      <w:r>
        <w:t>deployment_regime_summary.csv 的生成命令</w:t>
      </w:r>
    </w:p>
    <w:p w14:paraId="756A2A09">
      <w:pPr>
        <w:pStyle w:val="16"/>
        <w:spacing w:after="40" w:line="276" w:lineRule="auto"/>
      </w:pPr>
      <w:r>
        <w:t>figure/table 到数据文件的双向映射</w:t>
      </w:r>
    </w:p>
    <w:p w14:paraId="6B0FEE35">
      <w:pPr>
        <w:pStyle w:val="4"/>
        <w:spacing w:before="200" w:after="80"/>
      </w:pPr>
      <w:r>
        <w:t>14.4 论文一致性红线（严格执行）</w:t>
      </w:r>
    </w:p>
    <w:p w14:paraId="5E5F97CF">
      <w:pPr>
        <w:pStyle w:val="16"/>
        <w:spacing w:after="40" w:line="276" w:lineRule="auto"/>
      </w:pPr>
      <w:r>
        <w:t>你不得只把 closure 数字写进论文，而不让代码产出对应 CSV/JSON。</w:t>
      </w:r>
    </w:p>
    <w:p w14:paraId="115694E4">
      <w:pPr>
        <w:pStyle w:val="16"/>
        <w:spacing w:after="40" w:line="276" w:lineRule="auto"/>
      </w:pPr>
      <w:r>
        <w:t>你不得只做 nominal router 而不做 ±15% sensitivity。</w:t>
      </w:r>
    </w:p>
    <w:p w14:paraId="2ABF75EF">
      <w:pPr>
        <w:pStyle w:val="16"/>
        <w:spacing w:after="40" w:line="276" w:lineRule="auto"/>
      </w:pPr>
      <w:r>
        <w:t>你不得只说 package 成本来自工业数据而不生成 ordering stability 检查结果。</w:t>
      </w:r>
    </w:p>
    <w:p w14:paraId="2B6D3939">
      <w:pPr>
        <w:pStyle w:val="16"/>
        <w:spacing w:after="40" w:line="276" w:lineRule="auto"/>
      </w:pPr>
      <w:r>
        <w:t>你不得只在文字里说“serving tier / training pod”，而不生成 deployment_regime_summary.csv 这样的中间产物。</w:t>
      </w:r>
    </w:p>
    <w:p w14:paraId="11E51FA3">
      <w:pPr>
        <w:pStyle w:val="16"/>
        <w:spacing w:after="40" w:line="276" w:lineRule="auto"/>
      </w:pPr>
      <w:r>
        <w:t>你必须保证 Figure 8(c)、closure table、README、AD 附录、以及聚合 CSV/JSON 四者口径一致。</w:t>
      </w:r>
    </w:p>
    <w:p w14:paraId="3388FA3F">
      <w:pPr>
        <w:pStyle w:val="4"/>
        <w:spacing w:before="200" w:after="80"/>
      </w:pPr>
      <w:r>
        <w:t>14.5 最终交付新增检查项</w:t>
      </w:r>
    </w:p>
    <w:p w14:paraId="6FEB0DBA">
      <w:pPr>
        <w:spacing w:after="120" w:line="276" w:lineRule="auto"/>
      </w:pPr>
      <w:r>
        <w:t>在原交付物之外，你最终还必须额外返回：</w:t>
      </w:r>
    </w:p>
    <w:p w14:paraId="769C8EE0">
      <w:pPr>
        <w:pStyle w:val="16"/>
        <w:spacing w:after="40" w:line="276" w:lineRule="auto"/>
      </w:pPr>
      <w:r>
        <w:t>closure_summary.csv/json 的路径与预览</w:t>
      </w:r>
    </w:p>
    <w:p w14:paraId="575DDBED">
      <w:pPr>
        <w:pStyle w:val="16"/>
        <w:spacing w:after="40" w:line="276" w:lineRule="auto"/>
      </w:pPr>
      <w:r>
        <w:t>router_sensitivity.csv 的路径与预览</w:t>
      </w:r>
    </w:p>
    <w:p w14:paraId="4CC21A21">
      <w:pPr>
        <w:pStyle w:val="16"/>
        <w:spacing w:after="40" w:line="276" w:lineRule="auto"/>
      </w:pPr>
      <w:r>
        <w:t>package_cost_ordering_check.csv 的路径与预览</w:t>
      </w:r>
    </w:p>
    <w:p w14:paraId="6958AEDA">
      <w:pPr>
        <w:pStyle w:val="16"/>
        <w:spacing w:after="40" w:line="276" w:lineRule="auto"/>
      </w:pPr>
      <w:r>
        <w:t>deployment_regime_summary.csv 的路径与预览</w:t>
      </w:r>
    </w:p>
    <w:p w14:paraId="6A6AA6DB">
      <w:pPr>
        <w:pStyle w:val="16"/>
        <w:spacing w:after="40" w:line="276" w:lineRule="auto"/>
      </w:pPr>
      <w:r>
        <w:t>model_parameterization.json 的路径与预览</w:t>
      </w:r>
    </w:p>
    <w:p w14:paraId="743E316E">
      <w:pPr>
        <w:pStyle w:val="16"/>
        <w:spacing w:after="40" w:line="276" w:lineRule="auto"/>
      </w:pPr>
      <w:r>
        <w:t>这些文件如何支撑论文中对应句子与图表的逐项说明</w:t>
      </w:r>
    </w:p>
    <w:p w14:paraId="32627D40">
      <w:pPr>
        <w:pStyle w:val="16"/>
        <w:numPr>
          <w:numId w:val="0"/>
        </w:numPr>
        <w:spacing w:after="40" w:line="276" w:lineRule="auto"/>
        <w:contextualSpacing/>
      </w:pPr>
    </w:p>
    <w:p w14:paraId="2652C901">
      <w:pPr>
        <w:pStyle w:val="4"/>
        <w:spacing w:before="200" w:after="80"/>
      </w:pPr>
      <w:r>
        <w:t>14.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t xml:space="preserve"> </w:t>
      </w:r>
      <w:r>
        <w:rPr>
          <w:lang w:val="en-US" w:eastAsia="zh-CN"/>
        </w:rPr>
        <w:t>论文最终图落地要求（必须执行</w:t>
      </w:r>
      <w:r>
        <w:rPr>
          <w:rFonts w:hint="eastAsia"/>
          <w:lang w:val="en-US" w:eastAsia="zh-CN"/>
        </w:rPr>
        <w:t>）</w:t>
      </w:r>
    </w:p>
    <w:p w14:paraId="71AC55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你必须将最终生成的论文图同时输出到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results/figures/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与论文工程使用的图目录（如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paper/figures/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或等价目录）。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每张论文主图必须使用固定文件名并与论文中的 figure number 一一对应，例如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fig3_validation.pdf/png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fig4_baselines.pdf/png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fig5_interface_memory.pdf/png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fig6_phase_map.pdf/png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fig7_pareto_energy.pdf/png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fig8_closure.pdf/png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若论文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main.tex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当前引用的不是这些最新图，你必须同步修改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main.tex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或覆盖旧图文件，保证最终编译出的论文 PDF 中使用的就是本次自动实验生成的最新图，而不是历史图。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最终回复时，必须额外给出一个 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paper_figure_manifest.json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，逐项列出：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figure_number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paper_caption_short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source_csv/json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generated_figure_path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latex_include_path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3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generation_command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若任一论文图未由自动实验结果生成，任务视为未完成。</w:t>
      </w:r>
    </w:p>
    <w:p w14:paraId="622DD5AC">
      <w:pPr>
        <w:pStyle w:val="16"/>
        <w:numPr>
          <w:numId w:val="0"/>
        </w:numPr>
        <w:spacing w:after="40" w:line="276" w:lineRule="auto"/>
        <w:contextualSpacing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80" w:right="1080" w:bottom="936" w:left="108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6EF0D">
    <w:pPr>
      <w:pStyle w:val="24"/>
      <w:jc w:val="center"/>
    </w:pPr>
    <w:r>
      <w:rPr>
        <w:rFonts w:ascii="Noto Sans CJK SC" w:hAnsi="Noto Sans CJK SC" w:eastAsia="Noto Sans CJK SC" w:cs="Noto Sans CJK SC"/>
        <w:b w:val="0"/>
        <w:i w:val="0"/>
        <w:color w:val="666666"/>
        <w:sz w:val="17"/>
        <w:lang w:val="zh-CN" w:eastAsia="zh-CN" w:bidi="ar-SA"/>
      </w:rPr>
      <w:t>提交给 Codex 的完整提示词  |  PICASSO / SC2026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919E1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76745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5C393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AA1FD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B93B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FE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赵家旺(2025311622)</cp:lastModifiedBy>
  <dcterms:modified xsi:type="dcterms:W3CDTF">2026-04-03T16:42:58Z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463A0B21EA14ED67927DCF691A998F2B_42</vt:lpwstr>
  </property>
</Properties>
</file>