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Noto Sans CJK SC" w:hAnsi="Noto Sans CJK SC" w:eastAsia="Noto Sans CJK SC"/>
          <w:b/>
          <w:color w:val="1F3752"/>
          <w:sz w:val="44"/>
        </w:rPr>
        <w:t>网络政治敏感事项相关接触与风险评估说明</w:t>
      </w:r>
    </w:p>
    <w:p>
      <w:pPr>
        <w:jc w:val="center"/>
      </w:pPr>
      <w:r>
        <w:rPr>
          <w:rFonts w:ascii="Noto Sans CJK SC" w:hAnsi="Noto Sans CJK SC" w:eastAsia="Noto Sans CJK SC"/>
          <w:color w:val="505A64"/>
          <w:sz w:val="25"/>
        </w:rPr>
        <w:t>供父母及第三方人工智能模型二次判断使用</w:t>
      </w:r>
    </w:p>
    <w:p>
      <w:pPr>
        <w:spacing w:before="320"/>
        <w:jc w:val="center"/>
      </w:pPr>
      <w:r>
        <w:rPr>
          <w:rFonts w:ascii="Noto Sans CJK SC" w:hAnsi="Noto Sans CJK SC" w:eastAsia="Noto Sans CJK SC"/>
          <w:color w:val="646464"/>
          <w:sz w:val="21"/>
        </w:rPr>
        <w:t>版本日期：2026 年 9 月 26 日</w:t>
      </w:r>
    </w:p>
    <w:tbl>
      <w:tblPr>
        <w:tblW w:type="auto" w:w="0"/>
        <w:jc w:val="center"/>
        <w:tblLook w:firstColumn="1" w:firstRow="1" w:lastColumn="0" w:lastRow="0" w:noHBand="0" w:noVBand="1" w:val="04A0"/>
      </w:tblPr>
      <w:tblGrid>
        <w:gridCol w:w="9746"/>
      </w:tblGrid>
      <w:tr>
        <w:trPr>
          <w:cantSplit/>
        </w:trPr>
        <w:tc>
          <w:tcPr>
            <w:tcW w:type="dxa" w:w="9746"/>
            <w:shd w:fill="EEF3F8"/>
            <w:tcMar>
              <w:top w:w="180" w:type="dxa"/>
              <w:start w:w="180" w:type="dxa"/>
              <w:bottom w:w="180" w:type="dxa"/>
              <w:end w:w="180" w:type="dxa"/>
            </w:tcMar>
          </w:tcPr>
          <w:p>
            <w:r>
              <w:rPr>
                <w:rFonts w:ascii="Noto Sans CJK SC" w:hAnsi="Noto Sans CJK SC" w:eastAsia="Noto Sans CJK SC"/>
                <w:b/>
                <w:color w:val="1F3752"/>
                <w:sz w:val="24"/>
              </w:rPr>
              <w:t>摘要结论</w:t>
            </w:r>
          </w:p>
          <w:p>
            <w:pPr>
              <w:pStyle w:val="ListBullet"/>
              <w:spacing w:after="40" w:line="300" w:lineRule="auto"/>
            </w:pPr>
            <w:r>
              <w:rPr>
                <w:rFonts w:ascii="Noto Sans CJK SC" w:hAnsi="Noto Sans CJK SC" w:eastAsia="Noto Sans CJK SC"/>
                <w:sz w:val="20"/>
              </w:rPr>
              <w:t>现有信息最能支持的是：当事人曾多次进入学校保卫与公安系统的政治/网络风险核查流程，相关历史核查材料很可能被留存；若未来出现新的实名网络线索，再次被核查的可能性高于从未有过相关记录的普通人员。</w:t>
            </w:r>
          </w:p>
          <w:p>
            <w:pPr>
              <w:pStyle w:val="ListBullet"/>
              <w:spacing w:after="40" w:line="300" w:lineRule="auto"/>
            </w:pPr>
            <w:r>
              <w:rPr>
                <w:rFonts w:ascii="Noto Sans CJK SC" w:hAnsi="Noto Sans CJK SC" w:eastAsia="Noto Sans CJK SC"/>
                <w:sz w:val="20"/>
              </w:rPr>
              <w:t>现有信息不足以证明：国家安全机关已经正式立案；当事人的全部国内外账号存在统一、永久的“高危”标签；当事人已经被采取不准出境措施。</w:t>
            </w:r>
          </w:p>
          <w:p>
            <w:pPr>
              <w:pStyle w:val="ListBullet"/>
              <w:spacing w:after="40" w:line="300" w:lineRule="auto"/>
            </w:pPr>
            <w:r>
              <w:rPr>
                <w:rFonts w:ascii="Noto Sans CJK SC" w:hAnsi="Noto Sans CJK SC" w:eastAsia="Noto Sans CJK SC"/>
                <w:sz w:val="20"/>
              </w:rPr>
              <w:t>截至目前，当事人自述三次接触均无传唤证、无行政处罚决定、无刑事强制措施，也无持续性后续接触。这与公开资料中已经进入正式行政处罚或刑事程序的案例存在明显程序差异。</w:t>
            </w:r>
          </w:p>
          <w:p>
            <w:pPr>
              <w:pStyle w:val="ListBullet"/>
              <w:spacing w:after="40" w:line="300" w:lineRule="auto"/>
            </w:pPr>
            <w:r>
              <w:rPr>
                <w:rFonts w:ascii="Noto Sans CJK SC" w:hAnsi="Noto Sans CJK SC" w:eastAsia="Noto Sans CJK SC"/>
                <w:sz w:val="20"/>
              </w:rPr>
              <w:t>对 2028 年留学而言，当前最需要持续观察的是是否出现新的正式法律文书、重复传唤/持续调查、行政处罚或刑事程序、不准出境通知、护照签发异常等客观信号，而不是仅凭既往谈话推断已经被“边控”。</w:t>
            </w:r>
          </w:p>
        </w:tc>
      </w:tr>
    </w:tbl>
    <w:p>
      <w:pPr>
        <w:spacing w:before="160"/>
      </w:pPr>
      <w:r>
        <w:rPr>
          <w:rFonts w:ascii="Noto Sans CJK SC" w:hAnsi="Noto Sans CJK SC" w:eastAsia="Noto Sans CJK SC"/>
          <w:b/>
          <w:color w:val="6E4628"/>
          <w:sz w:val="19"/>
        </w:rPr>
        <w:t>说明：</w:t>
      </w:r>
      <w:r>
        <w:rPr>
          <w:rFonts w:ascii="Noto Sans CJK SC" w:hAnsi="Noto Sans CJK SC" w:eastAsia="Noto Sans CJK SC"/>
          <w:color w:val="5A5A5A"/>
          <w:sz w:val="19"/>
        </w:rPr>
        <w:t>本文不是律师法律意见，也无法访问公安、国家安全机关、平台或学校的内部系统。文中对个人经历的描述均来自当事人陈述；公开资料只能用于判断程序结构和可能性，不能证明某一内部标签或秘密措施实际存在。</w:t>
      </w:r>
    </w:p>
    <w:p>
      <w:r>
        <w:br w:type="page"/>
      </w:r>
    </w:p>
    <w:p>
      <w:pPr>
        <w:pStyle w:val="Heading1"/>
      </w:pPr>
      <w:r>
        <w:t>一、当事人自述事实时间线</w:t>
      </w:r>
    </w:p>
    <w:p>
      <w:pPr>
        <w:spacing w:line="324" w:lineRule="auto" w:after="100"/>
      </w:pPr>
      <w:r>
        <w:rPr>
          <w:rFonts w:ascii="Noto Sans CJK SC" w:hAnsi="Noto Sans CJK SC" w:eastAsia="Noto Sans CJK SC"/>
          <w:i w:val="0"/>
          <w:sz w:val="21"/>
        </w:rPr>
        <w:t>以下内容仅记录已陈述的事实，不对机构动机作推断。个人身份、政治自我定位等与程序判断无直接关系的敏感信息不纳入本报告。</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1247"/>
            <w:shd w:fill="D9E5F2"/>
            <w:tcMar>
              <w:top w:w="80" w:type="dxa"/>
              <w:start w:w="80" w:type="dxa"/>
              <w:bottom w:w="80" w:type="dxa"/>
              <w:end w:w="80" w:type="dxa"/>
            </w:tcMar>
            <w:vAlign w:val="center"/>
          </w:tcPr>
          <w:p>
            <w:r>
              <w:rPr>
                <w:rFonts w:ascii="Noto Sans CJK SC" w:hAnsi="Noto Sans CJK SC" w:eastAsia="Noto Sans CJK SC"/>
                <w:b/>
                <w:color w:val="1F3752"/>
                <w:sz w:val="19"/>
              </w:rPr>
              <w:t>阶段</w:t>
            </w:r>
          </w:p>
        </w:tc>
        <w:tc>
          <w:tcPr>
            <w:tcW w:type="dxa" w:w="1928"/>
            <w:shd w:fill="D9E5F2"/>
            <w:tcMar>
              <w:top w:w="80" w:type="dxa"/>
              <w:start w:w="80" w:type="dxa"/>
              <w:bottom w:w="80" w:type="dxa"/>
              <w:end w:w="80" w:type="dxa"/>
            </w:tcMar>
            <w:vAlign w:val="center"/>
          </w:tcPr>
          <w:p>
            <w:r>
              <w:rPr>
                <w:rFonts w:ascii="Noto Sans CJK SC" w:hAnsi="Noto Sans CJK SC" w:eastAsia="Noto Sans CJK SC"/>
                <w:b/>
                <w:color w:val="1F3752"/>
                <w:sz w:val="19"/>
              </w:rPr>
              <w:t>接触主体</w:t>
            </w:r>
          </w:p>
        </w:tc>
        <w:tc>
          <w:tcPr>
            <w:tcW w:type="dxa" w:w="5102"/>
            <w:shd w:fill="D9E5F2"/>
            <w:tcMar>
              <w:top w:w="80" w:type="dxa"/>
              <w:start w:w="80" w:type="dxa"/>
              <w:bottom w:w="80" w:type="dxa"/>
              <w:end w:w="80" w:type="dxa"/>
            </w:tcMar>
            <w:vAlign w:val="center"/>
          </w:tcPr>
          <w:p>
            <w:r>
              <w:rPr>
                <w:rFonts w:ascii="Noto Sans CJK SC" w:hAnsi="Noto Sans CJK SC" w:eastAsia="Noto Sans CJK SC"/>
                <w:b/>
                <w:color w:val="1F3752"/>
                <w:sz w:val="19"/>
              </w:rPr>
              <w:t>主要经过</w:t>
            </w:r>
          </w:p>
        </w:tc>
        <w:tc>
          <w:tcPr>
            <w:tcW w:type="dxa" w:w="2268"/>
            <w:shd w:fill="D9E5F2"/>
            <w:tcMar>
              <w:top w:w="80" w:type="dxa"/>
              <w:start w:w="80" w:type="dxa"/>
              <w:bottom w:w="80" w:type="dxa"/>
              <w:end w:w="80" w:type="dxa"/>
            </w:tcMar>
            <w:vAlign w:val="center"/>
          </w:tcPr>
          <w:p>
            <w:r>
              <w:rPr>
                <w:rFonts w:ascii="Noto Sans CJK SC" w:hAnsi="Noto Sans CJK SC" w:eastAsia="Noto Sans CJK SC"/>
                <w:b/>
                <w:color w:val="1F3752"/>
                <w:sz w:val="19"/>
              </w:rPr>
              <w:t>结果/后续</w:t>
            </w:r>
          </w:p>
        </w:tc>
      </w:tr>
      <w:tr>
        <w:trPr>
          <w:cantSplit/>
        </w:trPr>
        <w:tc>
          <w:tcPr>
            <w:tcW w:type="dxa" w:w="1247"/>
            <w:tcMar>
              <w:top w:w="80" w:type="dxa"/>
              <w:start w:w="80" w:type="dxa"/>
              <w:bottom w:w="80" w:type="dxa"/>
              <w:end w:w="80" w:type="dxa"/>
            </w:tcMar>
            <w:vAlign w:val="top"/>
          </w:tcPr>
          <w:p>
            <w:pPr>
              <w:spacing w:line="276" w:lineRule="auto"/>
            </w:pPr>
            <w:r>
              <w:rPr>
                <w:rFonts w:ascii="Noto Sans CJK SC" w:hAnsi="Noto Sans CJK SC" w:eastAsia="Noto Sans CJK SC"/>
                <w:sz w:val="18"/>
              </w:rPr>
              <w:t>第一次</w:t>
            </w:r>
          </w:p>
        </w:tc>
        <w:tc>
          <w:tcPr>
            <w:tcW w:type="dxa" w:w="1928"/>
            <w:tcMar>
              <w:top w:w="80" w:type="dxa"/>
              <w:start w:w="80" w:type="dxa"/>
              <w:bottom w:w="80" w:type="dxa"/>
              <w:end w:w="80" w:type="dxa"/>
            </w:tcMar>
            <w:vAlign w:val="top"/>
          </w:tcPr>
          <w:p>
            <w:pPr>
              <w:spacing w:line="276" w:lineRule="auto"/>
            </w:pPr>
            <w:r>
              <w:rPr>
                <w:rFonts w:ascii="Noto Sans CJK SC" w:hAnsi="Noto Sans CJK SC" w:eastAsia="Noto Sans CJK SC"/>
                <w:sz w:val="18"/>
              </w:rPr>
              <w:t>四川大学保卫处</w:t>
            </w:r>
          </w:p>
        </w:tc>
        <w:tc>
          <w:tcPr>
            <w:tcW w:type="dxa" w:w="5102"/>
            <w:tcMar>
              <w:top w:w="80" w:type="dxa"/>
              <w:start w:w="80" w:type="dxa"/>
              <w:bottom w:w="80" w:type="dxa"/>
              <w:end w:w="80" w:type="dxa"/>
            </w:tcMar>
            <w:vAlign w:val="top"/>
          </w:tcPr>
          <w:p>
            <w:pPr>
              <w:spacing w:line="276" w:lineRule="auto"/>
            </w:pPr>
            <w:r>
              <w:rPr>
                <w:rFonts w:ascii="Noto Sans CJK SC" w:hAnsi="Noto Sans CJK SC" w:eastAsia="Noto Sans CJK SC"/>
                <w:sz w:val="18"/>
              </w:rPr>
              <w:t>就 Telegram 上曾出现的政治敏感言论做记录；笔录写有若干具体内容，当事人认为保卫处可能留有屏幕照片或其他材料。</w:t>
            </w:r>
          </w:p>
        </w:tc>
        <w:tc>
          <w:tcPr>
            <w:tcW w:type="dxa" w:w="2268"/>
            <w:tcMar>
              <w:top w:w="80" w:type="dxa"/>
              <w:start w:w="80" w:type="dxa"/>
              <w:bottom w:w="80" w:type="dxa"/>
              <w:end w:w="80" w:type="dxa"/>
            </w:tcMar>
            <w:vAlign w:val="top"/>
          </w:tcPr>
          <w:p>
            <w:pPr>
              <w:spacing w:line="276" w:lineRule="auto"/>
            </w:pPr>
            <w:r>
              <w:rPr>
                <w:rFonts w:ascii="Noto Sans CJK SC" w:hAnsi="Noto Sans CJK SC" w:eastAsia="Noto Sans CJK SC"/>
                <w:sz w:val="18"/>
              </w:rPr>
              <w:t>未收到公安传唤、行政处罚或学校正式处分。</w:t>
            </w:r>
          </w:p>
        </w:tc>
      </w:tr>
      <w:tr>
        <w:trPr>
          <w:cantSplit/>
        </w:trPr>
        <w:tc>
          <w:tcPr>
            <w:tcW w:type="dxa" w:w="1247"/>
            <w:tcMar>
              <w:top w:w="80" w:type="dxa"/>
              <w:start w:w="80" w:type="dxa"/>
              <w:bottom w:w="80" w:type="dxa"/>
              <w:end w:w="80" w:type="dxa"/>
            </w:tcMar>
            <w:vAlign w:val="top"/>
          </w:tcPr>
          <w:p>
            <w:pPr>
              <w:spacing w:line="276" w:lineRule="auto"/>
            </w:pPr>
            <w:r>
              <w:rPr>
                <w:rFonts w:ascii="Noto Sans CJK SC" w:hAnsi="Noto Sans CJK SC" w:eastAsia="Noto Sans CJK SC"/>
                <w:sz w:val="18"/>
              </w:rPr>
              <w:t>第二次</w:t>
            </w:r>
          </w:p>
        </w:tc>
        <w:tc>
          <w:tcPr>
            <w:tcW w:type="dxa" w:w="1928"/>
            <w:tcMar>
              <w:top w:w="80" w:type="dxa"/>
              <w:start w:w="80" w:type="dxa"/>
              <w:bottom w:w="80" w:type="dxa"/>
              <w:end w:w="80" w:type="dxa"/>
            </w:tcMar>
            <w:vAlign w:val="top"/>
          </w:tcPr>
          <w:p>
            <w:pPr>
              <w:spacing w:line="276" w:lineRule="auto"/>
            </w:pPr>
            <w:r>
              <w:rPr>
                <w:rFonts w:ascii="Noto Sans CJK SC" w:hAnsi="Noto Sans CJK SC" w:eastAsia="Noto Sans CJK SC"/>
                <w:sz w:val="18"/>
              </w:rPr>
              <w:t>自称来自“市局”的便衣人员；未见明确办案单位文书</w:t>
            </w:r>
          </w:p>
        </w:tc>
        <w:tc>
          <w:tcPr>
            <w:tcW w:type="dxa" w:w="5102"/>
            <w:tcMar>
              <w:top w:w="80" w:type="dxa"/>
              <w:start w:w="80" w:type="dxa"/>
              <w:bottom w:w="80" w:type="dxa"/>
              <w:end w:w="80" w:type="dxa"/>
            </w:tcMar>
            <w:vAlign w:val="top"/>
          </w:tcPr>
          <w:p>
            <w:pPr>
              <w:spacing w:line="276" w:lineRule="auto"/>
            </w:pPr>
            <w:r>
              <w:rPr>
                <w:rFonts w:ascii="Noto Sans CJK SC" w:hAnsi="Noto Sans CJK SC" w:eastAsia="Noto Sans CJK SC"/>
                <w:sz w:val="18"/>
              </w:rPr>
              <w:t>查看手机和电脑记录，重点排查政治风险；当事人称对方明确表示不关注其他隐私。未发现后续继续发表相关政治言论。要求当事人手写情况材料并按手印；称没有必要注销境外软件账号，并曾表示未来可能需要配合了解情况或发布内容。</w:t>
            </w:r>
          </w:p>
        </w:tc>
        <w:tc>
          <w:tcPr>
            <w:tcW w:type="dxa" w:w="2268"/>
            <w:tcMar>
              <w:top w:w="80" w:type="dxa"/>
              <w:start w:w="80" w:type="dxa"/>
              <w:bottom w:w="80" w:type="dxa"/>
              <w:end w:w="80" w:type="dxa"/>
            </w:tcMar>
            <w:vAlign w:val="top"/>
          </w:tcPr>
          <w:p>
            <w:pPr>
              <w:spacing w:line="276" w:lineRule="auto"/>
            </w:pPr>
            <w:r>
              <w:rPr>
                <w:rFonts w:ascii="Noto Sans CJK SC" w:hAnsi="Noto Sans CJK SC" w:eastAsia="Noto Sans CJK SC"/>
                <w:sz w:val="18"/>
              </w:rPr>
              <w:t>设备未被长期扣押；此后未再次联系；无传唤、无行政处理。</w:t>
            </w:r>
          </w:p>
        </w:tc>
      </w:tr>
      <w:tr>
        <w:trPr>
          <w:cantSplit/>
        </w:trPr>
        <w:tc>
          <w:tcPr>
            <w:tcW w:type="dxa" w:w="1247"/>
            <w:tcMar>
              <w:top w:w="80" w:type="dxa"/>
              <w:start w:w="80" w:type="dxa"/>
              <w:bottom w:w="80" w:type="dxa"/>
              <w:end w:w="80" w:type="dxa"/>
            </w:tcMar>
            <w:vAlign w:val="top"/>
          </w:tcPr>
          <w:p>
            <w:pPr>
              <w:spacing w:line="276" w:lineRule="auto"/>
            </w:pPr>
            <w:r>
              <w:rPr>
                <w:rFonts w:ascii="Noto Sans CJK SC" w:hAnsi="Noto Sans CJK SC" w:eastAsia="Noto Sans CJK SC"/>
                <w:sz w:val="18"/>
              </w:rPr>
              <w:t>第三次（2026年9月底）</w:t>
            </w:r>
          </w:p>
        </w:tc>
        <w:tc>
          <w:tcPr>
            <w:tcW w:type="dxa" w:w="1928"/>
            <w:tcMar>
              <w:top w:w="80" w:type="dxa"/>
              <w:start w:w="80" w:type="dxa"/>
              <w:bottom w:w="80" w:type="dxa"/>
              <w:end w:w="80" w:type="dxa"/>
            </w:tcMar>
            <w:vAlign w:val="top"/>
          </w:tcPr>
          <w:p>
            <w:pPr>
              <w:spacing w:line="276" w:lineRule="auto"/>
            </w:pPr>
            <w:r>
              <w:rPr>
                <w:rFonts w:ascii="Noto Sans CJK SC" w:hAnsi="Noto Sans CJK SC" w:eastAsia="Noto Sans CJK SC"/>
                <w:sz w:val="18"/>
              </w:rPr>
              <w:t>航都派出所</w:t>
            </w:r>
          </w:p>
        </w:tc>
        <w:tc>
          <w:tcPr>
            <w:tcW w:type="dxa" w:w="5102"/>
            <w:tcMar>
              <w:top w:w="80" w:type="dxa"/>
              <w:start w:w="80" w:type="dxa"/>
              <w:bottom w:w="80" w:type="dxa"/>
              <w:end w:w="80" w:type="dxa"/>
            </w:tcMar>
            <w:vAlign w:val="top"/>
          </w:tcPr>
          <w:p>
            <w:pPr>
              <w:spacing w:line="276" w:lineRule="auto"/>
            </w:pPr>
            <w:r>
              <w:rPr>
                <w:rFonts w:ascii="Noto Sans CJK SC" w:hAnsi="Noto Sans CJK SC" w:eastAsia="Noto Sans CJK SC"/>
                <w:sz w:val="18"/>
              </w:rPr>
              <w:t>因 QQ 群“一群臭做游戏的”出现他人政治敏感言论，被要求配合调查。办案人员称其 QQ 账号因“大数据”风险线索上报市局。记录境外账号、QQ、微信及家庭基本情况；查验手机。笔录中预印有“是否转发王洪文、姚文元日记到群聊”等具体问题。</w:t>
            </w:r>
          </w:p>
        </w:tc>
        <w:tc>
          <w:tcPr>
            <w:tcW w:type="dxa" w:w="2268"/>
            <w:tcMar>
              <w:top w:w="80" w:type="dxa"/>
              <w:start w:w="80" w:type="dxa"/>
              <w:bottom w:w="80" w:type="dxa"/>
              <w:end w:w="80" w:type="dxa"/>
            </w:tcMar>
            <w:vAlign w:val="top"/>
          </w:tcPr>
          <w:p>
            <w:pPr>
              <w:spacing w:line="276" w:lineRule="auto"/>
            </w:pPr>
            <w:r>
              <w:rPr>
                <w:rFonts w:ascii="Noto Sans CJK SC" w:hAnsi="Noto Sans CJK SC" w:eastAsia="Noto Sans CJK SC"/>
                <w:sz w:val="18"/>
              </w:rPr>
              <w:t>当事人否认本人发表相关不良言论，并拒绝确认与事实不符的声明；其称当时未登录 QQ，手机查验支持这一点。无传唤、无行政处罚或后续强制措施。</w:t>
            </w:r>
          </w:p>
        </w:tc>
      </w:tr>
    </w:tbl>
    <w:p>
      <w:pPr>
        <w:pStyle w:val="Heading1"/>
      </w:pPr>
      <w:r>
        <w:t>二、公开制度与案例能确认什么</w:t>
      </w:r>
    </w:p>
    <w:p>
      <w:pPr>
        <w:spacing w:line="324" w:lineRule="auto" w:after="100"/>
      </w:pPr>
      <w:r>
        <w:rPr>
          <w:rFonts w:ascii="Noto Sans CJK SC" w:hAnsi="Noto Sans CJK SC" w:eastAsia="Noto Sans CJK SC"/>
          <w:i w:val="0"/>
          <w:sz w:val="21"/>
        </w:rPr>
        <w:t>1. 学校保卫处具备与公安、国安协作及保存业务档案的制度职责。四川大学保卫处公开职责显示，其调研科参与维护国家安全和校园稳定、负责相关信息搜集整理和业务档案管理，并配合上级公安、国安机关开展调查、侦查等工作。[6] 因此，第一次校内记录被保存并在必要时进入协作流程，在制度上是可能的；但该公开职责不能证明某份具体材料已经移交给哪一机关。</w:t>
      </w:r>
    </w:p>
    <w:p>
      <w:pPr>
        <w:spacing w:line="324" w:lineRule="auto" w:after="100"/>
      </w:pPr>
      <w:r>
        <w:rPr>
          <w:rFonts w:ascii="Noto Sans CJK SC" w:hAnsi="Noto Sans CJK SC" w:eastAsia="Noto Sans CJK SC"/>
          <w:i w:val="0"/>
          <w:sz w:val="21"/>
        </w:rPr>
        <w:t>2. 公安机关内部本身存在负责政治安全/国内安全保卫的业务部门。地方公安机关公开的机构职责显示，国内安全保卫或政治安全保卫部门可以搜集、研判涉及社会政治稳定和国家安全的信息，并指导基层派出所开展相关工作。[11] 因此，“市局关注政治风险”不必然意味着国家安全机关（国安局）已经直接介入。</w:t>
      </w:r>
    </w:p>
    <w:p>
      <w:pPr>
        <w:spacing w:line="324" w:lineRule="auto" w:after="100"/>
      </w:pPr>
      <w:r>
        <w:rPr>
          <w:rFonts w:ascii="Noto Sans CJK SC" w:hAnsi="Noto Sans CJK SC" w:eastAsia="Noto Sans CJK SC"/>
          <w:i w:val="0"/>
          <w:sz w:val="21"/>
        </w:rPr>
        <w:t>3. “手写材料 + 按手印”并非只能出现在特殊国家安全程序中。《公安机关办理行政案件程序规定》明确允许违法嫌疑人、被侵害人或其他证人自行提供书面材料，必要时办案民警也可以要求其自行书写，并签名或捺指印；询问笔录应交本人核对，错误或遗漏应允许修改补充。[4] 因而第二次的手写材料形式本身不能用于识别办案部门。</w:t>
      </w:r>
    </w:p>
    <w:p>
      <w:pPr>
        <w:spacing w:line="324" w:lineRule="auto" w:after="100"/>
      </w:pPr>
      <w:r>
        <w:rPr>
          <w:rFonts w:ascii="Noto Sans CJK SC" w:hAnsi="Noto Sans CJK SC" w:eastAsia="Noto Sans CJK SC"/>
          <w:i w:val="0"/>
          <w:sz w:val="21"/>
        </w:rPr>
        <w:t>4. QQ/微信群组平台依法存在违法违规内容处置、保存记录和报告机制。《互联网群组信息服务管理规定》要求平台对违法违规群组及相关使用者采取措施、保存有关记录并向主管部门报告，对严重违规情形还要求建立黑名单管理制度。[5] 这可以解释“平台/系统线索 -&gt; 上级研判 -&gt; 属地核查”这一类流程，但不能证明存在一个覆盖所有平台、对个人永久生效的统一政治风险标签。</w:t>
      </w:r>
    </w:p>
    <w:p>
      <w:pPr>
        <w:spacing w:line="324" w:lineRule="auto" w:after="100"/>
      </w:pPr>
      <w:r>
        <w:rPr>
          <w:rFonts w:ascii="Noto Sans CJK SC" w:hAnsi="Noto Sans CJK SC" w:eastAsia="Noto Sans CJK SC"/>
          <w:i w:val="0"/>
          <w:sz w:val="21"/>
        </w:rPr>
        <w:t>5. 公开案例显示，网络言论案件从“约谈/核查”到“行政拘留”存在明显层级差异。淮北市一份 2024 年行政复议决定中，当事人因 QQ 群内多次发布涉政不当言论被行政拘留 5 日；该案公开材料明确出现受案登记、检查笔录、电子数据检查和提取、处罚前告知、行政处罚决定等程序。[7] 与此相比，本报告所述三次接触均未出现这些完整的正式处罚链条。</w:t>
      </w:r>
    </w:p>
    <w:p>
      <w:pPr>
        <w:spacing w:line="324" w:lineRule="auto" w:after="100"/>
      </w:pPr>
      <w:r>
        <w:rPr>
          <w:rFonts w:ascii="Noto Sans CJK SC" w:hAnsi="Noto Sans CJK SC" w:eastAsia="Noto Sans CJK SC"/>
          <w:i w:val="0"/>
          <w:sz w:val="21"/>
        </w:rPr>
        <w:t>6. 国外报道和研究说明，因关注或使用境外政治信息账号而被属地警方询问的情况确有报道。美联社 2024 年报道了部分中国境内网民因关注境外中文政治账号而被警方询问的情况。[8] 但这些报道不是总体统计，不能据此计算个人遭遇处罚或出境限制的概率。</w:t>
      </w:r>
    </w:p>
    <w:p>
      <w:pPr>
        <w:spacing w:line="324" w:lineRule="auto" w:after="100"/>
      </w:pPr>
      <w:r>
        <w:rPr>
          <w:rFonts w:ascii="Noto Sans CJK SC" w:hAnsi="Noto Sans CJK SC" w:eastAsia="Noto Sans CJK SC"/>
          <w:i w:val="0"/>
          <w:sz w:val="21"/>
        </w:rPr>
        <w:t>7. 技术研究能够证明内容监测机制存在，但不能证明“所有账号统一打标”。Citizen Lab 的研究发现，微信会对图像和文件进行服务器端内容分析，并将被识别为敏感的内容用于后续过滤机制。[9] 研究本身并不能证明公安对某一自然人的所有平台账号存在统一、永久的“高危分数”。</w:t>
      </w:r>
    </w:p>
    <w:p>
      <w:pPr>
        <w:pStyle w:val="Heading1"/>
      </w:pPr>
      <w:r>
        <w:t>三、当前风险分层判断</w:t>
      </w:r>
    </w:p>
    <w:p>
      <w:pPr>
        <w:spacing w:line="324" w:lineRule="auto" w:after="100"/>
      </w:pPr>
      <w:r>
        <w:rPr>
          <w:rFonts w:ascii="Noto Sans CJK SC" w:hAnsi="Noto Sans CJK SC" w:eastAsia="Noto Sans CJK SC"/>
          <w:i w:val="0"/>
          <w:sz w:val="21"/>
        </w:rPr>
        <w:t>下表中的“较高/中等/较低”是对现有证据强弱与现实可能性的定性判断，不是统计概率，也不是对公安内部状态的确认。</w:t>
      </w:r>
    </w:p>
    <w:tbl>
      <w:tblPr>
        <w:tblStyle w:val="TableGrid"/>
        <w:tblW w:type="auto" w:w="0"/>
        <w:jc w:val="center"/>
        <w:tblLook w:firstColumn="1" w:firstRow="1" w:lastColumn="0" w:lastRow="0" w:noHBand="0" w:noVBand="1" w:val="04A0"/>
      </w:tblPr>
      <w:tblGrid>
        <w:gridCol w:w="2436"/>
        <w:gridCol w:w="2436"/>
        <w:gridCol w:w="2436"/>
        <w:gridCol w:w="2436"/>
      </w:tblGrid>
      <w:tr>
        <w:trPr>
          <w:cantSplit/>
        </w:trPr>
        <w:tc>
          <w:tcPr>
            <w:tcW w:type="dxa" w:w="2436"/>
            <w:shd w:fill="D9E5F2"/>
            <w:tcMar>
              <w:top w:w="80" w:type="dxa"/>
              <w:start w:w="80" w:type="dxa"/>
              <w:bottom w:w="80" w:type="dxa"/>
              <w:end w:w="80" w:type="dxa"/>
            </w:tcMar>
          </w:tcPr>
          <w:p>
            <w:r>
              <w:rPr>
                <w:rFonts w:ascii="Noto Sans CJK SC" w:hAnsi="Noto Sans CJK SC" w:eastAsia="Noto Sans CJK SC"/>
                <w:b/>
                <w:color w:val="1F3752"/>
                <w:sz w:val="19"/>
              </w:rPr>
              <w:t>风险维度</w:t>
            </w:r>
          </w:p>
        </w:tc>
        <w:tc>
          <w:tcPr>
            <w:tcW w:type="dxa" w:w="2436"/>
            <w:shd w:fill="D9E5F2"/>
            <w:tcMar>
              <w:top w:w="80" w:type="dxa"/>
              <w:start w:w="80" w:type="dxa"/>
              <w:bottom w:w="80" w:type="dxa"/>
              <w:end w:w="80" w:type="dxa"/>
            </w:tcMar>
          </w:tcPr>
          <w:p>
            <w:r>
              <w:rPr>
                <w:rFonts w:ascii="Noto Sans CJK SC" w:hAnsi="Noto Sans CJK SC" w:eastAsia="Noto Sans CJK SC"/>
                <w:b/>
                <w:color w:val="1F3752"/>
                <w:sz w:val="19"/>
              </w:rPr>
              <w:t>当前判断</w:t>
            </w:r>
          </w:p>
        </w:tc>
        <w:tc>
          <w:tcPr>
            <w:tcW w:type="dxa" w:w="2436"/>
            <w:shd w:fill="D9E5F2"/>
            <w:tcMar>
              <w:top w:w="80" w:type="dxa"/>
              <w:start w:w="80" w:type="dxa"/>
              <w:bottom w:w="80" w:type="dxa"/>
              <w:end w:w="80" w:type="dxa"/>
            </w:tcMar>
          </w:tcPr>
          <w:p>
            <w:r>
              <w:rPr>
                <w:rFonts w:ascii="Noto Sans CJK SC" w:hAnsi="Noto Sans CJK SC" w:eastAsia="Noto Sans CJK SC"/>
                <w:b/>
                <w:color w:val="1F3752"/>
                <w:sz w:val="19"/>
              </w:rPr>
              <w:t>主要依据</w:t>
            </w:r>
          </w:p>
        </w:tc>
        <w:tc>
          <w:tcPr>
            <w:tcW w:type="dxa" w:w="2436"/>
            <w:shd w:fill="D9E5F2"/>
            <w:tcMar>
              <w:top w:w="80" w:type="dxa"/>
              <w:start w:w="80" w:type="dxa"/>
              <w:bottom w:w="80" w:type="dxa"/>
              <w:end w:w="80" w:type="dxa"/>
            </w:tcMar>
          </w:tcPr>
          <w:p>
            <w:r>
              <w:rPr>
                <w:rFonts w:ascii="Noto Sans CJK SC" w:hAnsi="Noto Sans CJK SC" w:eastAsia="Noto Sans CJK SC"/>
                <w:b/>
                <w:color w:val="1F3752"/>
                <w:sz w:val="19"/>
              </w:rPr>
              <w:t>什么情况会明显升级</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公安/学校留有历史核查资料</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较高</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三次接触均形成不同程度的书面或设备核查记录；学校保卫处公开职责还包括信息整理、档案管理及与公安/国安协作。[6]</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出现能够证明资料已销毁或明确更正的官方文件；否则不宜假定历史材料不存在。</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未来出现新线索时再次被核查</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中等偏高</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第三次事件显示新的 QQ 群线索可触发属地派出所核查；既往记录可能使身份关联更容易，但无法确认内部具体标签。</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反复短期内被多次通知到案、同一事项持续补充调查、设备被长期扣押等。</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当前存在行政处罚状态</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较低/目前无证据</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当事人自述无处罚前告知、行政处罚决定、罚款或拘留；公开正式处罚案例通常存在完整受案和处罚程序。[7]</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收到处罚前告知书、行政处罚决定书，或明确告知已受案并作为违法嫌疑人继续调查。</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当前存在刑事案件/刑事强制措施</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较低/目前无证据</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无刑事传唤、拘留、取保候审、扣押决定等自述事实。</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收到刑事传唤、拘留通知、取保候审决定、搜查/扣押等正式文书，或被明确告知犯罪嫌疑人身份。</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国家安全机关已正式立案介入</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无法确认，现有证据偏弱</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没有国家安全机关身份、证件、文书或明确反间谍程序。公安自身存在政治安全/国保业务部门，可解释大部分行为。[3][11]</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出现国家安全机关人员身份和法律文书，或明确依据《反间谍法》采取查阅、调取、传唤、检查、查封、扣押等措施。[3]</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全部国内外账号存在统一永久“高危”标签</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证据不足</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平台和公安存在实名关联、风险线索和记录机制，但公开资料不足以证明跨平台统一永久标签。[5][9]</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官方/平台书面告知具体风险标签、跨平台多次出现高度一致且可验证的自动处置结果等。</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2028 年留学前被限制出境</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目前无直接证据；仍存在制度性不确定性</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《出境入境管理法》第12条规定刑事被告人/犯罪嫌疑人以及有关主管部门决定的国家安全风险等不准出境情形。[1] 2026年新规原则上要求不准出境决定书面告知，但国家安全、刑事侦查等情形可例外不告知。[2]</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收到不准出境通知；成为刑事案件被告人/犯罪嫌疑人；出现国家安全主管部门正式决定；护照办理或边检出现明确异常并有机关说明。</w:t>
            </w:r>
          </w:p>
        </w:tc>
      </w:tr>
      <w:tr>
        <w:trPr>
          <w:cantSplit/>
        </w:trPr>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学校正式纪律处分/学生档案影响</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目前无正式处分证据</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现有自述仅能确认保卫处记录；当事人未收到正式校纪处分决定。</w:t>
            </w:r>
          </w:p>
        </w:tc>
        <w:tc>
          <w:tcPr>
            <w:tcW w:type="dxa" w:w="2436"/>
            <w:tcMar>
              <w:top w:w="80" w:type="dxa"/>
              <w:start w:w="80" w:type="dxa"/>
              <w:bottom w:w="80" w:type="dxa"/>
              <w:end w:w="80" w:type="dxa"/>
            </w:tcMar>
            <w:vAlign w:val="top"/>
          </w:tcPr>
          <w:p>
            <w:pPr>
              <w:spacing w:line="269" w:lineRule="auto"/>
            </w:pPr>
            <w:r>
              <w:rPr>
                <w:rFonts w:ascii="Noto Sans CJK SC" w:hAnsi="Noto Sans CJK SC" w:eastAsia="Noto Sans CJK SC"/>
                <w:sz w:val="17"/>
              </w:rPr>
              <w:t>收到学校正式处分决定、学籍/档案处理文件，或学校在政审/证明中明确引用相关材料。</w:t>
            </w:r>
          </w:p>
        </w:tc>
      </w:tr>
    </w:tbl>
    <w:p>
      <w:pPr>
        <w:pStyle w:val="Heading1"/>
      </w:pPr>
      <w:r>
        <w:t>四、最符合现有信息的行为模式</w:t>
      </w:r>
    </w:p>
    <w:p>
      <w:pPr>
        <w:spacing w:line="324" w:lineRule="auto" w:after="100"/>
      </w:pPr>
      <w:r>
        <w:rPr>
          <w:rFonts w:ascii="Noto Sans CJK SC" w:hAnsi="Noto Sans CJK SC" w:eastAsia="Noto Sans CJK SC"/>
          <w:i w:val="0"/>
          <w:sz w:val="21"/>
        </w:rPr>
        <w:t>综合三次接触及公开资料，最能解释现有事实的工作模型是：</w:t>
      </w:r>
    </w:p>
    <w:p>
      <w:pPr>
        <w:pStyle w:val="ListBullet"/>
        <w:spacing w:line="300" w:lineRule="auto" w:after="40"/>
      </w:pPr>
      <w:r>
        <w:rPr>
          <w:rFonts w:ascii="Noto Sans CJK SC" w:hAnsi="Noto Sans CJK SC" w:eastAsia="Noto Sans CJK SC"/>
          <w:sz w:val="21"/>
        </w:rPr>
        <w:t>学校或平台出现政治/网络风险线索；</w:t>
      </w:r>
    </w:p>
    <w:p>
      <w:pPr>
        <w:pStyle w:val="ListBullet"/>
        <w:spacing w:line="300" w:lineRule="auto" w:after="40"/>
      </w:pPr>
      <w:r>
        <w:rPr>
          <w:rFonts w:ascii="Noto Sans CJK SC" w:hAnsi="Noto Sans CJK SC" w:eastAsia="Noto Sans CJK SC"/>
          <w:sz w:val="21"/>
        </w:rPr>
        <w:t>学校保卫部门或公安上级业务部门先做信息收集、研判和人员关联；</w:t>
      </w:r>
    </w:p>
    <w:p>
      <w:pPr>
        <w:pStyle w:val="ListBullet"/>
        <w:spacing w:line="300" w:lineRule="auto" w:after="40"/>
      </w:pPr>
      <w:r>
        <w:rPr>
          <w:rFonts w:ascii="Noto Sans CJK SC" w:hAnsi="Noto Sans CJK SC" w:eastAsia="Noto Sans CJK SC"/>
          <w:sz w:val="21"/>
        </w:rPr>
        <w:t>市级公安相关业务部门可能对既有风险进行进一步核查，包括查看设备和后续行为；</w:t>
      </w:r>
    </w:p>
    <w:p>
      <w:pPr>
        <w:pStyle w:val="ListBullet"/>
        <w:spacing w:line="300" w:lineRule="auto" w:after="40"/>
      </w:pPr>
      <w:r>
        <w:rPr>
          <w:rFonts w:ascii="Noto Sans CJK SC" w:hAnsi="Noto Sans CJK SC" w:eastAsia="Noto Sans CJK SC"/>
          <w:sz w:val="21"/>
        </w:rPr>
        <w:t>新的具体平台线索出现后，再由属地派出所完成当次事件的见面询问、设备核查和书面记录；</w:t>
      </w:r>
    </w:p>
    <w:p>
      <w:pPr>
        <w:pStyle w:val="ListBullet"/>
        <w:spacing w:line="300" w:lineRule="auto" w:after="40"/>
      </w:pPr>
      <w:r>
        <w:rPr>
          <w:rFonts w:ascii="Noto Sans CJK SC" w:hAnsi="Noto Sans CJK SC" w:eastAsia="Noto Sans CJK SC"/>
          <w:sz w:val="21"/>
        </w:rPr>
        <w:t>若事实不足以支持违法认定，核查可能停留在记录、教育、情况掌握或内部归档层面，不必然转化为行政处罚或刑事案件。</w:t>
      </w:r>
    </w:p>
    <w:p>
      <w:pPr>
        <w:spacing w:line="324" w:lineRule="auto" w:after="100"/>
      </w:pPr>
      <w:r>
        <w:rPr>
          <w:rFonts w:ascii="Noto Sans CJK SC" w:hAnsi="Noto Sans CJK SC" w:eastAsia="Noto Sans CJK SC"/>
          <w:i w:val="0"/>
          <w:sz w:val="21"/>
        </w:rPr>
        <w:t>这个模型可以解释“市局已经掌握部分情况，但航都派出所仍重新询问”的现象：旧材料与新事件的事实对象不同，上级/专业部门负责线索研判与交办、属地单位负责本次事实核查，是公安体系中可以存在的分工方式。公开资料不足以据此认定权限发生“升级”或国安机关已经接手。</w:t>
      </w:r>
    </w:p>
    <w:p>
      <w:pPr>
        <w:pStyle w:val="Heading1"/>
      </w:pPr>
      <w:r>
        <w:t>五、对家庭最有用的“升级信号”清单</w:t>
      </w:r>
    </w:p>
    <w:p>
      <w:pPr>
        <w:spacing w:line="324" w:lineRule="auto" w:after="100"/>
      </w:pPr>
      <w:r>
        <w:rPr>
          <w:rFonts w:ascii="Noto Sans CJK SC" w:hAnsi="Noto Sans CJK SC" w:eastAsia="Noto Sans CJK SC"/>
          <w:i w:val="0"/>
          <w:sz w:val="21"/>
        </w:rPr>
        <w:t>今后判断风险，不建议依靠“便衣、普通车辆、语气严肃、问到父母”等模糊信号，而应观察下列可验证的程序变化：</w:t>
      </w:r>
    </w:p>
    <w:p>
      <w:pPr>
        <w:pStyle w:val="ListBullet"/>
        <w:spacing w:line="300" w:lineRule="auto" w:after="40"/>
      </w:pPr>
      <w:r>
        <w:rPr>
          <w:rFonts w:ascii="Noto Sans CJK SC" w:hAnsi="Noto Sans CJK SC" w:eastAsia="Noto Sans CJK SC"/>
          <w:sz w:val="21"/>
        </w:rPr>
        <w:t>出现正式传唤证、受案登记信息、处罚前告知书或行政处罚决定书；</w:t>
      </w:r>
    </w:p>
    <w:p>
      <w:pPr>
        <w:pStyle w:val="ListBullet"/>
        <w:spacing w:line="300" w:lineRule="auto" w:after="40"/>
      </w:pPr>
      <w:r>
        <w:rPr>
          <w:rFonts w:ascii="Noto Sans CJK SC" w:hAnsi="Noto Sans CJK SC" w:eastAsia="Noto Sans CJK SC"/>
          <w:sz w:val="21"/>
        </w:rPr>
        <w:t>被明确告知属于刑事案件犯罪嫌疑人，或出现刑事拘留、取保候审、搜查、扣押等法律文书；</w:t>
      </w:r>
    </w:p>
    <w:p>
      <w:pPr>
        <w:pStyle w:val="ListBullet"/>
        <w:spacing w:line="300" w:lineRule="auto" w:after="40"/>
      </w:pPr>
      <w:r>
        <w:rPr>
          <w:rFonts w:ascii="Noto Sans CJK SC" w:hAnsi="Noto Sans CJK SC" w:eastAsia="Noto Sans CJK SC"/>
          <w:sz w:val="21"/>
        </w:rPr>
        <w:t>国家安全机关人员明确出示身份和相关法律文书，并依据《反间谍法》采取调查措施；</w:t>
      </w:r>
    </w:p>
    <w:p>
      <w:pPr>
        <w:pStyle w:val="ListBullet"/>
        <w:spacing w:line="300" w:lineRule="auto" w:after="40"/>
      </w:pPr>
      <w:r>
        <w:rPr>
          <w:rFonts w:ascii="Noto Sans CJK SC" w:hAnsi="Noto Sans CJK SC" w:eastAsia="Noto Sans CJK SC"/>
          <w:sz w:val="21"/>
        </w:rPr>
        <w:t>同一事项在短期内被反复要求到案，设备长期被扣留，或被要求持续报告行踪/网络行为；</w:t>
      </w:r>
    </w:p>
    <w:p>
      <w:pPr>
        <w:pStyle w:val="ListBullet"/>
        <w:spacing w:line="300" w:lineRule="auto" w:after="40"/>
      </w:pPr>
      <w:r>
        <w:rPr>
          <w:rFonts w:ascii="Noto Sans CJK SC" w:hAnsi="Noto Sans CJK SC" w:eastAsia="Noto Sans CJK SC"/>
          <w:sz w:val="21"/>
        </w:rPr>
        <w:t>收到不准出境通知，或在护照办理、边检环节出现可由有关机关确认的限制；</w:t>
      </w:r>
    </w:p>
    <w:p>
      <w:pPr>
        <w:pStyle w:val="ListBullet"/>
        <w:spacing w:line="300" w:lineRule="auto" w:after="40"/>
      </w:pPr>
      <w:r>
        <w:rPr>
          <w:rFonts w:ascii="Noto Sans CJK SC" w:hAnsi="Noto Sans CJK SC" w:eastAsia="Noto Sans CJK SC"/>
          <w:sz w:val="21"/>
        </w:rPr>
        <w:t>学校作出正式纪律处分或在政审、档案证明中明确记载相关结论。</w:t>
      </w:r>
    </w:p>
    <w:p>
      <w:pPr>
        <w:pStyle w:val="Heading1"/>
      </w:pPr>
      <w:r>
        <w:t>六、对 2028 年留学计划的现实影响</w:t>
      </w:r>
    </w:p>
    <w:p>
      <w:pPr>
        <w:spacing w:line="324" w:lineRule="auto" w:after="100"/>
      </w:pPr>
      <w:r>
        <w:rPr>
          <w:rFonts w:ascii="Noto Sans CJK SC" w:hAnsi="Noto Sans CJK SC" w:eastAsia="Noto Sans CJK SC"/>
          <w:i w:val="0"/>
          <w:sz w:val="21"/>
        </w:rPr>
        <w:t>当前最重要的法律基准是《中华人民共和国出境入境管理法》第十二条：不准出境不是因为“曾被公安问过话”自动产生，而需要落入法定情形，例如属于刑事案件被告人、犯罪嫌疑人，或者有关主管部门基于国家安全和利益作出不准出境决定等。[1]</w:t>
      </w:r>
    </w:p>
    <w:p>
      <w:pPr>
        <w:spacing w:line="324" w:lineRule="auto" w:after="100"/>
      </w:pPr>
      <w:r>
        <w:rPr>
          <w:rFonts w:ascii="Noto Sans CJK SC" w:hAnsi="Noto Sans CJK SC" w:eastAsia="Noto Sans CJK SC"/>
          <w:i w:val="0"/>
          <w:sz w:val="21"/>
        </w:rPr>
        <w:t>2026 年 9 月 15 日起施行的《国务院关于出境入境管理的规定》进一步规定，作出不准出境决定的机关原则上应向当事人书面告知事实、理由、依据和救济途径；但可能影响国家安全、刑事侦查等情形的，可以不告知。[2] 因而“没有通知”不能做到百分之百排除秘密限制，但同样不能反向证明已经存在限制。</w:t>
      </w:r>
    </w:p>
    <w:p>
      <w:pPr>
        <w:spacing w:line="324" w:lineRule="auto" w:after="100"/>
      </w:pPr>
      <w:r>
        <w:rPr>
          <w:rFonts w:ascii="Noto Sans CJK SC" w:hAnsi="Noto Sans CJK SC" w:eastAsia="Noto Sans CJK SC"/>
          <w:i w:val="0"/>
          <w:sz w:val="21"/>
        </w:rPr>
        <w:t>就当前证据而言，对 2028 年留学最合理的表述是：存在历史核查记录带来的不确定性，但没有直接证据显示已经满足法定不准出境条件。未来若长期没有新的调查、处罚或刑事程序，这将是一个重要的事实背景；真正接近出国时间时，应再根据届时法律、护照状态及目标国家签证问题做一次重新评估。</w:t>
      </w:r>
    </w:p>
    <w:p>
      <w:pPr>
        <w:pStyle w:val="Heading1"/>
      </w:pPr>
      <w:r>
        <w:t>七、建议采取的低风险做法</w:t>
      </w:r>
    </w:p>
    <w:p>
      <w:pPr>
        <w:pStyle w:val="ListBullet"/>
        <w:spacing w:line="300" w:lineRule="auto" w:after="40"/>
      </w:pPr>
      <w:r>
        <w:rPr>
          <w:rFonts w:ascii="Noto Sans CJK SC" w:hAnsi="Noto Sans CJK SC" w:eastAsia="Noto Sans CJK SC"/>
          <w:sz w:val="21"/>
        </w:rPr>
        <w:t>保存本报告及一份私人时间线：记录每次接触的日期、地点、机构、是否出示证件、主要问题、是否检查设备、签署了什么材料、最终结果。只记录确定记得的事实，不补造原始聊天内容。</w:t>
      </w:r>
    </w:p>
    <w:p>
      <w:pPr>
        <w:pStyle w:val="ListBullet"/>
        <w:spacing w:line="300" w:lineRule="auto" w:after="40"/>
      </w:pPr>
      <w:r>
        <w:rPr>
          <w:rFonts w:ascii="Noto Sans CJK SC" w:hAnsi="Noto Sans CJK SC" w:eastAsia="Noto Sans CJK SC"/>
          <w:sz w:val="21"/>
        </w:rPr>
        <w:t>不要为了“清除痕迹”而主动销毁仍然存在的、可能帮助说明完整上下文或证明未参与某次行为的资料。历史机关材料不会因为个人注销账号自动消失。</w:t>
      </w:r>
    </w:p>
    <w:p>
      <w:pPr>
        <w:pStyle w:val="ListBullet"/>
        <w:spacing w:line="300" w:lineRule="auto" w:after="40"/>
      </w:pPr>
      <w:r>
        <w:rPr>
          <w:rFonts w:ascii="Noto Sans CJK SC" w:hAnsi="Noto Sans CJK SC" w:eastAsia="Noto Sans CJK SC"/>
          <w:sz w:val="21"/>
        </w:rPr>
        <w:t>今后如再做笔录，应逐页核对，只确认自己认为真实的内容；如记录有误，明确要求修改或补充。公安行政程序本身要求允许被询问人核对和更正笔录。[4]</w:t>
      </w:r>
    </w:p>
    <w:p>
      <w:pPr>
        <w:pStyle w:val="ListBullet"/>
        <w:spacing w:line="300" w:lineRule="auto" w:after="40"/>
      </w:pPr>
      <w:r>
        <w:rPr>
          <w:rFonts w:ascii="Noto Sans CJK SC" w:hAnsi="Noto Sans CJK SC" w:eastAsia="Noto Sans CJK SC"/>
          <w:sz w:val="21"/>
        </w:rPr>
        <w:t>不要自行揣测并主动开展所谓“配合发布”或网络调查。如果有人再次要求以个人账号实施特定网络行为，应先确认对方机关、身份、具体要求和法律依据；涉及持续性配合、设备提取或重要文书时，优先咨询中国执业律师。</w:t>
      </w:r>
    </w:p>
    <w:p>
      <w:pPr>
        <w:pStyle w:val="ListBullet"/>
        <w:spacing w:line="300" w:lineRule="auto" w:after="40"/>
      </w:pPr>
      <w:r>
        <w:rPr>
          <w:rFonts w:ascii="Noto Sans CJK SC" w:hAnsi="Noto Sans CJK SC" w:eastAsia="Noto Sans CJK SC"/>
          <w:sz w:val="21"/>
        </w:rPr>
        <w:t>临近 2028 年申请前，分别核实三件事：护照能否正常办理/换发；学校是否存在正式纪律处分；目标国签证表格是否要求披露“调查经历”还是只要求披露逮捕、指控、定罪等。三者不要混为一谈。</w:t>
      </w:r>
    </w:p>
    <w:p>
      <w:pPr>
        <w:pStyle w:val="Heading1"/>
      </w:pPr>
      <w:r>
        <w:t>八、供其他人工智能模型二次判断的提示</w:t>
      </w:r>
    </w:p>
    <w:p>
      <w:pPr>
        <w:spacing w:line="324" w:lineRule="auto" w:after="100"/>
      </w:pPr>
      <w:r>
        <w:rPr>
          <w:rFonts w:ascii="Noto Sans CJK SC" w:hAnsi="Noto Sans CJK SC" w:eastAsia="Noto Sans CJK SC"/>
          <w:i w:val="0"/>
          <w:sz w:val="21"/>
        </w:rPr>
        <w:t>建议将本报告全文交给其他模型，并要求其分别回答以下问题，而不要让模型直接给出一句“安全/危险”：</w:t>
      </w:r>
    </w:p>
    <w:p>
      <w:pPr>
        <w:pStyle w:val="ListBullet"/>
        <w:spacing w:line="300" w:lineRule="auto" w:after="40"/>
      </w:pPr>
      <w:r>
        <w:rPr>
          <w:rFonts w:ascii="Noto Sans CJK SC" w:hAnsi="Noto Sans CJK SC" w:eastAsia="Noto Sans CJK SC"/>
          <w:sz w:val="21"/>
        </w:rPr>
        <w:t>仅依据上述事实，哪些是已经确认的程序事实，哪些只是推断？</w:t>
      </w:r>
    </w:p>
    <w:p>
      <w:pPr>
        <w:pStyle w:val="ListBullet"/>
        <w:spacing w:line="300" w:lineRule="auto" w:after="40"/>
      </w:pPr>
      <w:r>
        <w:rPr>
          <w:rFonts w:ascii="Noto Sans CJK SC" w:hAnsi="Noto Sans CJK SC" w:eastAsia="Noto Sans CJK SC"/>
          <w:sz w:val="21"/>
        </w:rPr>
        <w:t>三次接触更符合行政/刑事正式办案，还是风险核查、情况了解或基层协查？请逐项说明证据。</w:t>
      </w:r>
    </w:p>
    <w:p>
      <w:pPr>
        <w:pStyle w:val="ListBullet"/>
        <w:spacing w:line="300" w:lineRule="auto" w:after="40"/>
      </w:pPr>
      <w:r>
        <w:rPr>
          <w:rFonts w:ascii="Noto Sans CJK SC" w:hAnsi="Noto Sans CJK SC" w:eastAsia="Noto Sans CJK SC"/>
          <w:sz w:val="21"/>
        </w:rPr>
        <w:t>是否存在足够证据证明国家安全机关直接介入？若没有，缺少哪些关键证据？</w:t>
      </w:r>
    </w:p>
    <w:p>
      <w:pPr>
        <w:pStyle w:val="ListBullet"/>
        <w:spacing w:line="300" w:lineRule="auto" w:after="40"/>
      </w:pPr>
      <w:r>
        <w:rPr>
          <w:rFonts w:ascii="Noto Sans CJK SC" w:hAnsi="Noto Sans CJK SC" w:eastAsia="Noto Sans CJK SC"/>
          <w:sz w:val="21"/>
        </w:rPr>
        <w:t>“QQ账号曾被系统高风险上报”能否推出其他平台账号均存在统一永久标签？请区分平台风控和公安内部信息系统。</w:t>
      </w:r>
    </w:p>
    <w:p>
      <w:pPr>
        <w:pStyle w:val="ListBullet"/>
        <w:spacing w:line="300" w:lineRule="auto" w:after="40"/>
      </w:pPr>
      <w:r>
        <w:rPr>
          <w:rFonts w:ascii="Noto Sans CJK SC" w:hAnsi="Noto Sans CJK SC" w:eastAsia="Noto Sans CJK SC"/>
          <w:sz w:val="21"/>
        </w:rPr>
        <w:t>根据现行《出境入境管理法》和 2026 年《国务院关于出境入境管理的规定》，现有事实是否已经落入明确的不准出境条件？</w:t>
      </w:r>
    </w:p>
    <w:p>
      <w:pPr>
        <w:pStyle w:val="ListBullet"/>
        <w:spacing w:line="300" w:lineRule="auto" w:after="40"/>
      </w:pPr>
      <w:r>
        <w:rPr>
          <w:rFonts w:ascii="Noto Sans CJK SC" w:hAnsi="Noto Sans CJK SC" w:eastAsia="Noto Sans CJK SC"/>
          <w:sz w:val="21"/>
        </w:rPr>
        <w:t>请列出未来哪些客观程序信号出现后，应当把风险评估上调。</w:t>
      </w:r>
    </w:p>
    <w:p>
      <w:pPr>
        <w:pStyle w:val="Heading1"/>
      </w:pPr>
      <w:r>
        <w:t>九、主要公开资料来源</w:t>
      </w:r>
    </w:p>
    <w:p>
      <w:pPr>
        <w:spacing w:after="80" w:line="276" w:lineRule="auto"/>
      </w:pPr>
      <w:r>
        <w:rPr>
          <w:rFonts w:ascii="Noto Sans CJK SC" w:hAnsi="Noto Sans CJK SC" w:eastAsia="Noto Sans CJK SC"/>
          <w:sz w:val="18"/>
        </w:rPr>
        <w:t xml:space="preserve">[1] 国家移民管理局：《中华人民共和国出境入境管理法》，第十二条。 </w:t>
      </w:r>
      <w:hyperlink r:id="rId10">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[2] 中国政府网：《国务院关于出境入境管理的规定》（国务院令第841号，2026年9月15日起施行），尤其第六条。 </w:t>
      </w:r>
      <w:hyperlink r:id="rId11">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[3] 中国人大网：《中华人民共和国反间谍法》（2023年修订），尤其第三十一至三十三条。 </w:t>
      </w:r>
      <w:hyperlink r:id="rId12">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[4] 中国政府网/公安部：《公安机关办理行政案件程序规定》，尤其询问笔录、自行书写材料和检查程序。 </w:t>
      </w:r>
      <w:hyperlink r:id="rId13">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[5] 中央网信办：《互联网群组信息服务管理规定》，尤其第十一至十三条。 </w:t>
      </w:r>
      <w:hyperlink r:id="rId14">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[6] 四川大学保卫处：《各科室工作职责》《保卫部（处）工作职责》。 </w:t>
      </w:r>
      <w:hyperlink r:id="rId15">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[7] 淮北市司法局：行政复议决定书 淮复决〔2024〕136号（QQ 群涉政不当言论行政处罚案例）。 </w:t>
      </w:r>
      <w:hyperlink r:id="rId16">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[8] Associated Press, “Two Chinese bloggers in exile warn that police are interrogating their followers” (2024). </w:t>
      </w:r>
      <w:hyperlink r:id="rId17">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[9] The Citizen Lab, “WeChat Surveillance Explained” (2020). </w:t>
      </w:r>
      <w:hyperlink r:id="rId18">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[10] Ruan, Knockel &amp; Crete-Nishihata, “Information control by public punishment: The logic of signalling repression in China”, 468 个官方公开微信处罚案例的数据研究。 </w:t>
      </w:r>
      <w:hyperlink r:id="rId19">
        <w:r>
          <w:rPr>
            <w:rFonts w:eastAsia="Noto Sans CJK SC" w:ascii="Noto Sans CJK SC" w:hAnsi="Noto Sans CJK SC"/>
            <w:color w:val="0563C1"/>
            <w:u w:val="single"/>
            <w:sz w:val="18"/>
          </w:rPr>
          <w:t>网页链接</w:t>
        </w:r>
      </w:hyperlink>
    </w:p>
    <w:p>
      <w:pPr>
        <w:spacing w:after="80" w:line="276" w:lineRule="auto"/>
      </w:pPr>
      <w:r>
        <w:rPr>
          <w:rFonts w:ascii="Noto Sans CJK SC" w:hAnsi="Noto Sans CJK SC" w:eastAsia="Noto Sans CJK SC"/>
          <w:sz w:val="18"/>
        </w:rPr>
        <w:t xml:space="preserve">[11] 地方公安机关公开机构职责示例：国内安全保卫/政治安全保卫部门负责政治安全、意识形态和国家安全相关信息研判与案件工作。 </w:t>
      </w:r>
      <w:hyperlink r:id="rId20">
        <w:r>
          <w:rPr>
            <w:rFonts w:eastAsia="Noto Sans CJK SC" w:ascii="Noto Sans CJK SC" w:hAnsi="Noto Sans CJK SC"/>
            <w:color w:val="0563C1"/>
            <w:u w:val="single"/>
            <w:sz w:val="18"/>
          </w:rPr>
          <w:t>网页链接</w:t>
        </w:r>
      </w:hyperlink>
    </w:p>
    <w:p>
      <w:pPr>
        <w:spacing w:before="200"/>
      </w:pPr>
      <w:r>
        <w:rPr>
          <w:rFonts w:ascii="Noto Sans CJK SC" w:hAnsi="Noto Sans CJK SC" w:eastAsia="Noto Sans CJK SC"/>
          <w:b/>
          <w:color w:val="1F3752"/>
          <w:sz w:val="22"/>
        </w:rPr>
        <w:t>最终判断（截至 2026-09-26）：</w:t>
      </w:r>
      <w:r>
        <w:rPr>
          <w:rFonts w:ascii="Noto Sans CJK SC" w:hAnsi="Noto Sans CJK SC" w:eastAsia="Noto Sans CJK SC"/>
          <w:sz w:val="22"/>
        </w:rPr>
        <w:t>现有证据支持“曾多次进入政治/网络风险核查流程并可能留有历史记录”；不足以支持“已被国安正式立案、所有账号被永久统一标记、或已经被限制出境”。对 2028 年留学的主要风险来自未来是否出现新的正式法律程序，而不是三次既往核查本身自动产生的出境禁令。</w:t>
      </w:r>
    </w:p>
    <w:sectPr w:rsidR="00FC693F" w:rsidRPr="0006063C" w:rsidSect="00034616">
      <w:footerReference w:type="default" r:id="rId9"/>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787878"/>
        <w:sz w:val="17"/>
      </w:rPr>
      <w:t>供家庭及第三方模型评估 · 截至 2026-09-26</w:t>
    </w:r>
    <w:r>
      <w:rPr>
        <w:rFonts w:ascii="Noto Sans CJK SC" w:hAnsi="Noto Sans CJK SC" w:eastAsia="Noto Sans CJK SC"/>
        <w:color w:val="6E6E6E"/>
        <w:sz w:val="18"/>
      </w:rPr>
      <w:t xml:space="preserve">第 </w:t>
      <w:fldChar w:fldCharType="begin"/>
      <w:instrText xml:space="preserve"> PAGE </w:instrText>
      <w:fldChar w:fldCharType="end"/>
    </w:r>
    <w:r>
      <w:rPr>
        <w:rFonts w:ascii="Noto Sans CJK SC" w:hAnsi="Noto Sans CJK SC" w:eastAsia="Noto Sans CJK SC"/>
        <w:color w:val="6E6E6E"/>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CJK SC" w:hAnsi="Noto Sans CJK SC" w:eastAsia="Noto Sans CJK SC"/>
      <w:b/>
      <w:bCs/>
      <w:color w:val="1F3752"/>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Noto Sans CJK SC" w:hAnsi="Noto Sans CJK SC" w:eastAsia="Noto Sans CJK SC"/>
      <w:b/>
      <w:bCs/>
      <w:color w:val="3B577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37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a.gov.cn/n794014/n1050181/n1050479/c1013311/content.html" TargetMode="External"/><Relationship Id="rId11" Type="http://schemas.openxmlformats.org/officeDocument/2006/relationships/hyperlink" Target="https://www.gov.cn/zhengce/content/202607/content_7077172.htm" TargetMode="External"/><Relationship Id="rId12" Type="http://schemas.openxmlformats.org/officeDocument/2006/relationships/hyperlink" Target="https://www.npc.gov.cn/npc/c2/c30834/202304/t20230426_429064.html" TargetMode="External"/><Relationship Id="rId13" Type="http://schemas.openxmlformats.org/officeDocument/2006/relationships/hyperlink" Target="https://www.gov.cn/zhengce/2021-12/25/content_5712865.htm" TargetMode="External"/><Relationship Id="rId14" Type="http://schemas.openxmlformats.org/officeDocument/2006/relationships/hyperlink" Target="https://www.cac.gov.cn/2017-09/07/c_1121623889.htm" TargetMode="External"/><Relationship Id="rId15" Type="http://schemas.openxmlformats.org/officeDocument/2006/relationships/hyperlink" Target="https://bwc.scu.edu.cn/info/1041/1491.htm" TargetMode="External"/><Relationship Id="rId16" Type="http://schemas.openxmlformats.org/officeDocument/2006/relationships/hyperlink" Target="https://sfj.huaibei.gov.cn/pfzx/yfxz/zfgs/xzfy/57812221.html" TargetMode="External"/><Relationship Id="rId17" Type="http://schemas.openxmlformats.org/officeDocument/2006/relationships/hyperlink" Target="https://apnews.com/article/f09537e94d7ff4254d57848818e91fef" TargetMode="External"/><Relationship Id="rId18" Type="http://schemas.openxmlformats.org/officeDocument/2006/relationships/hyperlink" Target="https://citizenlab.ca/research/we-chat-they-watch/wechat-surveillance-explained/" TargetMode="External"/><Relationship Id="rId19" Type="http://schemas.openxmlformats.org/officeDocument/2006/relationships/hyperlink" Target="https://journals.sagepub.com/doi/abs/10.1177/0920203X20963010" TargetMode="External"/><Relationship Id="rId20" Type="http://schemas.openxmlformats.org/officeDocument/2006/relationships/hyperlink" Target="https://www.ankang.gov.cn/Content-261496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网络政治敏感事项相关接触与风险评估说明</dc:title>
  <dc:subject>供家庭及第三方模型评估</dc:subject>
  <dc:creator>ChatGPT</dc:creator>
  <cp:keywords>风险评估, 出境, 公安核查, 网络言论, 留学</cp:keywords>
  <dc:description>generated by python-docx</dc:description>
  <cp:lastModifiedBy/>
  <cp:revision>1</cp:revision>
  <dcterms:created xsi:type="dcterms:W3CDTF">2013-12-23T23:15:00Z</dcterms:created>
  <dcterms:modified xsi:type="dcterms:W3CDTF">2013-12-23T23:15:00Z</dcterms:modified>
  <cp:category/>
</cp:coreProperties>
</file>