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从感觉描述到道德判断：</w:t>
        <w:br/>
      </w:r>
      <w:r>
        <w:t>语言抽象、利益评价与前提追溯</w:t>
      </w:r>
    </w:p>
    <w:p>
      <w:pPr>
        <w:pStyle w:val="Heading1"/>
      </w:pPr>
      <w:r>
        <w:t>摘要</w:t>
      </w:r>
    </w:p>
    <w:p>
      <w:pPr>
        <w:pStyle w:val="Abstract"/>
        <w:jc w:val="both"/>
      </w:pPr>
      <w:r>
        <w:t>相同的可见动作何以被理解为救助、排斥或侵害？这一差别既取决于感觉证据中哪些区别得到保留，也取决于解释者接入的背景、所关切的利益和采用的规范。本文提出从感觉描述、语言抽象、行为解释到利益与道德评价的分层框架，允许价值、情感和社会脚本反向塑造注意与行动。个人利益P指自身处境与体验，社会利益S指关系及身份状态，道德利益M指主体认可的价值及对他人福祉的直接关切；三者与语言抽象程度分轴，不构成高低阶梯。本文以可追溯的前提依赖连接这些环节，分别定位被省略的判别条件、未经证实的新前提与未展开的规范桥梁，进而区分事实恢复、来源核查和规范论证。有限反模型表明，同一表示若合并了目标答案不同的事件，仅凭该表示不能保证精确恢复；但抽象能够重组关系，背景能够增加信息，意义转换不能被归结为逐层删减。文学比较进一步区分说明权威失稳、证词校验封闭、规则选择困难，以及解释获得与价值安顿的分离。最后提出以概括和相关事实恢复为操纵的行为协议，检验整体框架中的一项局部机制。本文主张，可靠理解既要形成事件与价值之间的联系，也要保留检查和修正这些联系的条件。</w:t>
      </w:r>
    </w:p>
    <w:p>
      <w:pPr>
        <w:pStyle w:val="Abstract"/>
        <w:ind w:firstLine="0"/>
        <w:jc w:val="both"/>
      </w:pPr>
      <w:r/>
      <w:r>
        <w:rPr>
          <w:b/>
          <w:i w:val="0"/>
          <w:bCs w:val="1"/>
        </w:rPr>
        <w:t>关键词：</w:t>
      </w:r>
      <w:r>
        <w:t>语言抽象；前提追溯；表征压缩；社会利益；道德判断；解释失稳</w:t>
      </w:r>
    </w:p>
    <w:p>
      <w:pPr>
        <w:pStyle w:val="Heading1"/>
      </w:pPr>
      <w:r>
        <w:t>第一章 问题：一个判断包含了多少未说出的前提</w:t>
      </w:r>
    </w:p>
    <w:p>
      <w:pPr>
        <w:jc w:val="both"/>
      </w:pPr>
      <w:r>
        <w:t>甲的手接触乙的身体，乙随后向一旁移动。旁观者可以说“甲推开了乙”。若乙正站在即将坠落的重物下方，甲看见危险并为使乙避险而行动，这一动作可以被解释为救助；若甲只是阻止乙进入公共空间，它又可能构成排斥。即使救助目的已经确定，手段是否正当仍取决于危险程度、可选办法和行动者承担的责任。几乎相同的一段动作，可以进入不同的因果解释，也可以承受不同的道德评价。</w:t>
      </w:r>
    </w:p>
    <w:p>
      <w:pPr>
        <w:jc w:val="both"/>
      </w:pPr>
      <w:r>
        <w:t>这种差别提示我们区分三个问题：发生了什么，一个人正在做什么，这种行为应当怎样评价。“身体向旁边移动”已包含对象识别与变化分类；“救助”进一步连接危险、目的和受益对象；“正当的救助”还调用了必要性、比例和责任标准。日常语言善于把这些关系收束进一个词，也因此容易让结论借用观察的确定性。“我看见他推人”被接续为“我看见他侵害别人”，随后又成为“我知道他怀有恶意”。后两个判断中新增的前提，往往没有像动作本身那样受到检查。</w:t>
      </w:r>
    </w:p>
    <w:p>
      <w:pPr>
        <w:jc w:val="both"/>
      </w:pPr>
      <w:r>
        <w:t>把这种现象统称为框架效应或主观解释，还不足以回答如何纠正。若争议来自危险线索被遗漏，恢复线索可能有效；若来自证词可靠性，增加同一证人的陈述未必有效；若事实已经一致而规范不同，继续补充动作细节也无法独自完成裁决。本文的中心主张是：</w:t>
      </w:r>
      <w:r>
        <w:rPr>
          <w:b/>
          <w:i w:val="0"/>
          <w:bCs w:val="1"/>
        </w:rPr>
        <w:t>从感觉描述到道德判断的转换，包含区别的选择性保留、背景的接入与规范的运用；有效校正必须找到判断所依赖而未被充分支持的具体前提。</w:t>
      </w:r>
      <w:r/>
    </w:p>
    <w:p>
      <w:pPr>
        <w:jc w:val="both"/>
      </w:pPr>
      <w:r>
        <w:t>这里的“层”表示依赖关系。责备需要什么事实，事实又依赖哪些记录，某项记录为什么可信，这些关系可以逆向追溯。真实判断可以快速发生，可以由评价反过来引导注意，也可以在语言报告之前形成。因而，本文提出的是理论分析框架，并以形式论证、既有研究和文学细读分别检验其概念一致性、局部经验依据与解释能力。它要建立的不是一条已经测定的脑内流水线，而是一种能被反例约束的判断分析：具体指出丢了什么、添了什么，以及哪一种修正有理由改变哪一个结论。</w:t>
      </w:r>
    </w:p>
    <w:p>
      <w:pPr>
        <w:jc w:val="both"/>
      </w:pPr>
      <w:r>
        <w:t>这条论证置于一个更大的行为问题之中：有身体基础、有限信息和有限处理能力的人，怎样根据自己重视的处境、关系和价值解释世界，再通过行动与反馈调整判断。利益评价不是感觉加工结束后才出现的终点；饥饿、危险预期、归属需要或对他人的关切，都可能先改变什么显得重要。语言则使这些具体关切与可传递的事件结构相连。前提追溯为这一整体机制提供检查工具，不能代替它，更不能把整个理论缩成一次记忆恢复任务。</w:t>
      </w:r>
    </w:p>
    <w:p>
      <w:pPr>
        <w:pStyle w:val="Heading1"/>
      </w:pPr>
      <w:r>
        <w:t>第二章 选择与抽象：语言保存了什么，又组织了什么</w:t>
      </w:r>
    </w:p>
    <w:p>
      <w:pPr>
        <w:pStyle w:val="Heading2"/>
      </w:pPr>
      <w:r>
        <w:t>2.1 从事件到报告的四个对象</w:t>
      </w:r>
    </w:p>
    <w:p>
      <w:pPr>
        <w:jc w:val="both"/>
      </w:pPr>
      <w:r>
        <w:t>设外部事件为W，可获得的感觉证据为E，观察者的内部表征为Z，语言报告为R。W包含事件的实际过程，E受距离、遮挡和记录条件限制；Z受到任务、既有知识与记忆影响，R还服从表达目的和交流条件。区分四者，才能理解一个细节为什么没有出现在报告中：它可能从未进入证据，可能没有受到注意，可能被遗忘，也可能仍被记住而未被说出。这些情形产生相同的报告省略，却对应不同的解释和补救。</w:t>
      </w:r>
    </w:p>
    <w:p>
      <w:pPr>
        <w:jc w:val="both"/>
      </w:pPr>
      <w:r>
        <w:t>区分W与Z，不是赋予研究者一个脱离主体的观看位置。录像、仪器记录和第三方证词都要经过选择、解释与比较，才能进入认识。所谓客观可靠，是在多来源证据、不同方法和后续预测反馈的约束下，提高判断对实际过程的逼近程度。主体中介既不保证判断正确，也不使所有意见等价：能够经受独立核查并更好预测新情况的解释，拥有较强依据。快速自动加工和较慢的反思都属于这一过程，不以显意识逐步计算为前提。</w:t>
      </w:r>
    </w:p>
    <w:p>
      <w:pPr>
        <w:jc w:val="both"/>
      </w:pPr>
      <w:r>
        <w:t>注意在这里指部分输入或表征获得加工优先级。它可以改变辨别、观看和记忆，但最终报告本身不能唯一识别注意发生在哪一步。例如，某人没有提到坠落的重物，研究者不能据此断定他没有看见；应当进一步区分再认、回忆和报告选择。对判断的分析可以从现有报告着手，对心理过程的识别则需要与过程对应的证据。</w:t>
      </w:r>
    </w:p>
    <w:p>
      <w:pPr>
        <w:jc w:val="both"/>
      </w:pPr>
      <w:r>
        <w:t>“压缩”“抽象”“符号化”和“整合”承担不同作用。本文在表示层面使用“压缩”：原先可区分的若干输入被映到同一状态。抽象是形成可跨实例使用的关系结构，例如把不同身体之间的接触和位移识别为“推开”。符号化使这种结构能够通过词语被调用，整合则把当前片段之外的信息接入解释。一个“救助”概念既略去了衣服颜色，也加入了行动与受益者之间的关系；若没有危险和目的依据，这种关系便可能只是推断。把四种操作统称为信息删除，会遗漏意义生成中最需要审查的部分。</w:t>
      </w:r>
    </w:p>
    <w:p>
      <w:pPr>
        <w:jc w:val="both"/>
      </w:pPr>
      <w:r>
        <w:t>抽象还可以提高推理的可用性。一组逐帧位置记录包含大量细节，却未必方便人比较两次行动是否属于同一类型；“甲使乙离开危险位置”显露了可以迁移到新情境的关系。这里的收益是关系变得可调用，不是从同一输入中凭空创造事实。表达更短、结构更一般、事实更充分，因而是三个独立的评价维度。</w:t>
      </w:r>
    </w:p>
    <w:p>
      <w:pPr>
        <w:pStyle w:val="Heading2"/>
      </w:pPr>
      <w:r>
        <w:t>2.2 哪些区别应当保留</w:t>
      </w:r>
    </w:p>
    <w:p>
      <w:pPr>
        <w:jc w:val="both"/>
      </w:pPr>
      <w:r>
        <w:t>区别是否重要，总是相对于问题而言。判断是否发生接触时，衣服颜色可以无关；辨认是谁接触了谁时，颜色可能是唯一的身份线索。当前任务可省略的特征，在任务改变后可能成为决定性条件。要求任何表示保存世界的全部细节既不现实，也没有明确的评价标准；合理要求是说明当前表示能够回答什么，并在问题改变后重新检查它的充分性。</w:t>
      </w:r>
    </w:p>
    <w:p>
      <w:pPr>
        <w:jc w:val="both"/>
      </w:pPr>
      <w:r>
        <w:t>信息瓶颈方法把这一任务依赖性形式化：在给定分布和目标变量的条件下，权衡表示复杂度与目标相关信息的保留（Tishby等，1999/2000）。这一思想有助于辨认“有效压缩”中的“有效”究竟指向什么。例如，“甲推开乙”对于动作分类可以足够，对于识别目的却可能不足。两种评价并不矛盾，问题变化了，相关区别也变化了。</w:t>
      </w:r>
    </w:p>
    <w:p>
      <w:pPr>
        <w:jc w:val="both"/>
      </w:pPr>
      <w:r>
        <w:t>尤其需要区分“当前未报告”和“整个系统不可得”。人可以重新观看录像、查询其他记录或调用未被说出的记忆。如果新任务恢复了被省略的危险条件，后来判断的改善便包含重新取证，而非仅靠分析原来四个字就恢复了全部情境。一个可校正的系统不必让每个摘要都容纳全部前提，却要能在摘要不足时返回证据。</w:t>
      </w:r>
    </w:p>
    <w:p>
      <w:pPr>
        <w:pStyle w:val="Heading2"/>
      </w:pPr>
      <w:r>
        <w:t>2.3 语言的组织与反馈</w:t>
      </w:r>
    </w:p>
    <w:p>
      <w:pPr>
        <w:jc w:val="both"/>
      </w:pPr>
      <w:r>
        <w:t>“手接触身体”“身体向一旁移动”相对接近可逐项核查的对象、位置和时序。它们不是无概念的感觉摹本，但比“侵害”较少预置目的和道德性质。采用较低承诺的描述，其作用在于让尚未确定的解释保持开放，而非宣称观察可以完全摆脱分类。</w:t>
      </w:r>
    </w:p>
    <w:p>
      <w:pPr>
        <w:jc w:val="both"/>
      </w:pPr>
      <w:r>
        <w:t>语言也会反过来安排后续注意。一个对象被命名之后，观察者可能更容易从杂乱信息中找到它；一个行为被称为“刁难”之后，重复要求、语气和身份关系可能变得格外显眼。Lupyan与Ward（2013）在连续闪烁抑制任务中发现语言线索与对象检测表现发生交互，为语言和视觉任务之间的反馈提供了经验入口。该结果涉及检测及可报告性，尚不足以把反馈定位为全部早期视觉的改写。</w:t>
      </w:r>
    </w:p>
    <w:p>
      <w:pPr>
        <w:jc w:val="both"/>
      </w:pPr>
      <w:r>
        <w:t>语言并非所有复杂思维的必要载体。严重语法障碍者仍可能保有相当的数学能力（Varley等，2005），关于语言主要服务交流的综述也要求区分语言网络与其他认知活动（Fedorenko等，2024）。本文所考察的是语言如何组织并传递某些区别，特别是如何把一个需要多项前提的判断封装为可反复使用的名称。声音、节奏和姿态同样可能打断这种封装。阿尔托关于戏剧触动感受与神经的纲领，以及其对身体摆脱自动反应的书写，提示了身体经验对既有命名的反向力量（Artaud，1958；无日期）。这条思想线索将在第六章与边界经验相接。</w:t>
      </w:r>
    </w:p>
    <w:p>
      <w:pPr>
        <w:pStyle w:val="Heading2"/>
      </w:pPr>
      <w:r>
        <w:t>2.4 现有研究支持到哪里</w:t>
      </w:r>
    </w:p>
    <w:p>
      <w:pPr>
        <w:jc w:val="both"/>
      </w:pPr>
      <w:r>
        <w:t>几类相关研究分别揭示了表征的选择性，却测量着不同对象。Mack等（2020）发现，同一刺激在不同概念学习任务中呈现任务相关的神经活动模式维度变化，并与模型估计的选择性注意相关。Zaslavsky等（2018）则发现，颜色命名系统与特定复杂度—交流准确性权衡模型相容。前者涉及学习中的神经模式，后者涉及语言共同体的词汇编码；二者为任务相关组织提供局部依据，不构成同一种在线压缩率。</w:t>
      </w:r>
    </w:p>
    <w:p>
      <w:pPr>
        <w:jc w:val="both"/>
      </w:pPr>
      <w:r>
        <w:t>同样，Zheng与Meister（2025）提出的约十比特每秒，是基于若干任务表现的行为信息使用量级讨论。行为信息率、神经模式维数和词汇编码互信息不能直接换算。本文据这些研究确立一个有限而明确的起点：被保留和被调用的信息受任务及表示方式约束；从这一点进入社会判断，还必须把新接入的背景、目标与规范逐项展开。</w:t>
      </w:r>
    </w:p>
    <w:p>
      <w:pPr>
        <w:pStyle w:val="Heading1"/>
      </w:pPr>
      <w:r>
        <w:t>第三章 前提追溯：从表示充分性到有针对性的校正</w:t>
      </w:r>
    </w:p>
    <w:p>
      <w:pPr>
        <w:pStyle w:val="Heading2"/>
      </w:pPr>
      <w:r>
        <w:t>3.1 同一标签不能自行恢复不同答案</w:t>
      </w:r>
    </w:p>
    <w:p>
      <w:pPr>
        <w:jc w:val="both"/>
      </w:pPr>
      <w:r>
        <w:t>设事件一中，甲看见坠落的重物，为使乙避险而推开乙；事件二中，甲没有该信息，推开乙只是为了占据位置。这里把目的作为构造条件明确给定。若两事件都被记录为“甲推开乙”，则只接收这条标签的程序无法保证分别恢复两种目的：相同输入只能被确定性程序映为相同输出，而正确答案要求不同。附录一给出一般形式及随机解码的对应限制。</w:t>
      </w:r>
    </w:p>
    <w:p>
      <w:pPr>
        <w:jc w:val="both"/>
      </w:pPr>
      <w:r>
        <w:t>这一结果界定了问题，并没有替人类行为给出答案。真实观察者可能保留了标签之外的记忆，因而正确区分两事件；也可能重新取证。形式命题说的是，仅依赖已发生碰撞的表示，无法保证精确恢复固定目标答案。它不推出所有人都会犯错，更不推出错误率、遗忘速度或即时判断效果。</w:t>
      </w:r>
    </w:p>
    <w:p>
      <w:pPr>
        <w:jc w:val="both"/>
      </w:pPr>
      <w:r>
        <w:t>这一限制也不意味着高层理解只能越来越少。令当前表征为Zₖ，新接入背景为Cₖ，当前问题为G，可写为：</w:t>
      </w:r>
    </w:p>
    <w:p>
      <w:pPr>
        <w:pStyle w:val="EquationText"/>
        <w:jc w:val="left"/>
      </w:pPr>
      <m:oMath>
        <m:r>
          <m:t>Zₖ₊₁ = Fₖ(Zₖ, Cₖ, G)。</m:t>
        </m:r>
      </m:oMath>
    </w:p>
    <w:p>
      <w:pPr>
        <w:jc w:val="both"/>
      </w:pPr>
      <w:r>
        <w:t>Cₖ可能来自其他记录、行动者自述、长期知识或暂时假设。它能够提高解释能力，也可能把错误带入解释。附录二说明，数据处理不等式只约束满足指定条件独立关系的信息链；后一环节若接收新的相关背景，就应把该背景计入输入。抽象重组结构，整合接入信息，推断建立联系，三者共同参与意义转换。</w:t>
      </w:r>
    </w:p>
    <w:p>
      <w:pPr>
        <w:pStyle w:val="Heading2"/>
      </w:pPr>
      <w:r>
        <w:t>3.2 追溯的是论证依赖</w:t>
      </w:r>
    </w:p>
    <w:p>
      <w:pPr>
        <w:jc w:val="both"/>
      </w:pPr>
      <w:r>
        <w:t>一个判断的前提可追溯，是指能够说明：哪些差别被保留，哪些背景在何处接入，结论运用了什么推理或规范，以及各项依据来自何处。这不是要求报告完整的神经加工史，也不是要求每次日常判断都先列清单，而是为有争议的判断保留展开的可能。</w:t>
      </w:r>
    </w:p>
    <w:p>
      <w:pPr>
        <w:jc w:val="both"/>
      </w:pPr>
      <w:r>
        <w:t>对“甲的行为是正当救助”而言，动作记录只支持甲与乙发生了特定接触；危险证据支持乙面临何种风险；甲当时可知的信息支持目的或预见性的推断；替代手段和相关规范共同支持正当性评价。各项依据可以来自不同来源，可靠程度也可以不同。追溯的关键是使这种差别可见，避免把“已有录像”误写成“所有必要前提都已证实”。</w:t>
      </w:r>
    </w:p>
    <w:p>
      <w:pPr>
        <w:jc w:val="both"/>
      </w:pPr>
      <w:r>
        <w:t>判断链可按下表展开。表中层次是依赖结构，各环节允许反馈。</w:t>
      </w:r>
    </w:p>
    <w:tbl>
      <w:tblPr>
        <w:tblW w:type="auto" w:w="0"/>
        <w:jc w:val="center"/>
        <w:tblLayout w:type="fixed"/>
        <w:tblLook w:firstColumn="1" w:firstRow="1" w:lastColumn="0" w:lastRow="0" w:noHBand="0" w:noVBand="1" w:val="04A0"/>
      </w:tblPr>
      <w:tblGrid>
        <w:gridCol w:w="1405"/>
        <w:gridCol w:w="2056"/>
        <w:gridCol w:w="2331"/>
        <w:gridCol w:w="1577"/>
        <w:gridCol w:w="1645"/>
      </w:tblGrid>
      <w:tr>
        <w:trPr>
          <w:cantSplit/>
          <w:tblHeader/>
        </w:trPr>
        <w:tc>
          <w:tcPr>
            <w:tcW w:type="dxa" w:w="140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DEDED"/>
          </w:tcPr>
          <w:p>
            <w:pPr>
              <w:pStyle w:val="TableText"/>
              <w:keepNext/>
            </w:pPr>
            <w:r>
              <w:rPr>
                <w:b/>
                <w:bCs w:val="1"/>
              </w:rPr>
              <w:t>当前问题</w:t>
            </w:r>
          </w:p>
        </w:tc>
        <w:tc>
          <w:tcPr>
            <w:tcW w:type="dxa" w:w="2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DEDED"/>
          </w:tcPr>
          <w:p>
            <w:pPr>
              <w:pStyle w:val="TableText"/>
              <w:keepNext/>
            </w:pPr>
            <w:r>
              <w:rPr>
                <w:b/>
                <w:bCs w:val="1"/>
              </w:rPr>
              <w:t>需保留的区别</w:t>
            </w:r>
          </w:p>
        </w:tc>
        <w:tc>
          <w:tcPr>
            <w:tcW w:type="dxa" w:w="23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DEDED"/>
          </w:tcPr>
          <w:p>
            <w:pPr>
              <w:pStyle w:val="TableText"/>
              <w:keepNext/>
            </w:pPr>
            <w:r>
              <w:rPr>
                <w:b/>
                <w:bCs w:val="1"/>
              </w:rPr>
              <w:t>通常新接入的前提</w:t>
            </w:r>
          </w:p>
        </w:tc>
        <w:tc>
          <w:tcPr>
            <w:tcW w:type="dxa" w:w="15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DEDED"/>
          </w:tcPr>
          <w:p>
            <w:pPr>
              <w:pStyle w:val="TableText"/>
              <w:keepNext/>
            </w:pPr>
            <w:r>
              <w:rPr>
                <w:b/>
                <w:bCs w:val="1"/>
              </w:rPr>
              <w:t>结论形式</w:t>
            </w:r>
          </w:p>
        </w:tc>
        <w:tc>
          <w:tcPr>
            <w:tcW w:type="dxa" w:w="164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DEDED"/>
          </w:tcPr>
          <w:p>
            <w:pPr>
              <w:pStyle w:val="TableText"/>
              <w:keepNext/>
            </w:pPr>
            <w:r>
              <w:rPr>
                <w:b/>
                <w:bCs w:val="1"/>
              </w:rPr>
              <w:t>优先核查的位置</w:t>
            </w:r>
          </w:p>
        </w:tc>
      </w:tr>
      <w:tr>
        <w:trPr>
          <w:cantSplit/>
        </w:trPr>
        <w:tc>
          <w:tcPr>
            <w:tcW w:type="dxa" w:w="140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发生了什么变化</w:t>
            </w:r>
          </w:p>
        </w:tc>
        <w:tc>
          <w:tcPr>
            <w:tcW w:type="dxa" w:w="2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对象、位置、接触、先后</w:t>
            </w:r>
          </w:p>
        </w:tc>
        <w:tc>
          <w:tcPr>
            <w:tcW w:type="dxa" w:w="23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观察条件、对象分类</w:t>
            </w:r>
          </w:p>
        </w:tc>
        <w:tc>
          <w:tcPr>
            <w:tcW w:type="dxa" w:w="15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接触和位移描述</w:t>
            </w:r>
          </w:p>
        </w:tc>
        <w:tc>
          <w:tcPr>
            <w:tcW w:type="dxa" w:w="164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原始记录与遮挡</w:t>
            </w:r>
          </w:p>
        </w:tc>
      </w:tr>
      <w:tr>
        <w:trPr>
          <w:cantSplit/>
        </w:trPr>
        <w:tc>
          <w:tcPr>
            <w:tcW w:type="dxa" w:w="140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这是什么行动</w:t>
            </w:r>
          </w:p>
        </w:tc>
        <w:tc>
          <w:tcPr>
            <w:tcW w:type="dxa" w:w="2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行动者、受影响者、事件边界</w:t>
            </w:r>
          </w:p>
        </w:tc>
        <w:tc>
          <w:tcPr>
            <w:tcW w:type="dxa" w:w="23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因果关系、当时知识、目的线索</w:t>
            </w:r>
          </w:p>
        </w:tc>
        <w:tc>
          <w:tcPr>
            <w:tcW w:type="dxa" w:w="15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救助、排斥或信息不足</w:t>
            </w:r>
          </w:p>
        </w:tc>
        <w:tc>
          <w:tcPr>
            <w:tcW w:type="dxa" w:w="164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同期情境与替代解释</w:t>
            </w:r>
          </w:p>
        </w:tc>
      </w:tr>
      <w:tr>
        <w:trPr>
          <w:cantSplit/>
        </w:trPr>
        <w:tc>
          <w:tcPr>
            <w:tcW w:type="dxa" w:w="140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改变了谁的处境</w:t>
            </w:r>
          </w:p>
        </w:tc>
        <w:tc>
          <w:tcPr>
            <w:tcW w:type="dxa" w:w="2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影响对象、维度和时段</w:t>
            </w:r>
          </w:p>
        </w:tc>
        <w:tc>
          <w:tcPr>
            <w:tcW w:type="dxa" w:w="23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比较基线、可行替代、后续结果</w:t>
            </w:r>
          </w:p>
        </w:tc>
        <w:tc>
          <w:tcPr>
            <w:tcW w:type="dxa" w:w="15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利益变化</w:t>
            </w:r>
          </w:p>
        </w:tc>
        <w:tc>
          <w:tcPr>
            <w:tcW w:type="dxa" w:w="164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基线及结果记录</w:t>
            </w:r>
          </w:p>
        </w:tc>
      </w:tr>
      <w:tr>
        <w:trPr>
          <w:cantSplit/>
        </w:trPr>
        <w:tc>
          <w:tcPr>
            <w:tcW w:type="dxa" w:w="140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行动应如何评价</w:t>
            </w:r>
          </w:p>
        </w:tc>
        <w:tc>
          <w:tcPr>
            <w:tcW w:type="dxa" w:w="2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行为、后果和选择条件</w:t>
            </w:r>
          </w:p>
        </w:tc>
        <w:tc>
          <w:tcPr>
            <w:tcW w:type="dxa" w:w="23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规范、权限、义务、责任标准</w:t>
            </w:r>
          </w:p>
        </w:tc>
        <w:tc>
          <w:tcPr>
            <w:tcW w:type="dxa" w:w="15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正当性、责备或惩罚判断</w:t>
            </w:r>
          </w:p>
        </w:tc>
        <w:tc>
          <w:tcPr>
            <w:tcW w:type="dxa" w:w="164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规范理由及适用条件</w:t>
            </w:r>
          </w:p>
        </w:tc>
      </w:tr>
      <w:tr>
        <w:trPr>
          <w:cantSplit/>
        </w:trPr>
        <w:tc>
          <w:tcPr>
            <w:tcW w:type="dxa" w:w="140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当前解释能否继续采用</w:t>
            </w:r>
          </w:p>
        </w:tc>
        <w:tc>
          <w:tcPr>
            <w:tcW w:type="dxa" w:w="2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对证据有区分力的预测</w:t>
            </w:r>
          </w:p>
        </w:tc>
        <w:tc>
          <w:tcPr>
            <w:tcW w:type="dxa" w:w="23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来源可信性、修正规则</w:t>
            </w:r>
          </w:p>
        </w:tc>
        <w:tc>
          <w:tcPr>
            <w:tcW w:type="dxa" w:w="15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维持、修正或暂缓判断</w:t>
            </w:r>
          </w:p>
        </w:tc>
        <w:tc>
          <w:tcPr>
            <w:tcW w:type="dxa" w:w="164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能使解释改变的证据</w:t>
            </w:r>
          </w:p>
        </w:tc>
      </w:tr>
    </w:tbl>
    <w:p>
      <w:pPr>
        <w:jc w:val="both"/>
      </w:pPr>
      <w:r>
        <w:t>要确认一项省略是否值得追查，可以构造对照：其余相关条件保持不变，只改变候选前提，目标答案是否随之改变？在规则已经指定的任务中，这可以形成明确的判别材料；在开放的道德争论中，答案可能随规范改变，因而应同时列明规范。若一种概括把这些目标答案不同的情形合并，它便不足以独立支持该目标判断。这里识别的是论证上的缺口，不是由分析者直接宣布某项心理过程已经发生。</w:t>
      </w:r>
    </w:p>
    <w:p>
      <w:pPr>
        <w:jc w:val="both"/>
      </w:pPr>
      <w:r>
        <w:t>新前提也需要标注地位。直接可见的动作、别人报告的危险、根据行为推测的目的和本人赞同的规范，不能被装进同一种“背景”后失去区分。特别是推断性前提：它可以暂时采用，但必须允许竞争解释，并且不能在下一步被无声地升级为已观察事实。一个判断越简洁，越依赖这种来源与地位的区分。</w:t>
      </w:r>
    </w:p>
    <w:p>
      <w:pPr>
        <w:pStyle w:val="Heading2"/>
      </w:pPr>
      <w:r>
        <w:t>3.3 不同缺口要求不同校正</w:t>
      </w:r>
    </w:p>
    <w:p>
      <w:pPr>
        <w:jc w:val="both"/>
      </w:pPr>
      <w:r>
        <w:t>前提追溯的价值，在于把“再想一想”转成有方向的修正。首先是</w:t>
      </w:r>
      <w:r>
        <w:rPr>
          <w:b/>
          <w:i w:val="0"/>
          <w:bCs w:val="1"/>
        </w:rPr>
        <w:t>遗漏的恢复</w:t>
      </w:r>
      <w:r>
        <w:t>。若完整材料中已经存在规则适用条件，而概括没有保留，恢复该条件可以重新区分被合并的情形。其次是</w:t>
      </w:r>
      <w:r>
        <w:rPr>
          <w:b/>
          <w:i w:val="0"/>
          <w:bCs w:val="1"/>
        </w:rPr>
        <w:t>补入前提的核查</w:t>
      </w:r>
      <w:r>
        <w:t>。若观察者从“甲最终获益”补入“甲预先以此为目的”，应查当时信息与行为过程，重复展示最终收益不会补足这一步。再次是</w:t>
      </w:r>
      <w:r>
        <w:rPr>
          <w:b/>
          <w:i w:val="0"/>
          <w:bCs w:val="1"/>
        </w:rPr>
        <w:t>规范桥梁的论证</w:t>
      </w:r>
      <w:r>
        <w:t>。若双方对事实一致，却分别优先考虑总收益与平等，争论就须进入规则及理由。</w:t>
      </w:r>
    </w:p>
    <w:p>
      <w:pPr>
        <w:jc w:val="both"/>
      </w:pPr>
      <w:r>
        <w:t>还有一种更深的缺口：解释选择的标准本身不能接受外部校验。某人把赞同解释为忠诚，把质疑解释为敌意，又把反证解释为敌人掩饰，那么新增材料可能只被吸收为同一结论。此时缺少的不是故事细节，而是能够区分解释真假的证据条件。修正应先恢复来源比较、反例和撤回结论的标准。第六章将通过文学构造分析这种困难。</w:t>
      </w:r>
    </w:p>
    <w:p>
      <w:pPr>
        <w:jc w:val="both"/>
      </w:pPr>
      <w:r>
        <w:t>有针对性的校正并不等于总能得到唯一答案。记录已经遗失时，可以把目的判断从确定改为未定；规范冲突尚未解决时，可以保留事实结论而暂停总体赞否。这样的改变同样减少了不受支持的承诺。把“信息不足”保留为合法结果，是防止追溯程序沦为另一种强制归因的必要条件。</w:t>
      </w:r>
    </w:p>
    <w:p>
      <w:pPr>
        <w:jc w:val="both"/>
      </w:pPr>
      <w:r>
        <w:t>指出缺口，也不保证当事人立即愿意公开改判。一项判断可能与关系身份、声誉和其他核心价值相连，承认错误还可能带来现实代价。因此，应区分私人可信度、公开表态与实际行动；必要时同时考察反证质量、承认错误的关系代价和可接受的替代解释。解释修改的代价不决定事实真假，却可能影响纠错过程。它把前提核查重新接回利益与制度，而不是让论证程序悬置于行动之外。</w:t>
      </w:r>
    </w:p>
    <w:p>
      <w:pPr>
        <w:pStyle w:val="Heading2"/>
      </w:pPr>
      <w:r>
        <w:t>3.4 本框架增加了什么</w:t>
      </w:r>
    </w:p>
    <w:p>
      <w:pPr>
        <w:jc w:val="both"/>
      </w:pPr>
      <w:r>
        <w:t>“背景影响判断”本身并非新发现。本文进一步要求把这种影响落实为可对照的依赖：某一条件改变什么答案，当前表示是否保存它，恢复它是否比无关提醒更能校正对应判断。其分析增量是把表征选择、前提来源和规范适用放入同一张依赖图；经验增量则须由有针对性的干预建立，而不能仅凭提出概念获得。</w:t>
      </w:r>
    </w:p>
    <w:p>
      <w:pPr>
        <w:jc w:val="both"/>
      </w:pPr>
      <w:r>
        <w:t>这也给理论设置了收缩条件。若不同概括之间的差异完全由一般记忆负荷解释，相关条件恢复没有额外作用，经验结论就应停留在一般记忆支持。若某项分歧在事实恢复之后仍存在，则应继续区分规范差异与其他未核前提，而非坚持把所有分歧解释为压缩失真。前提追溯提供的是定位问题的方法，其解释力取决于能否找到有区分力的材料。</w:t>
      </w:r>
    </w:p>
    <w:p>
      <w:pPr>
        <w:pStyle w:val="Heading1"/>
      </w:pPr>
      <w:r>
        <w:t>第四章 利益评价：自身体验、关系身份与所认可的价值</w:t>
      </w:r>
    </w:p>
    <w:p>
      <w:pPr>
        <w:pStyle w:val="Heading2"/>
      </w:pPr>
      <w:r>
        <w:t>4.1 先辨利益对象，再比较后果</w:t>
      </w:r>
    </w:p>
    <w:p>
      <w:pPr>
        <w:jc w:val="both"/>
      </w:pPr>
      <w:r>
        <w:t>一个动作被识别为某人的行动之后，问题转向它改变了谁的处境，以及这些改变为什么对当事人重要。本文保留个人利益P、社会利益S与道德利益M的分类，但分类单位是具体情境中所重视的结果和理由，而不是把一个人或一次行动整体塞进某一类别。为使三类保持区分，采用下列工作边界。</w:t>
      </w:r>
    </w:p>
    <w:tbl>
      <w:tblPr>
        <w:tblW w:type="auto" w:w="0"/>
        <w:jc w:val="center"/>
        <w:tblLayout w:type="fixed"/>
        <w:tblLook w:firstColumn="1" w:firstRow="1" w:lastColumn="0" w:lastRow="0" w:noHBand="0" w:noVBand="1" w:val="04A0"/>
      </w:tblPr>
      <w:tblGrid>
        <w:gridCol w:w="827"/>
        <w:gridCol w:w="2605"/>
        <w:gridCol w:w="3060"/>
        <w:gridCol w:w="2522"/>
      </w:tblGrid>
      <w:tr>
        <w:trPr>
          <w:cantSplit/>
          <w:tblHeader/>
        </w:trPr>
        <w:tc>
          <w:tcPr>
            <w:tcW w:type="dxa" w:w="8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DEDED"/>
          </w:tcPr>
          <w:p>
            <w:pPr>
              <w:pStyle w:val="TableText"/>
              <w:keepNext/>
            </w:pPr>
            <w:r>
              <w:rPr>
                <w:b/>
                <w:bCs w:val="1"/>
              </w:rPr>
              <w:t>类别</w:t>
            </w:r>
          </w:p>
        </w:tc>
        <w:tc>
          <w:tcPr>
            <w:tcW w:type="dxa" w:w="260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DEDED"/>
          </w:tcPr>
          <w:p>
            <w:pPr>
              <w:pStyle w:val="TableText"/>
              <w:keepNext/>
            </w:pPr>
            <w:r>
              <w:rPr>
                <w:b/>
                <w:bCs w:val="1"/>
              </w:rPr>
              <w:t>所关切的对象</w:t>
            </w:r>
          </w:p>
        </w:tc>
        <w:tc>
          <w:tcPr>
            <w:tcW w:type="dxa" w:w="30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DEDED"/>
          </w:tcPr>
          <w:p>
            <w:pPr>
              <w:pStyle w:val="TableText"/>
              <w:keepNext/>
            </w:pPr>
            <w:r>
              <w:rPr>
                <w:b/>
                <w:bCs w:val="1"/>
              </w:rPr>
              <w:t>可辨认的例子</w:t>
            </w:r>
          </w:p>
        </w:tc>
        <w:tc>
          <w:tcPr>
            <w:tcW w:type="dxa" w:w="252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DEDED"/>
          </w:tcPr>
          <w:p>
            <w:pPr>
              <w:pStyle w:val="TableText"/>
              <w:keepNext/>
            </w:pPr>
            <w:r>
              <w:rPr>
                <w:b/>
                <w:bCs w:val="1"/>
              </w:rPr>
              <w:t>应避免的混同</w:t>
            </w:r>
          </w:p>
        </w:tc>
      </w:tr>
      <w:tr>
        <w:trPr>
          <w:cantSplit/>
        </w:trPr>
        <w:tc>
          <w:tcPr>
            <w:tcW w:type="dxa" w:w="8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个人利益P</w:t>
            </w:r>
          </w:p>
        </w:tc>
        <w:tc>
          <w:tcPr>
            <w:tcW w:type="dxa" w:w="260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自身身体、生活条件、自主与个人体验</w:t>
            </w:r>
          </w:p>
        </w:tc>
        <w:tc>
          <w:tcPr>
            <w:tcW w:type="dxa" w:w="30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安全、资源、时间、感官满足、个人审美和情感体验</w:t>
            </w:r>
          </w:p>
        </w:tc>
        <w:tc>
          <w:tcPr>
            <w:tcW w:type="dxa" w:w="252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经社会渠道取得不等于关系本身也是目标</w:t>
            </w:r>
          </w:p>
        </w:tc>
      </w:tr>
      <w:tr>
        <w:trPr>
          <w:cantSplit/>
        </w:trPr>
        <w:tc>
          <w:tcPr>
            <w:tcW w:type="dxa" w:w="8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社会利益S</w:t>
            </w:r>
          </w:p>
        </w:tc>
        <w:tc>
          <w:tcPr>
            <w:tcW w:type="dxa" w:w="260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关系、归属、角色身份、信任与他人承认本身</w:t>
            </w:r>
          </w:p>
        </w:tc>
        <w:tc>
          <w:tcPr>
            <w:tcW w:type="dxa" w:w="30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保有朋友关系、成员资格、合作信任或声誉</w:t>
            </w:r>
          </w:p>
        </w:tc>
        <w:tc>
          <w:tcPr>
            <w:tcW w:type="dxa" w:w="252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维护关系与关切对方福祉可以不同</w:t>
            </w:r>
          </w:p>
        </w:tc>
      </w:tr>
      <w:tr>
        <w:trPr>
          <w:cantSplit/>
        </w:trPr>
        <w:tc>
          <w:tcPr>
            <w:tcW w:type="dxa" w:w="8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道德利益M</w:t>
            </w:r>
          </w:p>
        </w:tc>
        <w:tc>
          <w:tcPr>
            <w:tcW w:type="dxa" w:w="260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主体认可并愿维护的价值，以及他人福祉本身</w:t>
            </w:r>
          </w:p>
        </w:tc>
        <w:tc>
          <w:tcPr>
            <w:tcW w:type="dxa" w:w="30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真诚、公平、忠诚、所坚持的理念，直接希望他人不受伤害</w:t>
            </w:r>
          </w:p>
        </w:tc>
        <w:tc>
          <w:tcPr>
            <w:tcW w:type="dxa" w:w="252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本人认可不等于社会普遍认可，也不等于规范正当</w:t>
            </w:r>
          </w:p>
        </w:tc>
      </w:tr>
    </w:tbl>
    <w:p>
      <w:pPr>
        <w:jc w:val="both"/>
      </w:pPr>
      <w:r>
        <w:t>这里的“道德”具有本文特定的宽义：包括主体所坚持的价值，不限于社会普遍赞许的道德。个人的审美愉悦和情感体验归P；希望一件作品所承载的理念得以保存，可以涉及M，是否如此要看具体关切。一个人帮助朋友，可能同时珍视自己的相处体验P、关系延续S和朋友的福祉M，也可能只有其中一项得到证据支持。行动伴随满足感，不会把原本指向关系或他人的目标自动还原为个人快感。</w:t>
      </w:r>
    </w:p>
    <w:p>
      <w:pPr>
        <w:jc w:val="both"/>
      </w:pPr>
      <w:r>
        <w:t>三类利益与语言抽象程度是不同维度。高度抽象的产权条款可以保护个人资源，对一个具体陌生人的即时关切可以属于M，关系身份也可通过非常直接的称谓表达。它们不构成从低级感觉上升到高级道德的固定阶梯。由具体词语推断利益类型，仍需查明它在情境中指向什么。</w:t>
      </w:r>
    </w:p>
    <w:p>
      <w:pPr>
        <w:jc w:val="both"/>
      </w:pPr>
      <w:r>
        <w:t>利益变化则要另作比较。对行动a相对于基线b的影响，应指定受影响者i、维度k和时间范围t，记作Δ(i,k,t｜a,b)。同一行动可以增加资源而削弱自主，可以维护短期合作而损害长期信任；这些变化不能不经说明就加总。P、S、M区分关切对象，Δ记录相对于基线的改变，两者承担不同任务。</w:t>
      </w:r>
    </w:p>
    <w:p>
      <w:pPr>
        <w:jc w:val="both"/>
      </w:pPr>
      <w:r>
        <w:t>乙被推开后跌倒，相对于“完全没有危险”是受损，相对于“留在原处被重物击中”则可能是较小损失。两种叙述可以包含相同的实际后果，却比较着不同世界。可行性还会限制基线：事后想象的完美手段，若甲当时无法采取，就不能不加说明地用作归责标准。实际后果、预期后果和行动目的同样需要分开：甲可能意在救人而造成伤害，也可能无助人目的却偶然使乙避险。后果坐标不能凭自身完成动机证明。</w:t>
      </w:r>
    </w:p>
    <w:p>
      <w:pPr>
        <w:pStyle w:val="Heading2"/>
      </w:pPr>
      <w:r>
        <w:t>4.2 道德利益、价值评价与事实信念</w:t>
      </w:r>
    </w:p>
    <w:p>
      <w:pPr>
        <w:jc w:val="both"/>
      </w:pPr>
      <w:r>
        <w:t>把M理解为主体认可的价值，首先意味着它不以显意识的“我应当”命题为必要条件。一个人可以直接希望他人平安，即使自己不获得陪伴、回报或道德满足；这种关切可以迅速发生，也可以经过反思而增强。规范认同是M的重要形式，却不是M的全部。相反，一个人也可能真诚维护一种伤害他人的忠诚标准；认同事实与该价值是否可辩护，仍须分开判断。</w:t>
      </w:r>
    </w:p>
    <w:p>
      <w:pPr>
        <w:jc w:val="both"/>
      </w:pPr>
      <w:r>
        <w:t>P、S、M还不能单独预测行为。珍视安全的人，在误认追杀与确认普通来访时会作不同选择；关心朋友福祉的人，在相信干预有益与相信干预有害时也会作不同选择。行为分析因而至少要区分评价V、事实与概率信念B、当事人意识到的可行行动集合，以及实际可行条件。行动不同可以来自信念、选项或执行条件不同，未必意味着价值已经改变。</w:t>
      </w:r>
    </w:p>
    <w:p>
      <w:pPr>
        <w:jc w:val="both"/>
      </w:pPr>
      <w:r>
        <w:t>反过来，价值也会改变信息进入判断的机会。持续的身体刺激、关系威胁和对某种理念的反复激活，可能使有关内容更容易受到注意；已经熟悉的脚本又可能使某些行动更早被想到。某项利益重要，与它此刻能够被调用，并非同一指标。理论需要追踪这种相互作用，而不能把所有未被选择的目标都判为不重要。价值和注意之间的具体作用范围，仍由相应过程证据确定。</w:t>
      </w:r>
    </w:p>
    <w:p>
      <w:pPr>
        <w:jc w:val="both"/>
      </w:pPr>
      <w:r>
        <w:t>将利益写得足够宽，是为了容纳真实的动机差异，不能借此取消可反驳性。如果任何结果都被事后解释为最大化某种隐藏利益，理论就无法区分牺牲、欺骗、服从与反抗。有效分析应在观察结果之前，尽可能固定关切对象、信念条件、可选行动及相应预期；在证据不足时保留混合或未定，而非临时增补一个必胜的动机。</w:t>
      </w:r>
    </w:p>
    <w:p>
      <w:pPr>
        <w:pStyle w:val="Heading2"/>
      </w:pPr>
      <w:r>
        <w:t>4.3 从后果到正当性还缺什么</w:t>
      </w:r>
    </w:p>
    <w:p>
      <w:pPr>
        <w:jc w:val="both"/>
      </w:pPr>
      <w:r>
        <w:t>设协作组成员甲要求乙补充材料。“提出要求”可以从记录核对；“尽责核实”还需要材料确实缺失、要求属于职责、标准前后一致等条件；“无端刁难”则需要相反方向的证据。两个评价词都压缩了对背景与规范的承诺。若双方只争论哪一个词更贴切，就容易遗漏真正的分歧：材料是否缺失，谁有权限，要求是否必要，相同标准是否适用于所有人。</w:t>
      </w:r>
    </w:p>
    <w:p>
      <w:pPr>
        <w:jc w:val="both"/>
      </w:pPr>
      <w:r>
        <w:t>行为错误性、个人责备和应否惩罚也不是同一个问题。Cushman（2008）关于因果与意图在道德判断中的不同作用，为这种区分提供了经验依据。某种手段可以被判为错误，而行动者因合理误信、控制受限或缺乏可行替代而较少受责；结果偶然有益，也不足以使原本不当的手段自动正当。评价需要分别说明事实、控制、可预见性、义务和规范标准。</w:t>
      </w:r>
    </w:p>
    <w:p>
      <w:pPr>
        <w:jc w:val="both"/>
      </w:pPr>
      <w:r>
        <w:t>即使事实已经全部固定，规范排序仍可能不同。对两个可行分配方案(5,5)与(8,4)，差距最小规则支持前者，总量最大规则支持后者。附录三的反模型严格证明：给定的描述事实不足以唯一规定排序。规范比较仍须讨论权利、需求、贡献或其他理由。这不是认为规范无从论证，而是把论证移到真正存在分歧的地方。</w:t>
      </w:r>
    </w:p>
    <w:p>
      <w:pPr>
        <w:jc w:val="both"/>
      </w:pPr>
      <w:r>
        <w:t>由此，利益与道德判断有三个不同接口：行动后果影响规范适用，主体认可的价值与对他人的关切参与行动动机，规范理由支撑观察者的评价。三者可以互相作用，却不能互相替代。尤其不能因为一项行动获得社会赞许，就把它同时当作行动者真诚认同、实际有益和道德正当的证明。对本人道德利益的实现所作描述，也不自动等于观察者的道德赞许。</w:t>
      </w:r>
    </w:p>
    <w:p>
      <w:pPr>
        <w:pStyle w:val="Heading2"/>
      </w:pPr>
      <w:r>
        <w:t>4.4 动机推断的识别条件</w:t>
      </w:r>
    </w:p>
    <w:p>
      <w:pPr>
        <w:jc w:val="both"/>
      </w:pPr>
      <w:r>
        <w:t>同一行为可以来自规范认同、声誉考虑、惩罚压力或习惯。行动者说自己“为了公平”，是值得纳入的证据；观察者怀疑他只是追求利益，是一种竞争解释。比较两者，必须寻找能使行为预期分开的情境，例如可见性改变、真实代价改变、可选行动改变。现有材料若在两个假说下具有相同似然，就不能通过反复阅读同一记录增加其中一个假说的相对证据；附录四给出这一赔率结论。</w:t>
      </w:r>
    </w:p>
    <w:p>
      <w:pPr>
        <w:jc w:val="both"/>
      </w:pPr>
      <w:r>
        <w:t>不可识别不是说真实动机不存在，而是说现有观察不能区分它。对“最后谁获利”的追踪可以提出调查方向，对“他必定为此而行动”的断言则要承担额外举证。前提追溯的作用正在于此：让利益分析进入解释，同时阻止它成为吞并一切动机的万能词。</w:t>
      </w:r>
    </w:p>
    <w:p>
      <w:pPr>
        <w:pStyle w:val="Heading1"/>
      </w:pPr>
      <w:r>
        <w:t>第五章 社会学习：判断前提怎样被保存、删去与重配</w:t>
      </w:r>
    </w:p>
    <w:p>
      <w:pPr>
        <w:pStyle w:val="Heading2"/>
      </w:pPr>
      <w:r>
        <w:t>5.1 传播的不只是词语</w:t>
      </w:r>
    </w:p>
    <w:p>
      <w:pPr>
        <w:jc w:val="both"/>
      </w:pPr>
      <w:r>
        <w:t>一个人使用的类别、脚本和评价标准，往往早于具体事件进入其经验。家庭、学校、组织和公共讨论既教人如何命名行动，也教人向谁取证、什么理由值得重视。Dawkins（1976，第11章）以“模因”提出文化内容复制与变化的问题，其中已经包括文化实践、二次加工与观念组合。本文沿此方向使用“社会基因”这一解释性称呼，将可观察单位落实为标签、行为脚本、关系角色、情感表达和规则表述；重点是把它们接入利益评价与行动，而非把传播想象成毫无变化的机械复制。</w:t>
      </w:r>
    </w:p>
    <w:p>
      <w:pPr>
        <w:jc w:val="both"/>
      </w:pPr>
      <w:r>
        <w:t>接触、记住、相信、赞同、执行和再传播，是传播链上的不同状态。能复述命令不等于赞同它，因惩罚而执行不等于认同其理由，为批评而转述也不等于接受。只有区分这些状态，才可能分析一种脚本如何从外在要求进入个人判断，而不把词语出现次数直接当作规范内化的尺度。</w:t>
      </w:r>
    </w:p>
    <w:p>
      <w:pPr>
        <w:jc w:val="both"/>
      </w:pPr>
      <w:r>
        <w:t>Kirby等（2008）的人工语言迭代学习研究展示了如何追踪传递中结构和可学性的变化。对社会判断而言，需要在此基础上另外追踪：什么条件随标签一起保存，什么来源信息在转述中消失，接收者又用什么熟悉脚本填补缺口。传递成功本身不能解释其成功，更不能证明内容有益或真实。</w:t>
      </w:r>
    </w:p>
    <w:p>
      <w:pPr>
        <w:pStyle w:val="Heading2"/>
      </w:pPr>
      <w:r>
        <w:t>5.2 条件丢失与默认前提的接入</w:t>
      </w:r>
    </w:p>
    <w:p>
      <w:pPr>
        <w:jc w:val="both"/>
      </w:pPr>
      <w:r>
        <w:t>一项原来限于危险时段的规则，在转述中可能只剩下“不得进入”；一次有条件的例外，又可能被复述成普遍许可。词句更加简洁，执行范围却发生了变化。关键不在于删掉了多少字，而在于被删部分是否改变规则的适用边界。如果这一边界决定目标答案，转述就改变了接收者据以判断的条件。</w:t>
      </w:r>
    </w:p>
    <w:p>
      <w:pPr>
        <w:jc w:val="both"/>
      </w:pPr>
      <w:r>
        <w:t>删去与补入还可能连续发生。原报告只说“甲要求乙补材料”，接收者从组织脚本补入“甲有权要求”“材料确实不齐”，继而形成“乙拒绝就是不负责”的判断。相反的脚本也可以补入“甲在利用职位”“补材料只是借口”。两条路径都说明，报告未明说的信息并不会永远空缺；熟悉的解释可能占据空位，随后被当作事件本身的一部分。</w:t>
      </w:r>
    </w:p>
    <w:p>
      <w:pPr>
        <w:jc w:val="both"/>
      </w:pPr>
      <w:r>
        <w:t>这是一种可检验的传播机制：在逐代转述中比较条件、来源标记和评价词的保留，检验接收者是否更常把未出现的前提识认为原始事实。若评价词保存而限定条件逐渐流失，后续判断可能更确定而依据更薄弱。该预测必须通过实际传递记录检验；它不能从一条流行口号的存在反推整段传播史。</w:t>
      </w:r>
    </w:p>
    <w:p>
      <w:pPr>
        <w:jc w:val="both"/>
      </w:pPr>
      <w:r>
        <w:t>传播也能够保存纠错能力。一个简短规则若同时标明适用对象、例外与原始来源，就为接收者留下重查路径。因此，信息量少并不必然有害，详细说明也不必然可靠。更重要的是，在发生异议时，接收者还能否找到会改变结论的条件。</w:t>
      </w:r>
    </w:p>
    <w:p>
      <w:pPr>
        <w:jc w:val="both"/>
      </w:pPr>
      <w:r>
        <w:t>文化学习的作用并不限于改变某个标签是否被记住。它可以改变评价V，使忠诚或独立更值得维护；改变信念B，使人预计拒绝会被惩罚或协商会得到尊重；改变认知中的可行项，使拒绝、求助或退出更容易被想到；通过熟练脚本改变表达和执行；还可以经组织规则和资源分配，改变现实的可行行动与后果。前四种涉及主体怎样理解和选择，第五种涉及制度实际怎样回应，须分别观察。</w:t>
      </w:r>
    </w:p>
    <w:p>
      <w:pPr>
        <w:jc w:val="both"/>
      </w:pPr>
      <w:r>
        <w:t>这五条路径给同一行为变化提供竞争解释。成员开始拒绝额外任务，可能因为更重视自主，可能因为不再相信拒绝必定破坏关系，也可能只是得到了真正可用的申诉渠道。社会学习能够同时改变多处，却不能因为行为改变就宣布每条路径都已成立。把传播内容、内在评价和制度执行分开，是将模因网络从概括性比喻推进为可研究机制的条件。</w:t>
      </w:r>
    </w:p>
    <w:p>
      <w:pPr>
        <w:pStyle w:val="Heading2"/>
      </w:pPr>
      <w:r>
        <w:t>5.3 角色脚本、利益与权力</w:t>
      </w:r>
    </w:p>
    <w:p>
      <w:pPr>
        <w:jc w:val="both"/>
      </w:pPr>
      <w:r>
        <w:t>“尽责”“顺从”“反抗”不仅指动作，还安排角色关系。服从可能源于目标认同，也可能源于退出成本过高；拒绝可能反对目标，也可能只是指出命令超出权限。要区分它们，应查资源依赖、授权范围、申诉渠道和可行替代。这些条件决定了同一动作能否成为认同的证据。</w:t>
      </w:r>
    </w:p>
    <w:p>
      <w:pPr>
        <w:jc w:val="both"/>
      </w:pPr>
      <w:r>
        <w:t>当角色脚本把提问者的地位置于提问内容之前，注意就可能转向“谁有资格说”而非“证据是否充分”。当奖惩又与这种命名相连，成员可能为维持合作机会和声誉而重复标签。这里存在社会利益渠道，也可能存在真诚维护秩序的道德利益渠道；两者需要独立证据区分。获益者不自动就是设计者，错误转述也不自动就是有意操纵。</w:t>
      </w:r>
    </w:p>
    <w:p>
      <w:pPr>
        <w:jc w:val="both"/>
      </w:pPr>
      <w:r>
        <w:t>对支配关系的批判因而可以更具体：某种制度是否允许恢复被省略的条件，质疑规范的人是否有申辩途径，来源错误是否能够纠正，权限能否受到检查。问题不仅在于一条命令用了什么语气，还在于它如何规定别人能够提出什么证据。纠错机会能够影响不同利益：避免误罚可能保护自身资源，纠正误解可能恢复关系承认，追究不当处理也可能实现本人坚持的价值，须按实际关切分别辨认。</w:t>
      </w:r>
    </w:p>
    <w:p>
      <w:pPr>
        <w:pStyle w:val="Heading2"/>
      </w:pPr>
      <w:r>
        <w:t>5.4 称谓的再解释：以“同志”为例</w:t>
      </w:r>
    </w:p>
    <w:p>
      <w:pPr>
        <w:jc w:val="both"/>
      </w:pPr>
      <w:r>
        <w:t>“同志”的语义变化显示，词形延续不等于评价结构不变。Wong（2008）依据香港田野材料，把活动者采用该称谓与文化特殊性、立场及公共形象的表达相联系。林奕华的回顾性访谈谈及影展命名与扩大观众范围、重新使用革命口号的关系（芬多经，2019）；国家文化记忆库关于1992年金马影展的馆藏描述，则提供了传播场景的记录（沃时文化有限公司，无日期）。这些材料支持政治语言被有意识地重新使用，具体动机仍应按同期材料、回顾自述与后设说明分别衡量。</w:t>
      </w:r>
    </w:p>
    <w:p>
      <w:pPr>
        <w:jc w:val="both"/>
      </w:pPr>
      <w:r>
        <w:t>Wong（2005）进一步指出，活动者希望表达尊重和平等的称谓，也能在报刊戏仿中转为嘲讽资源。变化的不只是所指群体，还包括使用者与听者之间的立场关系。同一词形可以承担认同、团结、戏仿或贬损，必须通过使用情境识别。由政治历史直接推出新用法具有针对另一地域的敌对目的，跨过了现有材料并未建立的动机前提。</w:t>
      </w:r>
    </w:p>
    <w:p>
      <w:pPr>
        <w:jc w:val="both"/>
      </w:pPr>
      <w:r>
        <w:t>这一案例与本章主线的联系，是把指称变化和评价变化拆开。后续研究可以固定词语指向的对象，改变其所配合的立场和后果描述，分别测量身份识别、地位评价与道德判断。只有这样，才能判断传播重组了哪一种关系，而非把任何陌生用法笼统归为认知损害。</w:t>
      </w:r>
    </w:p>
    <w:p>
      <w:pPr>
        <w:pStyle w:val="Heading1"/>
      </w:pPr>
      <w:r>
        <w:t>第六章 文学中的解释失稳：局部可理解性何以通向整体不安</w:t>
      </w:r>
    </w:p>
    <w:p>
      <w:pPr>
        <w:pStyle w:val="Heading2"/>
      </w:pPr>
      <w:r>
        <w:t>6.1 “纯粹疯狂”与三个不等同的完成</w:t>
      </w:r>
    </w:p>
    <w:p>
      <w:pPr>
        <w:jc w:val="both"/>
      </w:pPr>
      <w:r>
        <w:t>若把“纯粹疯狂”理解为绝无规律，有限文本无法证明它：同一有限序列可以与不同的隐藏规则相容，也可以出现在随机模型中。文学中的问题更为具体。读者理解每个句子，却未必知道哪些句子应当相信；知道发生了什么，却未必知道怎样行动；形成了世界解释，也未必还能维持原来的安全和价值期待。因此，本章将“疯狂”作为作品中可理解性失稳的边界名称，分析其叙事结构，不把文学形象作为临床诊断或责任标签。</w:t>
      </w:r>
    </w:p>
    <w:p>
      <w:pPr>
        <w:jc w:val="both"/>
      </w:pPr>
      <w:r>
        <w:t>至少应区分三种完成。第一是</w:t>
      </w:r>
      <w:r>
        <w:rPr>
          <w:b/>
          <w:i w:val="0"/>
          <w:bCs w:val="1"/>
        </w:rPr>
        <w:t>解释的完成</w:t>
      </w:r>
      <w:r>
        <w:t>：证据被组织为能够说明事件的关系。第二是</w:t>
      </w:r>
      <w:r>
        <w:rPr>
          <w:b/>
          <w:i w:val="0"/>
          <w:bCs w:val="1"/>
        </w:rPr>
        <w:t>行动的完成</w:t>
      </w:r>
      <w:r>
        <w:t>：某一解释足以支持当前选择。第三是</w:t>
      </w:r>
      <w:r>
        <w:rPr>
          <w:b/>
          <w:i w:val="0"/>
          <w:bCs w:val="1"/>
        </w:rPr>
        <w:t>价值的安顿</w:t>
      </w:r>
      <w:r>
        <w:t>：行动仍能与安全、信任和所认同的规范连接。三者常在日常经验中相互支持，却不存在必然的蕴涵。一个因果上明确的威胁仍可能无法逃离；一条有助于存活的指令仍可能要求伤害他人；一个更完整的世界解释也可能摧毁“守规则即可获得保护”的期待。</w:t>
      </w:r>
    </w:p>
    <w:p>
      <w:pPr>
        <w:jc w:val="both"/>
      </w:pPr>
      <w:r>
        <w:t>由此可以修正“混乱导致不安”的笼统说法。文学可以保留可理解的局部，引导读者继续寻找联系，同时使解释、行动和价值之间的某一连接持续失效。重复的名称、制度口吻、局部规则或相互呼应的证词，构成继续理解的承诺；来源不稳、条件隐匿和价值保障落空，则使这种承诺难以收束。本章的机制假说，是局部线索与未完成任务的结合比单纯的无关联噪声更能维持解释活动。实际体验还取决于读者的目标、熟悉程度与退出意愿。</w:t>
      </w:r>
    </w:p>
    <w:p>
      <w:pPr>
        <w:pStyle w:val="Heading2"/>
      </w:pPr>
      <w:r>
        <w:t>6.2 对象问题如何变成校正规则的问题</w:t>
      </w:r>
    </w:p>
    <w:p>
      <w:pPr>
        <w:jc w:val="both"/>
      </w:pPr>
      <w:r>
        <w:t>普通谜题把不确定性放在对象上：凶手是谁，声音来自哪里，某条规则何时适用。读者虽然不知道答案，却可以依据相对稳定的证据标准逐渐排除解释。更深的失稳则发生在校正规则上：证人能否作证，档案是否仍是档案，身份是否决定规则适用，而身份本身又由规则确定。此时增加一条线索，可能只是增加一个待认证的来源。</w:t>
      </w:r>
    </w:p>
    <w:p>
      <w:pPr>
        <w:jc w:val="both"/>
      </w:pPr>
      <w:r>
        <w:t>这一区别解释了为何“再给信息”有时不足以恢复理解。关键条件尚未公开，需要补条件；场景切换，需要标明情境；规则改变，需要确认版本；来源互相冲突，需要比较可信性；结果本来具有随机性，则需要概率判断。同样的预测失败可能来自不同原因。把所有失配都理解为更深层的秘密，会不断添加无法检验的前提；把所有表面冲突都当作逻辑崩溃，也会错过实际存在的条件结构。</w:t>
      </w:r>
    </w:p>
    <w:p>
      <w:pPr>
        <w:jc w:val="both"/>
      </w:pPr>
      <w:r>
        <w:t>在威胁下持续寻求结构，具有一定的经验研究入口。Whitson与Galinsky（2008）报告控制感降低与某些虚假模式知觉的联系；Proulx与Heine（2009）则发现意义威胁之后也可能提高对实际规律的学习。两者共同提示寻模方向并非固定：解释受挫可以引出更好的搜证，也可以引出过早闭合，还可以使人退出或转向审美欣赏。文学比较的任务，是找出文本在哪里给这些不同路径留下空间。</w:t>
      </w:r>
    </w:p>
    <w:p>
      <w:pPr>
        <w:pStyle w:val="Heading2"/>
      </w:pPr>
      <w:r>
        <w:t>6.3 SCP-3999：当说明权威成为待说明对象</w:t>
      </w:r>
    </w:p>
    <w:p>
      <w:pPr>
        <w:jc w:val="both"/>
      </w:pPr>
      <w:r>
        <w:t>《SCP-3999》以收容档案的形式给出分类和程序，却让互斥指令、被改写的研究员角色和进入对话的删节符号侵入文档；结尾又恢复档案框架，从残留记录推定事件与牺牲（LordStonefish，无日期）。制度形式持续许诺某种可执行的秩序，而承载秩序的文件却不能始终保持稳定。这种结构的压力，不只是“对象异常”，还在于读者通常用来校验异常的工具也卷入异常。</w:t>
      </w:r>
    </w:p>
    <w:p>
      <w:pPr>
        <w:jc w:val="both"/>
      </w:pPr>
      <w:r>
        <w:t>可以据此区分两个层次。第一层是命题冲突：某条命令与另一条命令能否同时执行。第二层是证据资格：哪一次书写具有决定前一次无效的权威。如果存在一个可信的版本规则，第一层冲突仍可处理；如果版本、角色和记录者均被牵动，第二层就难以提供稳定裁决。读者不断补入“也许这是被篡改的记录”“也许另一个叙事层更可靠”等前提，而这些前提本身仍需文本支持。</w:t>
      </w:r>
    </w:p>
    <w:p>
      <w:pPr>
        <w:jc w:val="both"/>
      </w:pPr>
      <w:r>
        <w:t>它与社会利益、道德利益的联系在于，机构语气把指令包装成维护共同安全的程序，读者却必须重新判断程序中的具体代价由谁承担、谁被当成需要保护的人、谁又被归为应被处置的对象。权限和保护目的不能仅由文体保证。结尾重新组织事件，正显示道德评价需要能够追溯的行动与代价关系；形式恢复提供了收束，同时也保留了记录不完整的问题。本文把这一机制称为说明权威的失稳，而非把全文当成无逻辑材料。</w:t>
      </w:r>
    </w:p>
    <w:p>
      <w:pPr>
        <w:pStyle w:val="Heading2"/>
      </w:pPr>
      <w:r>
        <w:t>6.4 坡：局部推理如何封闭整体校验</w:t>
      </w:r>
    </w:p>
    <w:p>
      <w:pPr>
        <w:jc w:val="both"/>
      </w:pPr>
      <w:r>
        <w:t>《泄密的心》让叙述者以行动的精细和自我控制证明自身理智，并把越来越难以忍受的声音与警察的平静表现接入自己的解释。听觉确信、关于他人知情的推测和受到嘲弄的感受相互加固（Poe，1843）。作品的张力并不依赖句法崩溃；相反，叙述者不断要求读者承认其观察敏锐、推理连贯。</w:t>
      </w:r>
    </w:p>
    <w:p>
      <w:pPr>
        <w:jc w:val="both"/>
      </w:pPr>
      <w:r>
        <w:t>从前提追溯看，问题集中在跨越。能够细致执行一项计划，不能独自确立所有知觉与归因可靠；自己强烈听见某种声音，也不直接证明别人同样听见；别人仍然平静，更不唯一证明他们正在故意嘲弄。每次跨越都引入新前提，而新增前提又反过来解释后来的中性表现。若平静和异动都能被吸收为同一敌意假说，观察就逐渐失去区分力。</w:t>
      </w:r>
    </w:p>
    <w:p>
      <w:pPr>
        <w:jc w:val="both"/>
      </w:pPr>
      <w:r>
        <w:t>这里失稳的不是解释数量过少，而是解释过早完成：叙述者的确信越来越强，可共同核验的依据却没有相应增加。社会关系同时被改写，交谈对象被纳入知情者和嘲弄者的位置，行动由此获得新的紧迫性。这个文学构造与现实归责分析之间的连接，是警惕把主观确信直接升级为他人的意图事实。作品呈现的暴力依赖具体叙事，不能由相似的陌生感或听觉体验推出人的道德品质。</w:t>
      </w:r>
    </w:p>
    <w:p>
      <w:pPr>
        <w:pStyle w:val="Heading2"/>
      </w:pPr>
      <w:r>
        <w:t>6.5 《动物园规则怪谈》：选择规则也需要规则</w:t>
      </w:r>
    </w:p>
    <w:p>
      <w:pPr>
        <w:jc w:val="both"/>
      </w:pPr>
      <w:r>
        <w:t>《动物园规则怪谈》的不同文件，对空间、人员和可采取行动提出不一致的说明；园长文件第9条又提供以身体所处位置区分告示适用性的办法。便签和遗留纸张则让衣着、自我分类与行动选择发生联系（十六椰子，无日期，第一、五、七至九节）。本文依据档案馆收录本讨论这些结构，页面所收作者关于唯一解的说明，保留为创作副文本。</w:t>
      </w:r>
    </w:p>
    <w:p>
      <w:pPr>
        <w:jc w:val="both"/>
      </w:pPr>
      <w:r>
        <w:t>这一构造不能被概括为“所有规则互相矛盾”。只要适用位置、对象或时段不同，表面相反的指令就可能并存。真正需要分析的是：人在不知道适用条件时怎样选择规则，又凭什么相信告诉自己条件的那份文件。位置规则展示了一条可能的校正路径；自我分类的不稳定则让这条路径更复杂，因为判断“它是否针对我”需要先知道“我属于哪一类”。</w:t>
      </w:r>
    </w:p>
    <w:p>
      <w:pPr>
        <w:jc w:val="both"/>
      </w:pPr>
      <w:r>
        <w:t>这使分类获得直接的实践代价。类别不再只是描述对象，还配置求助、信任和保护关系。若一项自我分类改变了应采用的指令，分类错误就可能沿着行动路径被放大；若规范以保护某类成员为理由，判断谁属于该类又成为规范适用的前提。文学由此把社会判断中通常被省略的一步暴露出来：承认保护义务，不等于已经知道该把谁算作保护对象。</w:t>
      </w:r>
    </w:p>
    <w:p>
      <w:pPr>
        <w:jc w:val="both"/>
      </w:pPr>
      <w:r>
        <w:t>规则选择的压力也解释了读者为什么愿意反复整理文本。局部条件能够消解部分冲突，提供继续解题的理由；尚未得到认证的来源与分类又阻止过早收束。本文不以唯一解的存在与否为前提，而比较哪类补充能够实际提高新情境中的规则适用。其研究问题与第三章一致：恢复相关条件是否优于增加无关细节。</w:t>
      </w:r>
    </w:p>
    <w:p>
      <w:pPr>
        <w:pStyle w:val="Heading2"/>
      </w:pPr>
      <w:r>
        <w:t>6.6 克苏鲁叙事：解释获得与价值安顿的分离</w:t>
      </w:r>
    </w:p>
    <w:p>
      <w:pPr>
        <w:jc w:val="both"/>
      </w:pPr>
      <w:r>
        <w:t>《克苏鲁的呼唤》使分散档案、叙述和图像逐渐相互关联，叙述者得到的整体解释却削弱了人的安全、重要性和世界可依赖性的预期；结尾对传播材料的忧惧，也把知识本身置于行动选择之中（Lovecraft，1928，第一、三节）。它因此是“解释越清楚，恐惧必然越小”的反例。这里无需假定世界没有规律：规律可以存在，却并不以保护人或回应人的道德要求为目的。</w:t>
      </w:r>
    </w:p>
    <w:p>
      <w:pPr>
        <w:jc w:val="both"/>
      </w:pPr>
      <w:r>
        <w:t>这条机制揭示了一个容易藏在日常判断中的桥梁：如果我理解情势，遵守规则并承担责任，世界便应给予相称的保护。该桥梁包含因果预期、合作经验与规范愿望，并不是知识增长的逻辑结果。当它被切断，事实解释可以趋于完整，而行动保障与价值安顿仍然失败。道德利益也不会因此被逻辑上取消；人仍可坚持保护彼此，只是这种坚持不能再由宇宙的善意担保。</w:t>
      </w:r>
    </w:p>
    <w:p>
      <w:pPr>
        <w:jc w:val="both"/>
      </w:pPr>
      <w:r>
        <w:t>因此，本章不能用“阻断解释完成”统摄全部案例。SCP使说明资格不稳，坡呈现不受反证约束的闭合，规则怪谈延宕规则选择，克苏鲁叙事则使解释成功与价值支持分离。它们共同改变的，是从“能够说出解释”到“能够据此行动和评价”之间的连接，而不只是信息的多少。</w:t>
      </w:r>
    </w:p>
    <w:tbl>
      <w:tblPr>
        <w:tblW w:type="auto" w:w="0"/>
        <w:jc w:val="center"/>
        <w:tblLayout w:type="fixed"/>
        <w:tblLook w:firstColumn="1" w:firstRow="1" w:lastColumn="0" w:lastRow="0" w:noHBand="0" w:noVBand="1" w:val="04A0"/>
      </w:tblPr>
      <w:tblGrid>
        <w:gridCol w:w="1652"/>
        <w:gridCol w:w="2124"/>
        <w:gridCol w:w="1982"/>
        <w:gridCol w:w="3256"/>
      </w:tblGrid>
      <w:tr>
        <w:trPr>
          <w:cantSplit/>
          <w:tblHeader/>
        </w:trPr>
        <w:tc>
          <w:tcPr>
            <w:tcW w:type="dxa" w:w="16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DEDED"/>
          </w:tcPr>
          <w:p>
            <w:pPr>
              <w:pStyle w:val="TableText"/>
              <w:keepNext/>
            </w:pPr>
            <w:r>
              <w:rPr>
                <w:b/>
                <w:bCs w:val="1"/>
              </w:rPr>
              <w:t>文学构造</w:t>
            </w:r>
          </w:p>
        </w:tc>
        <w:tc>
          <w:tcPr>
            <w:tcW w:type="dxa" w:w="21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DEDED"/>
          </w:tcPr>
          <w:p>
            <w:pPr>
              <w:pStyle w:val="TableText"/>
              <w:keepNext/>
            </w:pPr>
            <w:r>
              <w:rPr>
                <w:b/>
                <w:bCs w:val="1"/>
              </w:rPr>
              <w:t>仍被保留的理解线索</w:t>
            </w:r>
          </w:p>
        </w:tc>
        <w:tc>
          <w:tcPr>
            <w:tcW w:type="dxa" w:w="198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DEDED"/>
          </w:tcPr>
          <w:p>
            <w:pPr>
              <w:pStyle w:val="TableText"/>
              <w:keepNext/>
            </w:pPr>
            <w:r>
              <w:rPr>
                <w:b/>
                <w:bCs w:val="1"/>
              </w:rPr>
              <w:t>发生失稳的连接</w:t>
            </w:r>
          </w:p>
        </w:tc>
        <w:tc>
          <w:tcPr>
            <w:tcW w:type="dxa" w:w="3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DEDED"/>
          </w:tcPr>
          <w:p>
            <w:pPr>
              <w:pStyle w:val="TableText"/>
              <w:keepNext/>
            </w:pPr>
            <w:r>
              <w:rPr>
                <w:b/>
                <w:bCs w:val="1"/>
              </w:rPr>
              <w:t>与社会评价的关系</w:t>
            </w:r>
          </w:p>
        </w:tc>
      </w:tr>
      <w:tr>
        <w:trPr>
          <w:cantSplit/>
        </w:trPr>
        <w:tc>
          <w:tcPr>
            <w:tcW w:type="dxa" w:w="16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SCP-3999</w:t>
            </w:r>
          </w:p>
        </w:tc>
        <w:tc>
          <w:tcPr>
            <w:tcW w:type="dxa" w:w="21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档案格式与程序语言</w:t>
            </w:r>
          </w:p>
        </w:tc>
        <w:tc>
          <w:tcPr>
            <w:tcW w:type="dxa" w:w="198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文档与说明权威</w:t>
            </w:r>
          </w:p>
        </w:tc>
        <w:tc>
          <w:tcPr>
            <w:tcW w:type="dxa" w:w="3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权限、共同安全与具体代价须重新核定</w:t>
            </w:r>
          </w:p>
        </w:tc>
      </w:tr>
      <w:tr>
        <w:trPr>
          <w:cantSplit/>
        </w:trPr>
        <w:tc>
          <w:tcPr>
            <w:tcW w:type="dxa" w:w="16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《泄密的心》</w:t>
            </w:r>
          </w:p>
        </w:tc>
        <w:tc>
          <w:tcPr>
            <w:tcW w:type="dxa" w:w="21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精细叙述与局部推理</w:t>
            </w:r>
          </w:p>
        </w:tc>
        <w:tc>
          <w:tcPr>
            <w:tcW w:type="dxa" w:w="198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私人确信与共同证据</w:t>
            </w:r>
          </w:p>
        </w:tc>
        <w:tc>
          <w:tcPr>
            <w:tcW w:type="dxa" w:w="3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对他人知情和敌意的推断越过了依据</w:t>
            </w:r>
          </w:p>
        </w:tc>
      </w:tr>
      <w:tr>
        <w:trPr>
          <w:cantSplit/>
        </w:trPr>
        <w:tc>
          <w:tcPr>
            <w:tcW w:type="dxa" w:w="16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《动物园规则怪谈》</w:t>
            </w:r>
          </w:p>
        </w:tc>
        <w:tc>
          <w:tcPr>
            <w:tcW w:type="dxa" w:w="21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局部规则与条件提示</w:t>
            </w:r>
          </w:p>
        </w:tc>
        <w:tc>
          <w:tcPr>
            <w:tcW w:type="dxa" w:w="198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身份、场景与规则适用</w:t>
            </w:r>
          </w:p>
        </w:tc>
        <w:tc>
          <w:tcPr>
            <w:tcW w:type="dxa" w:w="3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分类决定信任、求助和保护关系</w:t>
            </w:r>
          </w:p>
        </w:tc>
      </w:tr>
      <w:tr>
        <w:trPr>
          <w:cantSplit/>
        </w:trPr>
        <w:tc>
          <w:tcPr>
            <w:tcW w:type="dxa" w:w="16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《克苏鲁的呼唤》</w:t>
            </w:r>
          </w:p>
        </w:tc>
        <w:tc>
          <w:tcPr>
            <w:tcW w:type="dxa" w:w="21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相互关联的档案证据</w:t>
            </w:r>
          </w:p>
        </w:tc>
        <w:tc>
          <w:tcPr>
            <w:tcW w:type="dxa" w:w="198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解释获得与价值保障</w:t>
            </w:r>
          </w:p>
        </w:tc>
        <w:tc>
          <w:tcPr>
            <w:tcW w:type="dxa" w:w="32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理解世界不足以担保人得到保护</w:t>
            </w:r>
          </w:p>
        </w:tc>
      </w:tr>
    </w:tbl>
    <w:p>
      <w:pPr>
        <w:pStyle w:val="Heading2"/>
      </w:pPr>
      <w:r>
        <w:t>6.7 越界为何也可能吸引</w:t>
      </w:r>
    </w:p>
    <w:p>
      <w:pPr>
        <w:jc w:val="both"/>
      </w:pPr>
      <w:r>
        <w:t>解释失稳不总是人要摆脱的状态。读者可以主动走近不确定、禁忌和陌生经验，享受既有分类被打断的时刻。阿尔托把身体经验指向对自动化组织的突破；巴塔耶的禁忌—越界关系则提示，边界既约束行动，也参与越界体验的意义构成，后者可参见Armitage（2023）的讨论。一项行动之所以被体验为越界，恰恰因为被跨越的界限仍有分量。</w:t>
      </w:r>
    </w:p>
    <w:p>
      <w:pPr>
        <w:jc w:val="both"/>
      </w:pPr>
      <w:r>
        <w:t>这与利益分析并不冲突。阅读中的个人审美与情感体验属于P，与同好共享身份和评价可以涉及S，维护某种自由、真诚或艺术价值则可能涉及M；同一作品不必同时满足三类。暂时退出角色、挑战规范、接受风险与追求自身实际受损，也是不同目标。把一切越界吸引统称为自毁欲望，会再次用一个标签掩盖前提。主动性、可退出性、风险预期和所认可价值，可能使同一文本在不同读者那里成为威胁、游戏或探索，这些差异需要比较。</w:t>
      </w:r>
    </w:p>
    <w:p>
      <w:pPr>
        <w:pStyle w:val="Heading2"/>
      </w:pPr>
      <w:r>
        <w:t>6.8 从文学构造到可测的判断问题</w:t>
      </w:r>
    </w:p>
    <w:p>
      <w:pPr>
        <w:jc w:val="both"/>
      </w:pPr>
      <w:r>
        <w:t>文学分析已经能够给出结构性结论：局部可理解性可以与证据资格不稳、规则选择困难和价值保障失效并存。它还没有告诉我们每种构造引起何种强度的实际体验。相应研究应分别测量来源辨认、规则迁移、解释信心、继续搜证或退出，而不把它们合成一个“疯狂”分数。</w:t>
      </w:r>
    </w:p>
    <w:p>
      <w:pPr>
        <w:jc w:val="both"/>
      </w:pPr>
      <w:r>
        <w:t>熟悉感与知识表现尤其应分开。重复抄词可以带来陌生体验（Moulin等，2021），语义饱和研究也考察了相应的N400变化（Ströberg等，2017）；主观陌生、内容识别与自我认同仍是不同变量。一个词被注意或被想到，不等于它受到赞同；一段叙述使人不安，也不等于它造成了判断错误。</w:t>
      </w:r>
    </w:p>
    <w:p>
      <w:pPr>
        <w:jc w:val="both"/>
      </w:pPr>
      <w:r>
        <w:t>“认知污染”若保留为批判性概念，就应落实为具体变化：来源不明的内容被误记为事实，规则条件在传播中丢失，信心上升而准确性未改善，或者反证失去了改变解释的能力。接触新奇和禁忌本身不构成这些变化。文学的价值正在于把平常紧密相连的环节拆开，让我们看到：事实识别、解释确信、行动依据与道德承诺，原来可以各自成立，也可以各自失败。</w:t>
      </w:r>
    </w:p>
    <w:p>
      <w:pPr>
        <w:pStyle w:val="Heading1"/>
      </w:pPr>
      <w:r>
        <w:t>第七章 可检验预测：概括与事实恢复</w:t>
      </w:r>
    </w:p>
    <w:p>
      <w:pPr>
        <w:pStyle w:val="Heading2"/>
      </w:pPr>
      <w:r>
        <w:t>7.1 从结构性缺口到经验效应</w:t>
      </w:r>
    </w:p>
    <w:p>
      <w:pPr>
        <w:jc w:val="both"/>
      </w:pPr>
      <w:r>
        <w:t>形式命题给出的是表示不足的条件；经验研究要进一步判断，人是否依赖这种表示，以及条件恢复能否产生有针对性的改善。参与者可以记住未进入概括的原事实，也可以识破概括遗漏。因此，概括发生碰撞不意味着行为差异必然出现。协议A将问题限定为：所有参与者先看到完整事实后，只描述动作和保留规则条件的概括，是否会影响后续合规判断；恢复相关事实相对于无关提醒的改善，是否在前一种概括下更大。</w:t>
      </w:r>
    </w:p>
    <w:p>
      <w:pPr>
        <w:jc w:val="both"/>
      </w:pPr>
      <w:r>
        <w:t>拟采用中性虚构协作场景，以相同动作视频呈现对象与位移，再给出行动者当时获得的信息、已生效规则和实际后果。任务答案依据材料指定规则，个人正当性评分另行测量。这样既保留感觉证据进入语言描述的入口，又能使判别条件和参考答案明确。若使用纯文字备选材料，研究对象相应限定为语言材料中的概括与背景整合。</w:t>
      </w:r>
    </w:p>
    <w:p>
      <w:pPr>
        <w:pStyle w:val="Heading2"/>
      </w:pPr>
      <w:r>
        <w:t>7.2 完成全部前测后再随机恢复</w:t>
      </w:r>
    </w:p>
    <w:p>
      <w:pPr>
        <w:jc w:val="both"/>
      </w:pPr>
      <w:r>
        <w:t>概括类型在参与者内平衡。在满足各参与者及各材料版本平衡的约束下，将概括版本随机分配到参与者×材料组合，保存完整分配表与随机种子；单纯平衡不能代替随机化。每位参与者对同一材料只见一个版本。两类概括尽量匹配长度和阅读时间，保留何种信息的差别正是操纵。第一阶段完成所有场景的恢复前合规判断与信心测量，不呈现恢复提示，也不先用关键事实题提醒被省略的条件。</w:t>
      </w:r>
    </w:p>
    <w:p>
      <w:pPr>
        <w:jc w:val="both"/>
      </w:pPr>
      <w:r>
        <w:t>全部前测完成后，才将参与者随机分配至相关事实恢复组或等长无关事实提醒组，进入后测。第二阶段按第一阶段场景顺序提供提示和相同的再次作答机会，记录实际前后间隔、场景序位与反应时。关键事实识别安排在全部主要判断完成之后；恢复前记忆若需测量，另用独立预试样本或独立材料。如此避免恢复操作污染尚未完成的前测，同时把第二阶段提示的累积影响保留为任务历史的一部分。</w:t>
      </w:r>
    </w:p>
    <w:p>
      <w:pPr>
        <w:pStyle w:val="Heading2"/>
      </w:pPr>
      <w:r>
        <w:t>7.3 主要对比与竞争解释</w:t>
      </w:r>
    </w:p>
    <w:p>
      <w:pPr>
        <w:keepNext/>
        <w:jc w:val="both"/>
      </w:pPr>
      <w:r>
        <w:t>协议A的唯一主要检验是概率尺度上的三重差D：</w:t>
      </w:r>
    </w:p>
    <w:p>
      <w:pPr>
        <w:pStyle w:val="EquationText"/>
        <w:keepNext/>
        <w:jc w:val="left"/>
      </w:pPr>
      <m:oMath>
        <m:r>
          <m:t>D = Δ动作概括 − Δ条件概括，</m:t>
        </m:r>
      </m:oMath>
    </w:p>
    <w:p>
      <w:pPr>
        <w:pStyle w:val="EquationText"/>
        <w:jc w:val="left"/>
      </w:pPr>
      <m:oMath>
        <m:r>
          <m:t>Δ概括 = (p后 − p前)相关 − (p后 − p前)无关。</m:t>
        </m:r>
      </m:oMath>
    </w:p>
    <w:p>
      <w:pPr>
        <w:jc w:val="both"/>
      </w:pPr>
      <w:r>
        <w:t>预测D&gt;0，即相关恢复相对无关提醒的前后改善，在动作概括下更大。理由是：若被省略的规则条件限制了当前判断，恢复该条件应比一般提醒更有针对性；条件概括已经保留这一信息，额外恢复的需要可能较小。这是经验假说，而非附录一定理的必然结果。</w:t>
      </w:r>
    </w:p>
    <w:p>
      <w:pPr>
        <w:jc w:val="both"/>
      </w:pPr>
      <w:r>
        <w:t>主要结果是按指定规则判断的准确率。动作识别、条件记忆、行为解释、无概括的新材料迁移、信心校准和个人正当性评分分别保留，行为解释允许“信息不足”。采用二项混合模型，固定部分包括概括、提示组别、阶段及其交互；随机部分包括参与者和材料交叉效应，以及同一参与者对同一材料前后作答共享的参与者×材料随机截距。概率尺度D由模型标准化计算，不能用logit交互系数直接替代。完整流程与分析边界见附录五。</w:t>
      </w:r>
    </w:p>
    <w:p>
      <w:pPr>
        <w:jc w:val="both"/>
      </w:pPr>
      <w:r>
        <w:t>改善空间是必须比较的竞争解释。若条件概括组前测已接近满分，D&gt;0可能部分来自天花板；预试应避免严重天花板和地板，并报告基线及改善范围。一般记忆支持、任务要求和提示权威也可能影响结果。反向结果或足够精确的近零结果会削弱特异性恢复假说，宽区间则表示证据不足；无论结果如何，都不能事后把任一方向解释为理论成功。</w:t>
      </w:r>
    </w:p>
    <w:p>
      <w:pPr>
        <w:jc w:val="both"/>
      </w:pPr>
      <w:r>
        <w:t>若H1与H2均获支持，可得出该任务中概括组织及相关条件恢复有效的结论。语言特异性还需等信息非语言比较，记忆中介需要额外的识别设计，真实规范动机和文化传递则分别需要其他任务。样本量须经预试和主对比功效模拟确定，本文不包含已实施实验或效应估计。</w:t>
      </w:r>
    </w:p>
    <w:p>
      <w:pPr>
        <w:pStyle w:val="Heading2"/>
      </w:pPr>
      <w:r>
        <w:t>7.4 规则失稳的独立研究</w:t>
      </w:r>
    </w:p>
    <w:p>
      <w:pPr>
        <w:jc w:val="both"/>
      </w:pPr>
      <w:r>
        <w:t>第六章提出了另一个可拆分问题：恢复规则适用条件，能否使人把表面矛盾重新组织为可用于新情境的规则。后续可以使用中性虚构导览故事，在相同冲突材料之后比较相关条件澄清与等长无关提示，冻结新情境的规则迁移准确率为主要结果；不安、理解信心和继续搜证作为次要指标。需要另行预试和预注册，不能把协议A的结果挪作文学机制的验证。</w:t>
      </w:r>
    </w:p>
    <w:p>
      <w:pPr>
        <w:jc w:val="both"/>
      </w:pPr>
      <w:r>
        <w:t>还应把规则条件与来源可信性分别操纵。明确“在什么地方适用”可能改善情境选择，却不能自动证明告示可信；确认来源可信，也不能补上缺失的适用条件。两种干预若产生不同模式，才更接近本框架所要求的定位：是哪一个依赖关系得到恢复，而非笼统地说信息增加使人安心。</w:t>
      </w:r>
    </w:p>
    <w:p>
      <w:pPr>
        <w:pStyle w:val="Heading1"/>
      </w:pPr>
      <w:r>
        <w:t>第八章 讨论与结论</w:t>
      </w:r>
    </w:p>
    <w:p>
      <w:pPr>
        <w:jc w:val="both"/>
      </w:pPr>
      <w:r>
        <w:t>本文把从感觉描述到道德判断理解为身体经验、语言组织、背景整合和利益评价之间的相互作用。人依据所重视的自身处境、关系和价值筛选信息，又根据事实信念、所见选项和行动反馈调整判断；社会学习则传递解释方式，并通过实际制度改变行动条件。前提追溯将这条整体机制中的依赖关系展开，使各项解释能够分别接受检查。</w:t>
      </w:r>
    </w:p>
    <w:p>
      <w:pPr>
        <w:jc w:val="both"/>
      </w:pPr>
      <w:r>
        <w:t>由此可以确立三项结论。第一，目标答案不同的事件若被同一表示合并，仅凭该表示无法保证恢复差别。第二，行为解释与道德评价通常接入动作片段未提供的知识、基线和规范，新前提必须独立接受检查。第三，不同缺口需要不同校正：遗漏条件需要恢复，来源问题需要核查，规范冲突需要论证。这些结论不把意义转换等同纯粹删减，也不把利益类别安排成语言抽象的高低阶梯。</w:t>
      </w:r>
    </w:p>
    <w:p>
      <w:pPr>
        <w:jc w:val="both"/>
      </w:pPr>
      <w:r>
        <w:t>这一框架的理论增量不在于宣布语言影响思想，而在于把影响拆到能够检查的依赖关系。一个“救助”“刁难”或“服从”的判断，既保存了部分事件结构，也可能省略条件、接入脚本并运用规范。追溯要求指出这些操作如何参与结论，校正则要求相关干预在相应位置产生可辨认的作用。由此，抽象的效率与判断的可靠性不再被视为同一件事：好用的标签可能需要随时返回原始条件。</w:t>
      </w:r>
    </w:p>
    <w:p>
      <w:pPr>
        <w:jc w:val="both"/>
      </w:pPr>
      <w:r>
        <w:t>P、S、M的区分进一步使这条分析具有具体内容。人不仅判断物体怎样移动，还判断行动改变谁的处境、关系和身份，维护什么价值以及他人的何种福祉。道德利益既可包含明确的原则，也可包含直接关切，不以普遍社会赞许为标准。后果不能自动证明动机，认同不能自动证明正当，权威名称也不能自动证明规则适用。公开这些桥梁，使赞许与责备能够承受事实核查和规范争论。</w:t>
      </w:r>
    </w:p>
    <w:p>
      <w:pPr>
        <w:jc w:val="both"/>
      </w:pPr>
      <w:r>
        <w:t>文学比较展示了这一框架的边界与张力。解释权威可以被破坏，私人确信可以封闭校验，规则适用可以依赖不稳的分类；即使事实解释成功，人的价值期待也可能失去保障。因此，理解不只是把更多材料纳入一个故事，还包括保持来源、条件和修正规则的可辨认性。文学把这些连接置于极端构造中，经验研究则须逐一检验其实际效果。</w:t>
      </w:r>
    </w:p>
    <w:p>
      <w:pPr>
        <w:jc w:val="both"/>
      </w:pPr>
      <w:r>
        <w:t>本文的形式论证确立了明确限制，现有研究提供了局部依据，所提协议承担后续经验检验。它没有预先证明全部心理过程，也不承诺补足事实便能消除规范分歧。仍可坚持的判断是：当一个评价把必要前提藏在简短词语之中，确信便可能超过证据；当这些前提能够被追溯，分歧才有机会从相互命名回到可核查、可争论的理由。可靠理解不仅要有解释，还要有允许解释改变的条件。</w:t>
      </w:r>
    </w:p>
    <w:p>
      <w:pPr>
        <w:pStyle w:val="Heading1"/>
      </w:pPr>
      <w:r>
        <w:t>参考文献</w:t>
      </w:r>
    </w:p>
    <w:p>
      <w:pPr>
        <w:pStyle w:val="Reference"/>
        <w:jc w:val="left"/>
      </w:pPr>
      <w:r>
        <w:t xml:space="preserve">Armitage, J. (2023). The pursuit of luxury as an act of transgression: Bataille, sovereignty, desire. </w:t>
      </w:r>
      <w:r>
        <w:rPr>
          <w:b w:val="0"/>
          <w:i/>
          <w:bCs w:val="0"/>
        </w:rPr>
        <w:t>French Cultural Studies, 34</w:t>
      </w:r>
      <w:r>
        <w:t xml:space="preserve">(4), 343–358. </w:t>
      </w:r>
      <w:r>
        <w:br/>
      </w:r>
      <w:r/>
      <w:hyperlink r:id="rId9">
        <w:r>
          <w:rPr>
            <w:color w:val="000000"/>
            <w:rFonts w:eastAsia="宋体" w:ascii="Times New Roman" w:hAnsi="Times New Roman"/>
          </w:rPr>
          <w:t>https://doi.org/10.1177/09571558221118244</w:t>
        </w:r>
      </w:hyperlink>
      <w:r/>
      <w:r/>
    </w:p>
    <w:p>
      <w:pPr>
        <w:pStyle w:val="Reference"/>
        <w:jc w:val="left"/>
      </w:pPr>
      <w:r>
        <w:t xml:space="preserve">Artaud, A. (1958). The theatre and cruelty (J. O. Morgan, Trans.). </w:t>
      </w:r>
      <w:r>
        <w:rPr>
          <w:b w:val="0"/>
          <w:i/>
          <w:bCs w:val="0"/>
        </w:rPr>
        <w:t>Tulane Drama Review, 2</w:t>
      </w:r>
      <w:r>
        <w:t xml:space="preserve">(3), 75–77. </w:t>
      </w:r>
      <w:r>
        <w:br/>
      </w:r>
      <w:r/>
      <w:hyperlink r:id="rId10">
        <w:r>
          <w:rPr>
            <w:color w:val="000000"/>
            <w:rFonts w:eastAsia="宋体" w:ascii="Times New Roman" w:hAnsi="Times New Roman"/>
          </w:rPr>
          <w:t>https://doi.org/10.2307/1124955</w:t>
        </w:r>
      </w:hyperlink>
      <w:r/>
      <w:r>
        <w:t xml:space="preserve"> （原作收入1938年《戏剧及其重影》；此处依据出版社公开节选。）</w:t>
      </w:r>
    </w:p>
    <w:p>
      <w:pPr>
        <w:pStyle w:val="Reference"/>
        <w:jc w:val="left"/>
      </w:pPr>
      <w:r>
        <w:t xml:space="preserve">Artaud, A. (无日期). </w:t>
      </w:r>
      <w:r>
        <w:rPr>
          <w:b w:val="0"/>
          <w:i/>
          <w:bCs w:val="0"/>
        </w:rPr>
        <w:t>To have done with the judgement of God</w:t>
      </w:r>
      <w:r>
        <w:t>. 网络英译本，结尾；所读文件未注明译者及出版版次。</w:t>
      </w:r>
      <w:r>
        <w:br/>
      </w:r>
      <w:r/>
      <w:hyperlink r:id="rId11">
        <w:r>
          <w:rPr>
            <w:color w:val="000000"/>
            <w:rFonts w:eastAsia="宋体" w:ascii="Times New Roman" w:hAnsi="Times New Roman"/>
          </w:rPr>
          <w:t>https://www.labster8.net/wp-content/uploads/2015/08/Artaud-ToHaveDoneWithJudgementofGod.pdf</w:t>
        </w:r>
      </w:hyperlink>
      <w:r/>
      <w:r>
        <w:t xml:space="preserve"> （访问日期：2026-10-16。）</w:t>
      </w:r>
    </w:p>
    <w:p>
      <w:pPr>
        <w:pStyle w:val="Reference"/>
        <w:jc w:val="left"/>
      </w:pPr>
      <w:r>
        <w:t xml:space="preserve">Cushman, F. (2008). Crime and punishment: Distinguishing the roles of causal and intentional analyses in moral judgment. </w:t>
      </w:r>
      <w:r>
        <w:rPr>
          <w:b w:val="0"/>
          <w:i/>
          <w:bCs w:val="0"/>
        </w:rPr>
        <w:t>Cognition, 108</w:t>
      </w:r>
      <w:r>
        <w:t xml:space="preserve">(2), 353–380. </w:t>
      </w:r>
      <w:r>
        <w:br/>
      </w:r>
      <w:r/>
      <w:hyperlink r:id="rId12">
        <w:r>
          <w:rPr>
            <w:color w:val="000000"/>
            <w:rFonts w:eastAsia="宋体" w:ascii="Times New Roman" w:hAnsi="Times New Roman"/>
          </w:rPr>
          <w:t>https://doi.org/10.1016/j.cognition.2008.03.006</w:t>
        </w:r>
      </w:hyperlink>
      <w:r/>
      <w:r/>
    </w:p>
    <w:p>
      <w:pPr>
        <w:pStyle w:val="Reference"/>
        <w:jc w:val="left"/>
      </w:pPr>
      <w:r>
        <w:t xml:space="preserve">Dawkins, R. (1976). </w:t>
      </w:r>
      <w:r>
        <w:rPr>
          <w:b w:val="0"/>
          <w:i/>
          <w:bCs w:val="0"/>
        </w:rPr>
        <w:t>The selfish gene</w:t>
      </w:r>
      <w:r>
        <w:t>. Oxford University Press. 第11章“Memes: The new replicators”。本文所读为网络扫描节选，节选所据版次与年份未确认；原著年与实际阅读载体分列。</w:t>
      </w:r>
      <w:r>
        <w:br/>
      </w:r>
      <w:r/>
      <w:hyperlink r:id="rId13">
        <w:r>
          <w:rPr>
            <w:color w:val="000000"/>
            <w:rFonts w:eastAsia="宋体" w:ascii="Times New Roman" w:hAnsi="Times New Roman"/>
          </w:rPr>
          <w:t>https://yalelawtech.org/wp-content/uploads/2020/11/dawkins-chapter-11.pdf</w:t>
        </w:r>
      </w:hyperlink>
      <w:r/>
      <w:r/>
    </w:p>
    <w:p>
      <w:pPr>
        <w:pStyle w:val="Reference"/>
        <w:jc w:val="left"/>
      </w:pPr>
      <w:r>
        <w:t xml:space="preserve">Fedorenko, E., Piantadosi, S. T., &amp; Gibson, E. A. F. (2024). Language is primarily a tool for communication rather than thought. </w:t>
      </w:r>
      <w:r>
        <w:rPr>
          <w:b w:val="0"/>
          <w:i/>
          <w:bCs w:val="0"/>
        </w:rPr>
        <w:t>Nature, 630</w:t>
      </w:r>
      <w:r>
        <w:t xml:space="preserve">, 575–586. </w:t>
      </w:r>
      <w:r>
        <w:br/>
      </w:r>
      <w:r/>
      <w:hyperlink r:id="rId14">
        <w:r>
          <w:rPr>
            <w:color w:val="000000"/>
            <w:rFonts w:eastAsia="宋体" w:ascii="Times New Roman" w:hAnsi="Times New Roman"/>
          </w:rPr>
          <w:t>https://doi.org/10.1038/s41586-024-07522-w</w:t>
        </w:r>
      </w:hyperlink>
      <w:r/>
      <w:r/>
    </w:p>
    <w:p>
      <w:pPr>
        <w:pStyle w:val="Reference"/>
        <w:jc w:val="left"/>
      </w:pPr>
      <w:r>
        <w:t xml:space="preserve">Kirby, S., Cornish, H., &amp; Smith, K. (2008). Cumulative cultural evolution in the laboratory: An experimental approach to the origins of structure in human language. </w:t>
      </w:r>
      <w:r>
        <w:rPr>
          <w:b w:val="0"/>
          <w:i/>
          <w:bCs w:val="0"/>
        </w:rPr>
        <w:t>Proceedings of the National Academy of Sciences, 105</w:t>
      </w:r>
      <w:r>
        <w:t xml:space="preserve">(31), 10681–10686. </w:t>
      </w:r>
      <w:r>
        <w:br/>
      </w:r>
      <w:r/>
      <w:hyperlink r:id="rId15">
        <w:r>
          <w:rPr>
            <w:color w:val="000000"/>
            <w:rFonts w:eastAsia="宋体" w:ascii="Times New Roman" w:hAnsi="Times New Roman"/>
          </w:rPr>
          <w:t>https://doi.org/10.1073/pnas.0707835105</w:t>
        </w:r>
      </w:hyperlink>
      <w:r/>
      <w:r/>
    </w:p>
    <w:p>
      <w:pPr>
        <w:pStyle w:val="Reference"/>
        <w:jc w:val="left"/>
      </w:pPr>
      <w:r>
        <w:t xml:space="preserve">LordStonefish. (无日期). </w:t>
      </w:r>
      <w:r>
        <w:rPr>
          <w:b w:val="0"/>
          <w:i/>
          <w:bCs w:val="0"/>
        </w:rPr>
        <w:t>SCP-3999</w:t>
      </w:r>
      <w:r>
        <w:t xml:space="preserve">. SCP Wiki. </w:t>
      </w:r>
      <w:r>
        <w:br/>
      </w:r>
      <w:r/>
      <w:hyperlink r:id="rId16">
        <w:r>
          <w:rPr>
            <w:color w:val="000000"/>
            <w:rFonts w:eastAsia="宋体" w:ascii="Times New Roman" w:hAnsi="Times New Roman"/>
          </w:rPr>
          <w:t>https://scp-wiki.wikidot.com/scp-3999</w:t>
        </w:r>
      </w:hyperlink>
      <w:r/>
      <w:r>
        <w:t xml:space="preserve"> （访问日期：2026-10-16；采用现行网页文本。）</w:t>
      </w:r>
    </w:p>
    <w:p>
      <w:pPr>
        <w:pStyle w:val="Reference"/>
        <w:jc w:val="left"/>
      </w:pPr>
      <w:r>
        <w:t xml:space="preserve">Lovecraft, H. P. (1928). The call of Cthulhu. </w:t>
      </w:r>
      <w:r>
        <w:rPr>
          <w:b w:val="0"/>
          <w:i/>
          <w:bCs w:val="0"/>
        </w:rPr>
        <w:t>Weird Tales, 11</w:t>
      </w:r>
      <w:r>
        <w:t>(2), 159–178, 287. 所读英文转录：</w:t>
      </w:r>
      <w:r>
        <w:br/>
      </w:r>
      <w:r/>
      <w:hyperlink r:id="rId17">
        <w:r>
          <w:rPr>
            <w:color w:val="000000"/>
            <w:rFonts w:eastAsia="宋体" w:ascii="Times New Roman" w:hAnsi="Times New Roman"/>
          </w:rPr>
          <w:t>https://www.hplovecraft.com/writings/texts/fiction/cc.aspx</w:t>
        </w:r>
      </w:hyperlink>
      <w:r/>
      <w:r>
        <w:t xml:space="preserve"> 。</w:t>
      </w:r>
    </w:p>
    <w:p>
      <w:pPr>
        <w:pStyle w:val="Reference"/>
        <w:jc w:val="left"/>
      </w:pPr>
      <w:r>
        <w:t xml:space="preserve">Lupyan, G., &amp; Ward, E. J. (2013). Language can boost otherwise unseen objects into visual awareness. </w:t>
      </w:r>
      <w:r>
        <w:rPr>
          <w:b w:val="0"/>
          <w:i/>
          <w:bCs w:val="0"/>
        </w:rPr>
        <w:t>Proceedings of the National Academy of Sciences, 110</w:t>
      </w:r>
      <w:r>
        <w:t xml:space="preserve">(35), 14196–14201. </w:t>
      </w:r>
      <w:r>
        <w:br/>
      </w:r>
      <w:r/>
      <w:hyperlink r:id="rId18">
        <w:r>
          <w:rPr>
            <w:color w:val="000000"/>
            <w:rFonts w:eastAsia="宋体" w:ascii="Times New Roman" w:hAnsi="Times New Roman"/>
          </w:rPr>
          <w:t>https://doi.org/10.1073/pnas.1303312110</w:t>
        </w:r>
      </w:hyperlink>
      <w:r/>
      <w:r/>
    </w:p>
    <w:p>
      <w:pPr>
        <w:pStyle w:val="Reference"/>
        <w:jc w:val="left"/>
      </w:pPr>
      <w:r>
        <w:t xml:space="preserve">Mack, M. L., Preston, A. R., &amp; Love, B. C. (2020). Ventromedial prefrontal cortex compression during concept learning. </w:t>
      </w:r>
      <w:r>
        <w:rPr>
          <w:b w:val="0"/>
          <w:i/>
          <w:bCs w:val="0"/>
        </w:rPr>
        <w:t>Nature Communications, 11</w:t>
      </w:r>
      <w:r>
        <w:t xml:space="preserve">, Article 46. </w:t>
      </w:r>
      <w:r>
        <w:br/>
      </w:r>
      <w:r/>
      <w:hyperlink r:id="rId19">
        <w:r>
          <w:rPr>
            <w:color w:val="000000"/>
            <w:rFonts w:eastAsia="宋体" w:ascii="Times New Roman" w:hAnsi="Times New Roman"/>
          </w:rPr>
          <w:t>https://doi.org/10.1038/s41467-019-13930-8</w:t>
        </w:r>
      </w:hyperlink>
      <w:r/>
      <w:r/>
    </w:p>
    <w:p>
      <w:pPr>
        <w:pStyle w:val="Reference"/>
        <w:jc w:val="left"/>
      </w:pPr>
      <w:r>
        <w:t xml:space="preserve">Moulin, C. J. A., Bell, N., Turunen, M., Baharin, A., &amp; O’Connor, A. R. (2021). The the the the induction of jamais vu in the laboratory: Word alienation and semantic satiation. </w:t>
      </w:r>
      <w:r>
        <w:rPr>
          <w:b w:val="0"/>
          <w:i/>
          <w:bCs w:val="0"/>
        </w:rPr>
        <w:t>Memory, 29</w:t>
      </w:r>
      <w:r>
        <w:t xml:space="preserve">(7), 933–942. </w:t>
      </w:r>
      <w:r>
        <w:br/>
      </w:r>
      <w:r/>
      <w:hyperlink r:id="rId20">
        <w:r>
          <w:rPr>
            <w:color w:val="000000"/>
            <w:rFonts w:eastAsia="宋体" w:ascii="Times New Roman" w:hAnsi="Times New Roman"/>
          </w:rPr>
          <w:t>https://doi.org/10.1080/09658211.2020.1727519</w:t>
        </w:r>
      </w:hyperlink>
      <w:r/>
      <w:r>
        <w:t xml:space="preserve"> （2020年在线发表。）</w:t>
      </w:r>
    </w:p>
    <w:p>
      <w:pPr>
        <w:pStyle w:val="Reference"/>
        <w:jc w:val="left"/>
      </w:pPr>
      <w:r>
        <w:t xml:space="preserve">Poe, E. A. (1843). The tell-tale heart. </w:t>
      </w:r>
      <w:r>
        <w:rPr>
          <w:b w:val="0"/>
          <w:i/>
          <w:bCs w:val="0"/>
        </w:rPr>
        <w:t>The Pioneer, 1</w:t>
      </w:r>
      <w:r>
        <w:t>(1), 29–31. 首刊英文转录：</w:t>
      </w:r>
      <w:r>
        <w:br/>
      </w:r>
      <w:r/>
      <w:hyperlink r:id="rId21">
        <w:r>
          <w:rPr>
            <w:color w:val="000000"/>
            <w:rFonts w:eastAsia="宋体" w:ascii="Times New Roman" w:hAnsi="Times New Roman"/>
          </w:rPr>
          <w:t>https://www.eapoe.org/works/tales/thearta.htm</w:t>
        </w:r>
      </w:hyperlink>
      <w:r/>
      <w:r>
        <w:t xml:space="preserve"> 。</w:t>
      </w:r>
    </w:p>
    <w:p>
      <w:pPr>
        <w:pStyle w:val="Reference"/>
        <w:jc w:val="left"/>
      </w:pPr>
      <w:r>
        <w:t xml:space="preserve">Proulx, T., &amp; Heine, S. J. (2009). Connections from Kafka: Exposure to meaning threats improves implicit learning of an artificial grammar. </w:t>
      </w:r>
      <w:r>
        <w:rPr>
          <w:b w:val="0"/>
          <w:i/>
          <w:bCs w:val="0"/>
        </w:rPr>
        <w:t>Psychological Science, 20</w:t>
      </w:r>
      <w:r>
        <w:t xml:space="preserve">(9), 1125–1131. </w:t>
      </w:r>
      <w:r>
        <w:br/>
      </w:r>
      <w:r/>
      <w:hyperlink r:id="rId22">
        <w:r>
          <w:rPr>
            <w:color w:val="000000"/>
            <w:rFonts w:eastAsia="宋体" w:ascii="Times New Roman" w:hAnsi="Times New Roman"/>
          </w:rPr>
          <w:t>https://doi.org/10.1111/j.1467-9280.2009.02414.x</w:t>
        </w:r>
      </w:hyperlink>
      <w:r/>
      <w:r/>
    </w:p>
    <w:p>
      <w:pPr>
        <w:pStyle w:val="Reference"/>
        <w:jc w:val="left"/>
      </w:pPr>
      <w:r>
        <w:t xml:space="preserve">Ströberg, K., Andersen, L. M., &amp; Wiens, S. (2017). Electrocortical N400 effects of semantic satiation. </w:t>
      </w:r>
      <w:r>
        <w:rPr>
          <w:b w:val="0"/>
          <w:i/>
          <w:bCs w:val="0"/>
        </w:rPr>
        <w:t>Frontiers in Psychology, 8</w:t>
      </w:r>
      <w:r>
        <w:t xml:space="preserve">, Article 2117. </w:t>
      </w:r>
      <w:r>
        <w:br/>
      </w:r>
      <w:r/>
      <w:hyperlink r:id="rId23">
        <w:r>
          <w:rPr>
            <w:color w:val="000000"/>
            <w:rFonts w:eastAsia="宋体" w:ascii="Times New Roman" w:hAnsi="Times New Roman"/>
          </w:rPr>
          <w:t>https://doi.org/10.3389/fpsyg.2017.02117</w:t>
        </w:r>
      </w:hyperlink>
      <w:r/>
      <w:r/>
    </w:p>
    <w:p>
      <w:pPr>
        <w:pStyle w:val="Reference"/>
        <w:jc w:val="left"/>
      </w:pPr>
      <w:r>
        <w:t xml:space="preserve">Tishby, N., Pereira, F. C., &amp; Bialek, W. (1999). The information bottleneck method. In </w:t>
      </w:r>
      <w:r>
        <w:rPr>
          <w:b w:val="0"/>
          <w:i/>
          <w:bCs w:val="0"/>
        </w:rPr>
        <w:t>Proceedings of the 37th Annual Allerton Conference on Communication, Control, and Computing</w:t>
      </w:r>
      <w:r>
        <w:t xml:space="preserve"> (pp. 368–377). 另见2000年提交的作者预印本：</w:t>
      </w:r>
      <w:r>
        <w:br/>
      </w:r>
      <w:r/>
      <w:hyperlink r:id="rId24">
        <w:r>
          <w:rPr>
            <w:color w:val="000000"/>
            <w:rFonts w:eastAsia="宋体" w:ascii="Times New Roman" w:hAnsi="Times New Roman"/>
          </w:rPr>
          <w:t>https://arxiv.org/abs/physics/0004057</w:t>
        </w:r>
      </w:hyperlink>
      <w:r/>
      <w:r>
        <w:t xml:space="preserve"> 。会议页码沿用已核书目记录，尚未从会议印刷本复核。</w:t>
      </w:r>
    </w:p>
    <w:p>
      <w:pPr>
        <w:pStyle w:val="Reference"/>
        <w:jc w:val="left"/>
      </w:pPr>
      <w:r>
        <w:t xml:space="preserve">Varley, R. A., Klessinger, N. J. C., Romanowski, C. A. J., &amp; Siegal, M. (2005). Agrammatic but numerate. </w:t>
      </w:r>
      <w:r>
        <w:rPr>
          <w:b w:val="0"/>
          <w:i/>
          <w:bCs w:val="0"/>
        </w:rPr>
        <w:t>Proceedings of the National Academy of Sciences, 102</w:t>
      </w:r>
      <w:r>
        <w:t xml:space="preserve">(9), 3519–3524. </w:t>
      </w:r>
      <w:r>
        <w:br/>
      </w:r>
      <w:r/>
      <w:hyperlink r:id="rId25">
        <w:r>
          <w:rPr>
            <w:color w:val="000000"/>
            <w:rFonts w:eastAsia="宋体" w:ascii="Times New Roman" w:hAnsi="Times New Roman"/>
          </w:rPr>
          <w:t>https://doi.org/10.1073/pnas.0407470102</w:t>
        </w:r>
      </w:hyperlink>
      <w:r/>
      <w:r/>
    </w:p>
    <w:p>
      <w:pPr>
        <w:pStyle w:val="Reference"/>
        <w:jc w:val="left"/>
      </w:pPr>
      <w:r>
        <w:t xml:space="preserve">Whitson, J. A., &amp; Galinsky, A. D. (2008). Lacking control increases illusory pattern perception. </w:t>
      </w:r>
      <w:r>
        <w:rPr>
          <w:b w:val="0"/>
          <w:i/>
          <w:bCs w:val="0"/>
        </w:rPr>
        <w:t>Science, 322</w:t>
      </w:r>
      <w:r>
        <w:t xml:space="preserve">(5898), 115–117. </w:t>
      </w:r>
      <w:r>
        <w:br/>
      </w:r>
      <w:r/>
      <w:hyperlink r:id="rId26">
        <w:r>
          <w:rPr>
            <w:color w:val="000000"/>
            <w:rFonts w:eastAsia="宋体" w:ascii="Times New Roman" w:hAnsi="Times New Roman"/>
          </w:rPr>
          <w:t>https://doi.org/10.1126/science.1159845</w:t>
        </w:r>
      </w:hyperlink>
      <w:r/>
      <w:r/>
    </w:p>
    <w:p>
      <w:pPr>
        <w:pStyle w:val="Reference"/>
        <w:jc w:val="left"/>
      </w:pPr>
      <w:r>
        <w:t xml:space="preserve">Wong, A. D. (2005). The reappropriation of tongzhi. </w:t>
      </w:r>
      <w:r>
        <w:rPr>
          <w:b w:val="0"/>
          <w:i/>
          <w:bCs w:val="0"/>
        </w:rPr>
        <w:t>Language in Society, 34</w:t>
      </w:r>
      <w:r>
        <w:t xml:space="preserve">(5), 763–793. </w:t>
      </w:r>
      <w:r>
        <w:br/>
      </w:r>
      <w:r/>
      <w:hyperlink r:id="rId27">
        <w:r>
          <w:rPr>
            <w:color w:val="000000"/>
            <w:rFonts w:eastAsia="宋体" w:ascii="Times New Roman" w:hAnsi="Times New Roman"/>
          </w:rPr>
          <w:t>https://doi.org/10.1017/S0047404505050281</w:t>
        </w:r>
      </w:hyperlink>
      <w:r/>
      <w:r/>
    </w:p>
    <w:p>
      <w:pPr>
        <w:pStyle w:val="Reference"/>
        <w:jc w:val="left"/>
      </w:pPr>
      <w:r>
        <w:t xml:space="preserve">Wong, A. D. (2008). On the actuation of semantic change: The case of tongzhi. </w:t>
      </w:r>
      <w:r>
        <w:rPr>
          <w:b w:val="0"/>
          <w:i/>
          <w:bCs w:val="0"/>
        </w:rPr>
        <w:t>Language Sciences, 30</w:t>
      </w:r>
      <w:r>
        <w:t xml:space="preserve">(4), 423–449. </w:t>
      </w:r>
      <w:r>
        <w:br/>
      </w:r>
      <w:r/>
      <w:hyperlink r:id="rId28">
        <w:r>
          <w:rPr>
            <w:color w:val="000000"/>
            <w:rFonts w:eastAsia="宋体" w:ascii="Times New Roman" w:hAnsi="Times New Roman"/>
          </w:rPr>
          <w:t>https://doi.org/10.1016/j.langsci.2005.12.003</w:t>
        </w:r>
      </w:hyperlink>
      <w:r/>
      <w:r/>
    </w:p>
    <w:p>
      <w:pPr>
        <w:pStyle w:val="Reference"/>
        <w:jc w:val="left"/>
      </w:pPr>
      <w:r>
        <w:t xml:space="preserve">Zaslavsky, N., Kemp, C., Regier, T., &amp; Tishby, N. (2018). Efficient compression in color naming and its evolution. </w:t>
      </w:r>
      <w:r>
        <w:rPr>
          <w:b w:val="0"/>
          <w:i/>
          <w:bCs w:val="0"/>
        </w:rPr>
        <w:t>Proceedings of the National Academy of Sciences, 115</w:t>
      </w:r>
      <w:r>
        <w:t xml:space="preserve">(31), 7937–7942. </w:t>
      </w:r>
      <w:r>
        <w:br/>
      </w:r>
      <w:r/>
      <w:hyperlink r:id="rId29">
        <w:r>
          <w:rPr>
            <w:color w:val="000000"/>
            <w:rFonts w:eastAsia="宋体" w:ascii="Times New Roman" w:hAnsi="Times New Roman"/>
          </w:rPr>
          <w:t>https://doi.org/10.1073/pnas.1800521115</w:t>
        </w:r>
      </w:hyperlink>
      <w:r/>
      <w:r/>
    </w:p>
    <w:p>
      <w:pPr>
        <w:pStyle w:val="Reference"/>
        <w:jc w:val="left"/>
      </w:pPr>
      <w:r>
        <w:t xml:space="preserve">Zheng, J., &amp; Meister, M. (2025). The unbearable slowness of being: Why do we live at 10 bits/s? </w:t>
      </w:r>
      <w:r>
        <w:rPr>
          <w:b w:val="0"/>
          <w:i/>
          <w:bCs w:val="0"/>
        </w:rPr>
        <w:t>Neuron, 113</w:t>
      </w:r>
      <w:r>
        <w:t xml:space="preserve">(2), 192–204. </w:t>
      </w:r>
      <w:r>
        <w:br/>
      </w:r>
      <w:r/>
      <w:hyperlink r:id="rId30">
        <w:r>
          <w:rPr>
            <w:color w:val="000000"/>
            <w:rFonts w:eastAsia="宋体" w:ascii="Times New Roman" w:hAnsi="Times New Roman"/>
          </w:rPr>
          <w:t>https://doi.org/10.1016/j.neuron.2024.11.008</w:t>
        </w:r>
      </w:hyperlink>
      <w:r/>
      <w:r/>
    </w:p>
    <w:p>
      <w:pPr>
        <w:pStyle w:val="Reference"/>
        <w:jc w:val="left"/>
      </w:pPr>
      <w:r>
        <w:t xml:space="preserve">十六椰子（页面并署A岛phKeaLx）.（无日期）. 动物园规则怪谈. 规则怪谈档案馆收录本. </w:t>
      </w:r>
      <w:r>
        <w:br/>
      </w:r>
      <w:r/>
      <w:hyperlink r:id="rId31">
        <w:r>
          <w:rPr>
            <w:color w:val="000000"/>
            <w:rFonts w:eastAsia="宋体" w:ascii="Times New Roman" w:hAnsi="Times New Roman"/>
          </w:rPr>
          <w:t>https://rule-wiki.wikidot.com/zoo-rule</w:t>
        </w:r>
      </w:hyperlink>
      <w:r/>
      <w:r>
        <w:t xml:space="preserve"> （访问日期：2026-10-16；非首发本校勘。）</w:t>
      </w:r>
    </w:p>
    <w:p>
      <w:pPr>
        <w:pStyle w:val="Reference"/>
        <w:jc w:val="left"/>
      </w:pPr>
      <w:r>
        <w:t>芬多经（2019年5月21日）．專訪林奕華：透過「女性之眼」看三部經典舞台劇的影像化（下）．關鍵評論網．</w:t>
      </w:r>
      <w:r>
        <w:br/>
      </w:r>
      <w:r/>
      <w:hyperlink r:id="rId32">
        <w:r>
          <w:rPr>
            <w:color w:val="000000"/>
            <w:rFonts w:eastAsia="宋体" w:ascii="Times New Roman" w:hAnsi="Times New Roman"/>
          </w:rPr>
          <w:t>https://www.thenewslens.com/article/119470</w:t>
        </w:r>
      </w:hyperlink>
      <w:r/>
      <w:r/>
    </w:p>
    <w:p>
      <w:pPr>
        <w:pStyle w:val="Reference"/>
        <w:jc w:val="left"/>
      </w:pPr>
      <w:r>
        <w:t>沃时文化有限公司（无日期）．第29屆金馬影展．國家文化記憶庫．</w:t>
      </w:r>
      <w:r>
        <w:br/>
      </w:r>
      <w:r/>
      <w:hyperlink r:id="rId33">
        <w:r>
          <w:rPr>
            <w:color w:val="000000"/>
            <w:rFonts w:eastAsia="宋体" w:ascii="Times New Roman" w:hAnsi="Times New Roman"/>
          </w:rPr>
          <w:t>https://tcmb.culture.tw/zh-tw/detail?id=613252&amp;indexCode=Culture_Event</w:t>
        </w:r>
      </w:hyperlink>
      <w:r/>
      <w:r>
        <w:t xml:space="preserve"> （所引为馆藏描述；事件年份1992，不作为条目出版年份。访问日期：2026-10-16。）</w:t>
      </w:r>
    </w:p>
    <w:p>
      <w:pPr>
        <w:pStyle w:val="Heading1"/>
      </w:pPr>
      <w:r>
        <w:t>附录一 同一表示的碰撞与精确恢复限制</w:t>
      </w:r>
    </w:p>
    <w:p>
      <w:pPr>
        <w:jc w:val="both"/>
      </w:pPr>
      <w:r>
        <w:t>设事件集合为X，确定性表征为f:X→Z，固定的目标答案函数为q:X→Y。若存在x₁、x₂，使f(x₁)=f(x₂)而q(x₁)≠q(x₂)，则不存在仅以Z为输入的确定性函数h，使h(f(x))对x₁、x₂均等于q(x)。</w:t>
      </w:r>
    </w:p>
    <w:p>
      <w:pPr>
        <w:jc w:val="both"/>
      </w:pPr>
      <w:r>
        <w:t>证明：记f(x₁)=f(x₂)=z，则h(f(x₁))=h(z)=h(f(x₂))。若两者均等于各自目标答案，就有q(x₁)=q(x₂)，与条件矛盾。证毕。</w:t>
      </w:r>
    </w:p>
    <w:p>
      <w:pPr>
        <w:jc w:val="both"/>
      </w:pPr>
      <w:r>
        <w:t>如果解码器使用独立于事件的随机数，其在同一z上的输出分布也相同，因而不能对两个不同答案同时以概率一正确。若两事件等概率出现且答案二值，该单标签条件下的平均正确率至多为二分之一；这一数值依赖等概率假定，不是一般情况下的固定上限。</w:t>
      </w:r>
    </w:p>
    <w:p>
      <w:pPr>
        <w:jc w:val="both"/>
      </w:pPr>
      <w:r>
        <w:t>该命题不要求原任务与新任务相同，只要求待恢复的q固定。它证明确定性精确恢复的限制，不自动证明统计充分性失效；后者需要定义联合分布并检验P(Y｜X,C)=P(Y｜Z,C)等条件。若新输入C区分两事件，h(z,C)可以恢复不同答案。对于随机事件模型，只有不同事件诱导相同的全部可观察分布时，才有相应不可识别性；仅有分布重叠不足以推出完全不可区分。</w:t>
      </w:r>
    </w:p>
    <w:p>
      <w:pPr>
        <w:pStyle w:val="Heading1"/>
      </w:pPr>
      <w:r>
        <w:t>附录二 条件数据处理不等式与新增背景反例</w:t>
      </w:r>
    </w:p>
    <w:p>
      <w:pPr>
        <w:jc w:val="both"/>
      </w:pPr>
      <w:r>
        <w:t>设离散随机变量X、Z₁、Z₂、C、G的互信息有限，并满足条件马尔可夫关系I(X;Z₂｜Z₁,C,G)=0。由互信息链式法则，</w:t>
      </w:r>
    </w:p>
    <w:p>
      <w:pPr>
        <w:pStyle w:val="EquationText"/>
        <w:jc w:val="left"/>
      </w:pPr>
      <m:oMath>
        <m:r>
          <m:t>I(X; Z₁, Z₂ | C, G) = I(X; Z₁ | C, G)</m:t>
        </m:r>
      </m:oMath>
    </w:p>
    <w:p>
      <w:pPr>
        <w:pStyle w:val="EquationText"/>
        <w:jc w:val="left"/>
      </w:pPr>
      <m:oMath>
        <m:r>
          <m:t>I(X; Z₁ | C, G) = I(X; Z₂ | C, G) + I(X; Z₁ | Z₂, C, G)。</m:t>
        </m:r>
      </m:oMath>
    </w:p>
    <w:p>
      <w:pPr>
        <w:jc w:val="both"/>
      </w:pPr>
      <w:r>
        <w:t>条件互信息非负，故I(X;Z₂｜C,G)≤I(X;Z₁｜C,G)。这要求在同一C、G下比较，并保留规定的条件独立关系。</w:t>
      </w:r>
    </w:p>
    <w:p>
      <w:pPr>
        <w:jc w:val="both"/>
      </w:pPr>
      <w:r>
        <w:t>若后一层另外接收相关背景，则不能删去它而断言无条件互信息必定不增。反例：X为均匀二值变量，Z₁恒为0，新增背景C=X，令Z₂=C。于是I(X;Z₁)=0，I(X;Z₂)=1比特。无条件关系X→Z₁→Z₂不成立；条件于C后，两侧互信息均为0，条件不等式仍成立。一般地，若Z₂只依赖(Z₁,C,G)，可对扩展输入使用I(X;Z₂｜G)≤I(X;Z₁,C｜G)。增加的是可用输入，不是纯转换凭空产生信息。</w:t>
      </w:r>
    </w:p>
    <w:p>
      <w:pPr>
        <w:pStyle w:val="Heading1"/>
      </w:pPr>
      <w:r>
        <w:t>附录三 相同事实下的规范排序反模型</w:t>
      </w:r>
    </w:p>
    <w:p>
      <w:pPr>
        <w:jc w:val="both"/>
      </w:pPr>
      <w:r>
        <w:t>固定事实集F：双方贡献、需要和起始条件相同，没有其他权利主张；两个可行方案分别为x=(5,5)、y=(8,4)，数值表示同一单位的收益。构造两个解释模型。M_E满足F并采用“其他条件相同，在可行方案中以差距最小为优先”的规范，故x优于y。M_T同样满足F，但采用“其他条件相同，在可行方案中以总量最大为优先”的规范，故y优于x。</w:t>
      </w:r>
    </w:p>
    <w:p>
      <w:pPr>
        <w:jc w:val="both"/>
      </w:pPr>
      <w:r>
        <w:t>若F逻辑蕴涵x优于y，则每个满足F的模型都须满足该排序，M_T构成反例；反向蕴涵则被M_E否定。因此F不足以唯一规定这两个方案的排序。结论不涉及两规范是否同样正当。加入并论证规范前提N后，F与N的合取可以支持特定排序。</w:t>
      </w:r>
    </w:p>
    <w:p>
      <w:pPr>
        <w:pStyle w:val="Heading1"/>
      </w:pPr>
      <w:r>
        <w:t>附录四 相同似然不改变先验赔率</w:t>
      </w:r>
    </w:p>
    <w:p>
      <w:pPr>
        <w:jc w:val="both"/>
      </w:pPr>
      <w:r>
        <w:t>设两个假说H₁、H₂的先验概率均为正，证据E在两假说下的似然均存在且P(E｜H₁)=P(E｜H₂)=l&gt;0。由贝叶斯公式，</w:t>
      </w:r>
    </w:p>
    <w:p>
      <w:pPr>
        <w:pStyle w:val="EquationText"/>
        <w:jc w:val="left"/>
      </w:pPr>
      <m:oMath>
        <m:r>
          <m:t>P(H₁ | E) / P(H₂ | E)</m:t>
        </m:r>
      </m:oMath>
    </w:p>
    <w:p>
      <w:pPr>
        <w:pStyle w:val="EquationText"/>
        <w:jc w:val="left"/>
      </w:pPr>
      <m:oMath>
        <m:r>
          <m:t>= [P(E | H₁) / P(E | H₂)] × [P(H₁) / P(H₂)]</m:t>
        </m:r>
      </m:oMath>
    </w:p>
    <w:p>
      <w:pPr>
        <w:pStyle w:val="EquationText"/>
        <w:jc w:val="left"/>
      </w:pPr>
      <m:oMath>
        <m:r>
          <m:t>= P(H₁) / P(H₂)。</m:t>
        </m:r>
      </m:oMath>
    </w:p>
    <w:p>
      <w:pPr>
        <w:jc w:val="both"/>
      </w:pPr>
      <w:r>
        <w:t>因此该证据不改变二者的相对赔率。它不要求两假说先验各占一半，也不要求它们穷尽所有可能解释。若二者均赋予E零概率，通常的条件概率在此未定义，不能使用上述比值。相同似然也不是凭直觉认定；在实际研究中必须明确证据范围与假说模型。其他能够使似然不同的证据仍可能改变排序。</w:t>
      </w:r>
    </w:p>
    <w:p>
      <w:pPr>
        <w:pStyle w:val="Heading1"/>
      </w:pPr>
      <w:r>
        <w:t>附录五 协议A：语言概括是否保留后续判断所需的区别</w:t>
      </w:r>
    </w:p>
    <w:p>
      <w:pPr>
        <w:pStyle w:val="Heading2"/>
      </w:pPr>
      <w:r>
        <w:t>A.1 目标、材料与事实边界</w:t>
      </w:r>
    </w:p>
    <w:p>
      <w:pPr>
        <w:spacing w:line="336" w:lineRule="auto"/>
        <w:jc w:val="both"/>
      </w:pPr>
      <w:r>
        <w:t>首轮研究只检验概括组织与条件恢复，不以单项任务识别完整神经机制。拟准备24个中性虚构协作场景作为候选，经独立预试后冻结正式材料数。场景以短动画或短片呈现对象、动作和位移，再给出当事人当时获得的信息、已生效规则与实际后果。例：某人将共享托盘中的材料移到另一桌面，该行为是否合规取决于材料是否已完成核验及当轮归档条件。每项材料保存事实表、规则版本和任务内参考答案。</w:t>
      </w:r>
    </w:p>
    <w:p>
      <w:pPr>
        <w:spacing w:line="336" w:lineRule="auto"/>
        <w:jc w:val="both"/>
      </w:pPr>
      <w:r>
        <w:t>同一材料的动作视频在各处理条件完全相同，所有处理组先看到相同完整事实。独立预试检验对象和位移识别；正式任务在平衡抽取试次中增加简短动作识别题，题目位置预注册，并承认其可能提示注意。若改用纯文字材料，结果限定为语言材料研究。合规答案依据材料指定规则，个人正当性评分另测，不设研究者规定的普遍正确答案。</w:t>
      </w:r>
    </w:p>
    <w:p>
      <w:pPr>
        <w:pStyle w:val="Heading2"/>
      </w:pPr>
      <w:r>
        <w:t>A.2 操纵与流程</w:t>
      </w:r>
    </w:p>
    <w:p>
      <w:pPr>
        <w:spacing w:line="336" w:lineRule="auto"/>
        <w:jc w:val="both"/>
      </w:pPr>
      <w:r>
        <w:t>1. 参与者内平衡动作概括与条件概括。前者只报告动作，后者保留判别规则适用性所需条件。两者长度及阅读时间尽量匹配并记录实际匹配程度，不声称信息完全等量。</w:t>
      </w:r>
    </w:p>
    <w:p>
      <w:pPr>
        <w:spacing w:line="336" w:lineRule="auto"/>
        <w:jc w:val="both"/>
      </w:pPr>
      <w:r>
        <w:t>2. 第一阶段完成所有场景的恢复前判断。每位参与者对一个场景只见一个概括版本。在满足参与者内及材料跨参与者的版本平衡约束下，将概括版本随机分配到参与者×材料组合；预注册随机分配算法，保存完整分配表和随机种子，不能以单纯平衡替代随机化。场景顺序随机。每场景依次呈现完整事实、概括及等时中性干扰，然后测合规判断和信心；本阶段不呈现恢复提示或关键事实题。恢复前记忆如需测量，使用独立预试样本或独立材料。</w:t>
      </w:r>
    </w:p>
    <w:p>
      <w:pPr>
        <w:spacing w:line="336" w:lineRule="auto"/>
        <w:jc w:val="both"/>
      </w:pPr>
      <w:r>
        <w:t>3. 全部前测完成后，参与者随机进入相关事实恢复组或等长无关事实提醒组，再开始第二阶段。按第一阶段的场景顺序呈现提示，覆盖两类概括材料，提供同等提示阅读时间及再次作答机会，再测原合规问题与信心。记录场景序位、实际前后测及事实呈现至后测的间隔和反应时，预注册间隔不平衡的诊断与敏感性分析；固定序位滞后不等于实际时间完全相等。关键事实识别统一安排在全部主要前后测完成之后。由此避免恢复操作提前训练后续前测；第二阶段内的提示累积效应仍作为任务历史的一部分记录，不能将组间效果解释为孤立单条提示的纯效应。</w:t>
      </w:r>
    </w:p>
    <w:p>
      <w:pPr>
        <w:spacing w:line="336" w:lineRule="auto"/>
        <w:jc w:val="both"/>
      </w:pPr>
      <w:r>
        <w:t>4. 最后以无原概括的新场景测迁移，作为次要结果。冻结新材料与评分规则，避免把重复回答原题的熟练度当作迁移。</w:t>
      </w:r>
    </w:p>
    <w:p>
      <w:pPr>
        <w:pStyle w:val="Heading2"/>
      </w:pPr>
      <w:r>
        <w:t>A.3 假设与结果变量</w:t>
      </w:r>
    </w:p>
    <w:p>
      <w:pPr>
        <w:keepNext/>
        <w:spacing w:line="336" w:lineRule="auto"/>
        <w:jc w:val="both"/>
      </w:pPr>
      <w:r>
        <w:t>H1为次要预期：恢复前，条件概括比动作概括提高指定规则判断准确率。H2为唯一主要检验：相关事实恢复相对无关提醒带来的前后改善，在动作概括下更大。定义概率尺度对比</w:t>
      </w:r>
    </w:p>
    <w:p>
      <w:pPr>
        <w:pStyle w:val="EquationText"/>
        <w:keepNext/>
        <w:jc w:val="left"/>
      </w:pPr>
      <m:oMath>
        <m:r>
          <m:t>D = Δ动作概括 − Δ条件概括，</m:t>
        </m:r>
      </m:oMath>
    </w:p>
    <w:p>
      <w:pPr>
        <w:pStyle w:val="EquationText"/>
        <w:jc w:val="left"/>
      </w:pPr>
      <m:oMath>
        <m:r>
          <m:t>Δ概括 = (p后 − p前)相关 − (p后 − p前)无关。</m:t>
        </m:r>
      </m:oMath>
    </w:p>
    <w:p>
      <w:pPr>
        <w:spacing w:line="336" w:lineRule="auto"/>
        <w:jc w:val="both"/>
      </w:pPr>
      <w:r>
        <w:t>预测D&gt;0。反向或足够精确的近零结果削弱H2，宽区间只说明证据不足。预试避开严重天花板与地板，改善空间差异列为竞争解释。该预测不是形式定理的必然推论。</w:t>
      </w:r>
    </w:p>
    <w:p>
      <w:pPr>
        <w:spacing w:line="336" w:lineRule="auto"/>
        <w:jc w:val="both"/>
      </w:pPr>
      <w:r>
        <w:t>次要指标分别包括动作识别、条件记忆、行为解释、无概括迁移、信心校准和个人正当性评分。行为解释使用按情境冻结的选项，允许“信息不足”，评分规则独立于动作识别。反应时仅作探索性结果。不得将这些指标合并为单一正确率，也不据事后显著性更换主要结果。</w:t>
      </w:r>
    </w:p>
    <w:p>
      <w:pPr>
        <w:pStyle w:val="Heading2"/>
      </w:pPr>
      <w:r>
        <w:t>A.4 分析、样本与停止规则</w:t>
      </w:r>
    </w:p>
    <w:p>
      <w:pPr>
        <w:spacing w:line="336" w:lineRule="auto"/>
        <w:jc w:val="both"/>
      </w:pPr>
      <w:r>
        <w:t>采用二项混合模型，固定部分包括概括类型、提示组别、测量阶段及其交互，随机部分包含参与者与材料交叉效应，并为同一参与者对同一材料的前后作答设置共享的参与者×材料随机截距，以处理配对观测的额外相关。与设计对应的随机斜率、模型收敛失败的简化顺序及缺失处理在预注册中确定。用模型标准化计算概率尺度D及区间，logit交互系数不直接代替D。主要分析纳入全部正式随机参与者，不因事后提示理解失败任意剔除。</w:t>
      </w:r>
    </w:p>
    <w:p>
      <w:pPr>
        <w:spacing w:line="336" w:lineRule="auto"/>
        <w:jc w:val="both"/>
      </w:pPr>
      <w:r>
        <w:t>样本量通过主对比功效模拟确定。先预试材料并估计基线、参与者及材料变异，再针对有实际意义的最小概率差和多个合理参数组合模拟；拟定目标为90%功效、双侧α=.05。预注册记录最终N、成本与精度权衡及固定停止规则，再开始正式收集。没有预试与模拟时不填写确定人数，也不从小样本显著结果直接外推样本量。</w:t>
      </w:r>
    </w:p>
    <w:p>
      <w:pPr>
        <w:pStyle w:val="Heading2"/>
      </w:pPr>
      <w:r>
        <w:t>A.5 伦理、数据与解释范围</w:t>
      </w:r>
    </w:p>
    <w:p>
      <w:pPr>
        <w:spacing w:line="336" w:lineRule="auto"/>
        <w:jc w:val="both"/>
      </w:pPr>
      <w:r>
        <w:t>仅采匿名编号和预先确定的必要资格项，不采集私人创伤、医疗、性取向或政治经历；说明任务包含不同概括及补充信息，允许退出，实际伦理程序按实施机构要求执行。不声称刺激版本完全双盲，可向分析者遮蔽条件编码。材料不以作者私人经历作为刺激。</w:t>
      </w:r>
    </w:p>
    <w:p>
      <w:pPr>
        <w:spacing w:line="336" w:lineRule="auto"/>
        <w:jc w:val="both"/>
      </w:pPr>
      <w:r>
        <w:t>试次表至少保存participant_id、item_id、summary_type、reminder_group、phase、assigned_rule_answer、response、correct、confidence、rt_ms、fact_probe_type、fact_response、trial_order、elapsed_pre_post_ms；个人正当性评分另字段保存，不计入correct。随机种子、材料版本、排除理由与缺失状态单独留档。</w:t>
      </w:r>
    </w:p>
    <w:p>
      <w:pPr>
        <w:spacing w:line="336" w:lineRule="auto"/>
        <w:jc w:val="both"/>
      </w:pPr>
      <w:r>
        <w:t>若H1和H2均获支持，只能说明这一任务中的概括差异及相关条件恢复效应。记忆支持、一般任务目标、标签权威与需求效应仍需比较；记忆与评价同时变化也不独立证明中介因果。语言特异性需另加等信息非语言比较，文化传播需另行逐代传递设计，真实规范动机则需要独立识别。本协议尚未实施，不包含实验结果。</w:t>
      </w:r>
    </w:p>
    <w:sectPr w:rsidR="00FC693F" w:rsidRPr="0006063C" w:rsidSect="00034616">
      <w:headerReference w:type="default" r:id="rId34"/>
      <w:footerReference w:type="default" r:id="rId35"/>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sz w:val="18"/>
        <w:szCs w:val="18"/>
      </w:rPr>
      <w:t>从感觉描述到道德判断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宋体" w:ascii="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ind w:firstLine="480"/>
    </w:pPr>
    <w:rPr>
      <w:rFonts w:ascii="Times New Roman" w:hAnsi="Times New Roman" w:eastAsia="宋体" w:cs="Times New Roman"/>
      <w:b w:val="0"/>
      <w:color w:val="000000"/>
      <w:sz w:val="24"/>
      <w:szCs w:val="24"/>
      <w:b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宋体" w:cs="Times New Roman"/>
      <w:b w:val="0"/>
      <w:color w:val="000000"/>
      <w:sz w:val="18"/>
      <w:szCs w:val="18"/>
      <w:bCs w:val="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宋体" w:cs="Times New Roman"/>
      <w:b w:val="0"/>
      <w:color w:val="000000"/>
      <w:sz w:val="18"/>
      <w:szCs w:val="18"/>
      <w:bCs w:val="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00" w:lineRule="auto"/>
      <w:ind w:firstLine="0"/>
      <w:outlineLvl w:val="0"/>
    </w:pPr>
    <w:rPr>
      <w:rFonts w:ascii="Times New Roman" w:hAnsi="Times New Roman" w:eastAsia="黑体" w:cs="Times New Roman"/>
      <w:b/>
      <w:bCs w:val="1"/>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00" w:lineRule="auto"/>
      <w:ind w:firstLine="0"/>
      <w:outlineLvl w:val="1"/>
    </w:pPr>
    <w:rPr>
      <w:rFonts w:ascii="Times New Roman" w:hAnsi="Times New Roman" w:eastAsia="黑体" w:cs="Times New Roman"/>
      <w:b/>
      <w:bCs w:val="1"/>
      <w:color w:val="000000"/>
      <w:sz w:val="24"/>
      <w:szCs w:val="24"/>
    </w:rPr>
  </w:style>
  <w:style w:type="paragraph" w:styleId="Heading3">
    <w:name w:val="heading 3"/>
    <w:basedOn w:val="Normal"/>
    <w:next w:val="Normal"/>
    <w:link w:val="Heading3Char"/>
    <w:uiPriority w:val="9"/>
    <w:unhideWhenUsed/>
    <w:qFormat/>
    <w:rsid w:val="00FC693F"/>
    <w:pPr>
      <w:keepNext/>
      <w:keepLines/>
      <w:spacing w:before="240" w:after="120" w:line="300" w:lineRule="auto"/>
      <w:ind w:firstLine="0"/>
      <w:outlineLvl w:val="2"/>
    </w:pPr>
    <w:rPr>
      <w:rFonts w:ascii="Times New Roman" w:hAnsi="Times New Roman" w:eastAsia="黑体" w:cs="Times New Roman"/>
      <w:b/>
      <w:bCs w:val="1"/>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300" w:lineRule="auto" w:before="240"/>
      <w:ind w:firstLine="0"/>
      <w:contextualSpacing/>
    </w:pPr>
    <w:rPr>
      <w:rFonts w:ascii="Times New Roman" w:hAnsi="Times New Roman" w:eastAsia="黑体" w:cs="Times New Roman"/>
      <w:b/>
      <w:color w:val="000000"/>
      <w:spacing w:val="5"/>
      <w:kern w:val="28"/>
      <w:sz w:val="32"/>
      <w:szCs w:val="32"/>
      <w:bCs w:val="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widowControl/>
      <w:spacing w:line="312" w:lineRule="auto" w:after="60"/>
      <w:ind w:firstLine="420"/>
    </w:pPr>
    <w:rPr>
      <w:rFonts w:ascii="Times New Roman" w:hAnsi="Times New Roman" w:eastAsia="宋体" w:cs="Times New Roman"/>
      <w:b w:val="0"/>
      <w:color w:val="000000"/>
      <w:sz w:val="21"/>
      <w:szCs w:val="21"/>
      <w:bCs w:val="0"/>
    </w:rPr>
  </w:style>
  <w:style w:type="paragraph" w:customStyle="1" w:styleId="Reference">
    <w:name w:val="Reference"/>
    <w:pPr>
      <w:widowControl/>
      <w:spacing w:line="312" w:lineRule="auto" w:after="60"/>
      <w:ind w:left="420" w:hanging="420"/>
    </w:pPr>
    <w:rPr>
      <w:rFonts w:ascii="Times New Roman" w:hAnsi="Times New Roman" w:eastAsia="宋体" w:cs="Times New Roman"/>
      <w:b w:val="0"/>
      <w:color w:val="000000"/>
      <w:sz w:val="21"/>
      <w:szCs w:val="21"/>
      <w:bCs w:val="0"/>
    </w:rPr>
  </w:style>
  <w:style w:type="paragraph" w:customStyle="1" w:styleId="TableText">
    <w:name w:val="TableText"/>
    <w:pPr>
      <w:widowControl/>
      <w:spacing w:line="312" w:lineRule="auto" w:after="60"/>
      <w:ind w:firstLine="0"/>
    </w:pPr>
    <w:rPr>
      <w:rFonts w:ascii="Times New Roman" w:hAnsi="Times New Roman" w:eastAsia="宋体" w:cs="Times New Roman"/>
      <w:b w:val="0"/>
      <w:color w:val="000000"/>
      <w:sz w:val="20"/>
      <w:szCs w:val="20"/>
      <w:bCs w:val="0"/>
    </w:rPr>
  </w:style>
  <w:style w:type="paragraph" w:customStyle="1" w:styleId="EquationText">
    <w:name w:val="EquationText"/>
    <w:pPr>
      <w:widowControl/>
      <w:spacing w:line="312" w:lineRule="auto" w:after="60"/>
      <w:ind w:firstLine="0"/>
    </w:pPr>
    <w:rPr>
      <w:rFonts w:ascii="Times New Roman" w:hAnsi="Times New Roman" w:eastAsia="宋体" w:cs="Times New Roman"/>
      <w:b w:val="0"/>
      <w:color w:val="000000"/>
      <w:sz w:val="22"/>
      <w:szCs w:val="22"/>
      <w:bCs w:val="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77/09571558221118244" TargetMode="External"/><Relationship Id="rId10" Type="http://schemas.openxmlformats.org/officeDocument/2006/relationships/hyperlink" Target="https://doi.org/10.2307/1124955" TargetMode="External"/><Relationship Id="rId11" Type="http://schemas.openxmlformats.org/officeDocument/2006/relationships/hyperlink" Target="https://www.labster8.net/wp-content/uploads/2015/08/Artaud-ToHaveDoneWithJudgementofGod.pdf" TargetMode="External"/><Relationship Id="rId12" Type="http://schemas.openxmlformats.org/officeDocument/2006/relationships/hyperlink" Target="https://doi.org/10.1016/j.cognition.2008.03.006" TargetMode="External"/><Relationship Id="rId13" Type="http://schemas.openxmlformats.org/officeDocument/2006/relationships/hyperlink" Target="https://yalelawtech.org/wp-content/uploads/2020/11/dawkins-chapter-11.pdf" TargetMode="External"/><Relationship Id="rId14" Type="http://schemas.openxmlformats.org/officeDocument/2006/relationships/hyperlink" Target="https://doi.org/10.1038/s41586-024-07522-w" TargetMode="External"/><Relationship Id="rId15" Type="http://schemas.openxmlformats.org/officeDocument/2006/relationships/hyperlink" Target="https://doi.org/10.1073/pnas.0707835105" TargetMode="External"/><Relationship Id="rId16" Type="http://schemas.openxmlformats.org/officeDocument/2006/relationships/hyperlink" Target="https://scp-wiki.wikidot.com/scp-3999" TargetMode="External"/><Relationship Id="rId17" Type="http://schemas.openxmlformats.org/officeDocument/2006/relationships/hyperlink" Target="https://www.hplovecraft.com/writings/texts/fiction/cc.aspx" TargetMode="External"/><Relationship Id="rId18" Type="http://schemas.openxmlformats.org/officeDocument/2006/relationships/hyperlink" Target="https://doi.org/10.1073/pnas.1303312110" TargetMode="External"/><Relationship Id="rId19" Type="http://schemas.openxmlformats.org/officeDocument/2006/relationships/hyperlink" Target="https://doi.org/10.1038/s41467-019-13930-8" TargetMode="External"/><Relationship Id="rId20" Type="http://schemas.openxmlformats.org/officeDocument/2006/relationships/hyperlink" Target="https://doi.org/10.1080/09658211.2020.1727519" TargetMode="External"/><Relationship Id="rId21" Type="http://schemas.openxmlformats.org/officeDocument/2006/relationships/hyperlink" Target="https://www.eapoe.org/works/tales/thearta.htm" TargetMode="External"/><Relationship Id="rId22" Type="http://schemas.openxmlformats.org/officeDocument/2006/relationships/hyperlink" Target="https://doi.org/10.1111/j.1467-9280.2009.02414.x" TargetMode="External"/><Relationship Id="rId23" Type="http://schemas.openxmlformats.org/officeDocument/2006/relationships/hyperlink" Target="https://doi.org/10.3389/fpsyg.2017.02117" TargetMode="External"/><Relationship Id="rId24" Type="http://schemas.openxmlformats.org/officeDocument/2006/relationships/hyperlink" Target="https://arxiv.org/abs/physics/0004057" TargetMode="External"/><Relationship Id="rId25" Type="http://schemas.openxmlformats.org/officeDocument/2006/relationships/hyperlink" Target="https://doi.org/10.1073/pnas.0407470102" TargetMode="External"/><Relationship Id="rId26" Type="http://schemas.openxmlformats.org/officeDocument/2006/relationships/hyperlink" Target="https://doi.org/10.1126/science.1159845" TargetMode="External"/><Relationship Id="rId27" Type="http://schemas.openxmlformats.org/officeDocument/2006/relationships/hyperlink" Target="https://doi.org/10.1017/S0047404505050281" TargetMode="External"/><Relationship Id="rId28" Type="http://schemas.openxmlformats.org/officeDocument/2006/relationships/hyperlink" Target="https://doi.org/10.1016/j.langsci.2005.12.003" TargetMode="External"/><Relationship Id="rId29" Type="http://schemas.openxmlformats.org/officeDocument/2006/relationships/hyperlink" Target="https://doi.org/10.1073/pnas.1800521115" TargetMode="External"/><Relationship Id="rId30" Type="http://schemas.openxmlformats.org/officeDocument/2006/relationships/hyperlink" Target="https://doi.org/10.1016/j.neuron.2024.11.008" TargetMode="External"/><Relationship Id="rId31" Type="http://schemas.openxmlformats.org/officeDocument/2006/relationships/hyperlink" Target="https://rule-wiki.wikidot.com/zoo-rule" TargetMode="External"/><Relationship Id="rId32" Type="http://schemas.openxmlformats.org/officeDocument/2006/relationships/hyperlink" Target="https://www.thenewslens.com/article/119470" TargetMode="External"/><Relationship Id="rId33" Type="http://schemas.openxmlformats.org/officeDocument/2006/relationships/hyperlink" Target="https://tcmb.culture.tw/zh-tw/detail?id=613252&amp;indexCode=Culture_Event" TargetMode="External"/><Relationship Id="rId34" Type="http://schemas.openxmlformats.org/officeDocument/2006/relationships/header" Target="header1.xml"/><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从感觉描述到道德判断：语言抽象、利益评价与前提追溯</dc:title>
  <dc:subject/>
  <dc:creator/>
  <cp:keywords/>
  <dc:description/>
  <cp:lastModifiedBy/>
  <cp:revision>1</cp:revision>
  <dcterms:created xsi:type="dcterms:W3CDTF">2013-12-23T23:15:00Z</dcterms:created>
  <dcterms:modified xsi:type="dcterms:W3CDTF">2013-12-23T23:15:00Z</dcterms:modified>
  <cp:category/>
</cp:coreProperties>
</file>