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从配对关系到社会权力：</w:t>
        <w:br/>
      </w:r>
      <w:r>
        <w:t>支配—服从的模因起源假说与关系脚本迁移</w:t>
      </w:r>
    </w:p>
    <w:p>
      <w:pPr>
        <w:pStyle w:val="Heading1"/>
      </w:pPr>
      <w:r>
        <w:t>摘要</w:t>
      </w:r>
    </w:p>
    <w:p>
      <w:pPr>
        <w:pStyle w:val="Abstract"/>
        <w:jc w:val="both"/>
      </w:pPr>
      <w:r>
        <w:t>本文提出支配—服从的模因起源假说：人类早期男女配对中的不对称关系，是后来性别文化符号与一般社会权力脚本的共同原型；其最强版本主张这一原型具有根源性。文章将这一强假说分解为起源、编码、传播、抽象和重组五个环节，并以关系脚本的选择性迁移说明其可能机制。家庭经验进入其他关系时，权限、义务、正当化理由、纠错规则与退出条件能够分别保留或改写，进而影响行动者的利益评价、后果预期和实际或认知中的选择空间。对《周易》《孝经》《家范》《孟子》及亚里士多德、洛克和罗马法文本的比较表明，家庭既为一般秩序提供解释，也为权威施加义务和限制；夫妻、亲子、主奴与政治关系的联系始终伴随区分。汉英词汇用例及Douglass自述则表明，性别指称、文化评价与实际权力位置并不一一对应。现有证据支持局部规范连接、文本继承及角色的可分离性，尚不能确认共同原型的历史优先性与唯一来源地位。本文的机制贡献在于揭示：服从要求的传递与其限制条件的传递可能分离；纠错根据的删除和退出代价的变化，使相似称谓能够承载不同程度的支配。痛苦解除、情境调节与网络反馈的研究为服从维持和脚本传播提供候选机制，其人际作用及历史来源仍需直接检验。强起源命题与这些有边界的机制共同构成解释框架，但承担不同的证据要求。</w:t>
      </w:r>
    </w:p>
    <w:p>
      <w:pPr>
        <w:pStyle w:val="Abstract"/>
        <w:ind w:firstLine="0"/>
        <w:jc w:val="both"/>
      </w:pPr>
      <w:r/>
      <w:r>
        <w:rPr>
          <w:b/>
          <w:i w:val="0"/>
          <w:bCs w:val="1"/>
        </w:rPr>
        <w:t>关键词：</w:t>
      </w:r>
      <w:r>
        <w:t>支配与服从；配对起源假说；关系脚本；选择性迁移；性别符号；纠错与退出</w:t>
      </w:r>
    </w:p>
    <w:p>
      <w:pPr>
        <w:pStyle w:val="Heading1"/>
      </w:pPr>
      <w:r>
        <w:t>一、共同原型的起源问题</w:t>
      </w:r>
    </w:p>
    <w:p>
      <w:pPr>
        <w:jc w:val="both"/>
      </w:pPr>
      <w:r>
        <w:t>同一个人可以在家庭中作出决定，在工作中接受安排，又在另一段关系中平等协商。女性可能支配男性，男性也可能服从男性；一个人在某段关系中的权威，并不消除他在另一段关系中的从属。支配与服从首先是关系中的位置。问题在于：这些位置怎样获得相对稳定的意义，怎样被解释为某类人应当承担的角色，又怎样越出原来的关系，成为其他组织可以调用的秩序？</w:t>
      </w:r>
    </w:p>
    <w:p>
      <w:pPr>
        <w:jc w:val="both"/>
      </w:pPr>
      <w:r>
        <w:t>本文提出并论证以下强起源假说：</w:t>
      </w:r>
      <w:r>
        <w:rPr>
          <w:b/>
          <w:i w:val="0"/>
          <w:bCs w:val="1"/>
        </w:rPr>
        <w:t>人类早期男女配对中的支配—服从关系，是后来性别文化符号与一般社会权力脚本的共同原型。</w:t>
      </w:r>
      <w:r>
        <w:t>身体互动与共同生活中的关系位置，经学习、模仿和代际传播，被编码为男性与女性应当如何行动的规则；这些规则再经抽象与制度化，成为可以脱离具体性活动和伴侣关系的权威、忠诚、服从与反抗语言。其最强版本认为，这一共同原型具有根源性，其他领域的相关权力脚本最终由此派生。它不满足于证明家庭曾影响政治，而是追问二者是否具有共同的文化源头。</w:t>
      </w:r>
    </w:p>
    <w:p>
      <w:pPr>
        <w:jc w:val="both"/>
      </w:pPr>
      <w:r>
        <w:t>然而，从亲密关系到一般权力之间，并不存在一条由相似性自动铺成的道路。夫妇、父子、主奴都可能处在同一家内，它们拥有不同的义务和权利根据；把三者统称为家庭，再把家庭概括为支配，恰好抹去了需要解释的机制。更重要的是，一种关系进入另一种关系时，往往只有部分内容得到保留。要求服从的义务可以继续存在，要求掌权者自我约束的义务却未必随行；反过来，家庭照护也可以被用来要求统治者承担责任。来源相近的规范，由此能够形成不同的政治后果。</w:t>
      </w:r>
    </w:p>
    <w:p>
      <w:pPr>
        <w:jc w:val="both"/>
      </w:pPr>
      <w:r>
        <w:t>为说明这一历史假说可能如何成立，本文提出一个机制命题：</w:t>
      </w:r>
      <w:r>
        <w:rPr>
          <w:b/>
          <w:i w:val="0"/>
          <w:bCs w:val="1"/>
        </w:rPr>
        <w:t>关系脚本的跨域迁移，取决于权限、义务及其限制如何被选择和重组；支配的强化尤其需要从纠错资格与拒绝、退出条件的变化中识别。</w:t>
      </w:r>
      <w:r>
        <w:t>共同原型是关于来源的主张，选择性迁移是关于传递过程的主张，角色重组则涉及传播后的承担者和适用范围。三者相连，却不能相互代证。本文保留强起源的完整解释要求，同时逐段辨认现有文本实际支持到何处。</w:t>
      </w:r>
    </w:p>
    <w:p>
      <w:pPr>
        <w:jc w:val="both"/>
      </w:pPr>
      <w:r>
        <w:t>下文依次分析关系脚本的构成、迁移的条件与历史文本中的具体转用，继而讨论性别位置的重组及配对起源的竞争解释。所用材料包括明确连接家庭与政治的规范文本、区分权力类型的对照文本和能够检验性别—权力映射的语言用例。比较的目的在于解释规则怎样发生联系，而非估计某种观念在人类社会中的总体比例。</w:t>
      </w:r>
    </w:p>
    <w:p>
      <w:pPr>
        <w:pStyle w:val="Heading1"/>
      </w:pPr>
      <w:r>
        <w:t>二、关系脚本：命令资格及其边界</w:t>
      </w:r>
    </w:p>
    <w:p>
      <w:pPr>
        <w:pStyle w:val="Heading2"/>
      </w:pPr>
      <w:r>
        <w:t>（一）从模因到可比较的规则组合</w:t>
      </w:r>
    </w:p>
    <w:p>
      <w:pPr>
        <w:jc w:val="both"/>
      </w:pPr>
      <w:r>
        <w:t>道金斯以模因讨论文化内容的模仿与传播，为追问关系规范如何延续提供了一个入口（Dawkins，1989，第11章）。但“服从”“忠诚”或“男性气概”这样的孤立标签，不能充分说明关系如何运行。某人有权提出要求，不等于有权提出任何要求；某人负有履行义务，也不等于必须在一切条件下继续履行。传播的对象应落实为这些相互连接的规则。</w:t>
      </w:r>
    </w:p>
    <w:p>
      <w:pPr>
        <w:jc w:val="both"/>
      </w:pPr>
      <w:r>
        <w:t>本文将关系脚本定义为：在特定关系中，谁能够要求谁做什么，双方承担何种义务，要求以什么理由成立，以及争议如何纠正、关系如何终止。它包含六个成分：角色、行动权限、义务、正当化理由、纠错规则和退出条件。这里的模因指可通过学习、转述、示范与制度教育传播的文化内容；关系脚本是对其规则结构的分析，不预设文化内容具有固定的大脑储存格式，也不以“模因”之名替代传承证据。</w:t>
      </w:r>
    </w:p>
    <w:p>
      <w:pPr>
        <w:jc w:val="both"/>
      </w:pPr>
      <w:r>
        <w:t>六个成分并不总是共同复制。一个组织可以保留父母式称谓，却把关怀责任压缩为成员服从的理由；也可以借用家庭互助，却以成员共同决定和自由离开为前提。这些是理论上不同的转换，不能因为都使用家庭语言而合并为同一种权力模式。只有在来源联系得到证明以后，前后规则的差异才构成迁移中的改写；缺乏传承联系的相似规则，也可能是独立生成的结果。</w:t>
      </w:r>
    </w:p>
    <w:p>
      <w:pPr>
        <w:pStyle w:val="Heading2"/>
      </w:pPr>
      <w:r>
        <w:t>（二）支配、服从与授权</w:t>
      </w:r>
    </w:p>
    <w:p>
      <w:pPr>
        <w:jc w:val="both"/>
      </w:pPr>
      <w:r>
        <w:t>本文所分析的支配，是一方在特定事务上非对称地控制另一方的关键资源、可行选择或拒绝代价，使后者的行动持续受其约束的关系。帮助、建议同样可以改变选项，故一般影响能力不足以构成支配；还须考察控制的不对称及由此形成的依赖和限制。分析分别记录发令资格、资源控制、制裁能力与拒绝或退出条件，不把强弱缩成身体力量。服从则指行动者以他人的要求为行动依据而执行该要求；行为恰巧与要求相同，尚不能证明要求促成了服从。认同、交换、依赖、恐惧和临时授权，都可能使人按要求行动。</w:t>
      </w:r>
    </w:p>
    <w:p>
      <w:pPr>
        <w:jc w:val="both"/>
      </w:pPr>
      <w:r>
        <w:t>威望与强制由此必须区分。Henrich与Gil-White（2001）把自愿给予的敬从和依靠强制形成的地位机制加以区别。听从经验丰富者的建议，可以来自对其判断的信赖；接受掌握惩罚手段者的命令，则可能主要源于拒绝代价。前者也能与等级、排斥和资源不平等结合，后者也可能获得真诚认同，因而两者的区分不能只靠行动者是否“愿意”服从。决定性问题还包括：资格来自哪里，适用到哪里，又能由谁质疑。</w:t>
      </w:r>
    </w:p>
    <w:p>
      <w:pPr>
        <w:jc w:val="both"/>
      </w:pPr>
      <w:r>
        <w:t>授权尤其揭示了命令权的层次。参与者可以授予某人一项任务内的最终决定权，同时保留撤回授权、调整规则或终止合作的资格。这时，角色中的发令者不必垄断关系规则的制定。相反，如果一方既有权命令，又能单方决定何种拒绝才算正当，并使退出付出难以承担的代价，那么决定权就从具体事务延伸到了关系本身。本文关注的，正是这两个层次怎样在传播中被分开或合并。</w:t>
      </w:r>
    </w:p>
    <w:p>
      <w:pPr>
        <w:pStyle w:val="Heading2"/>
      </w:pPr>
      <w:r>
        <w:t>（三）性别编码的独立地位</w:t>
      </w:r>
    </w:p>
    <w:p>
      <w:pPr>
        <w:jc w:val="both"/>
      </w:pPr>
      <w:r>
        <w:t>性别符号指在具体群体和时期中，被赋予男性化、女性化或其他性别意义的称谓、品质和评价。人物的性别、他人对其行为的评价及其实际权限，是三个不同事实。女性掌权并不能由研究者自行改称为男性符号的胜利；男性服从也不能自动改称为女性化。只有材料明确作出相关评价，性别编码才进入解释。</w:t>
      </w:r>
    </w:p>
    <w:p>
      <w:pPr>
        <w:jc w:val="both"/>
      </w:pPr>
      <w:r>
        <w:t>“配对”在本文中指伴侣或夫妻关系，区别于亲子关系，也区别于任意两人的互动。早期伴侣关系、法律婚姻、一夫一妻制与现代家庭并非同一制度。配对起源假说所要解释的是赋予一方持续发令资格、同时限制另一方拒绝资格的文化规则如何形成；身体力量差异、动物等级和一般影响力，不直接构成同一解释对象。</w:t>
      </w:r>
    </w:p>
    <w:p>
      <w:pPr>
        <w:pStyle w:val="Heading1"/>
      </w:pPr>
      <w:r>
        <w:t>三、选择性迁移如何改变权力</w:t>
      </w:r>
    </w:p>
    <w:p>
      <w:pPr>
        <w:pStyle w:val="Heading2"/>
      </w:pPr>
      <w:r>
        <w:t>（一）已有理论留下的机制问题</w:t>
      </w:r>
    </w:p>
    <w:p>
      <w:pPr>
        <w:jc w:val="both"/>
      </w:pPr>
      <w:r>
        <w:t>性别关系与一般压迫的联系，已有丰富的理论先例。恩格斯把一夫一妻婚姻、男性优势、财产继承与阶级对立连接起来，其论述已经超出家庭内部的两性分工（Engels，1884，第二章第四节）。佩特曼则从性契约切入，质疑把私人婚姻和公共契约截然分开的政治叙事（Pateman，1988）。这两条路径都说明，一般政治关系不能因为使用普遍的权利语言，就被视为与性别秩序无关。</w:t>
      </w:r>
    </w:p>
    <w:p>
      <w:pPr>
        <w:jc w:val="both"/>
      </w:pPr>
      <w:r>
        <w:t>布迪厄对性别化分类和支配再生产的讨论，提示家庭经验本身也受社会秩序塑造（Bourdieu，2002）。Simon与Gagnon（1986）从文化、人际和个体内部层次分析性脚本，表明亲密行为具有习得的组织形式；O’Connor（2019）则从社会类别和文化演化研究不平等惯例，提供了不必预先以夫妻关系为原型的解释方向。这些理论分别把财产、契约、分类、习得及互动惯例带入问题，本文并不把“性别与权力有关”或“关系模式可以学习”当作独立贡献。</w:t>
      </w:r>
    </w:p>
    <w:p>
      <w:pPr>
        <w:jc w:val="both"/>
      </w:pPr>
      <w:r>
        <w:t>本文进一步追问的是：一套规则被转用以后，哪一方的义务仍然有效，哪一种限制失去了适用资格？这一问题把笼统的文化影响拆成可以比较的规则差异，也把支配的形成与支配的再生产分开。组织可能先因资源与暴力取得控制，再借家庭语言为控制提供理由；也可能借用现成脚本，直接规定此前尚不明确的权限。前者主要解释正当化，后者才可能解释规范的生成。两种过程都值得分析，却不是同一个历史事件。</w:t>
      </w:r>
    </w:p>
    <w:p>
      <w:pPr>
        <w:pStyle w:val="Heading2"/>
      </w:pPr>
      <w:r>
        <w:t>（二）迁移中的三个环节</w:t>
      </w:r>
    </w:p>
    <w:p>
      <w:pPr>
        <w:jc w:val="both"/>
      </w:pPr>
      <w:r>
        <w:t>将脚本记为R_s＝〈角色、权限、义务、理由、纠错、退出〉。跨域迁移至少涉及三个环节。首先是关系映射，即把来源中的某种位置对应于目标中的位置，例如把事亲所需的德行联系于事君。其次是规则选择，即决定哪些要求在目标关系中仍然成立。最后是制度安置，即把被选择的规则放入新的资源分配、惩罚和争议处理条件中。同一套说法进入不同的制度环境，实际效果可以不同。</w:t>
      </w:r>
    </w:p>
    <w:p>
      <w:pPr>
        <w:jc w:val="both"/>
      </w:pPr>
      <w:r>
        <w:t>关系映射不能代替规则选择。把君主比作父亲，并不独自说明君主得到父亲的何种权限，也不能说明臣民仍具有子女的何种资格。规则选择同样不能代替制度安置：一份文本保留谏诤要求，不保证谏诤者受到保护；一项制度写有退出条款，也不保证离开者拥有可用的生计与社会支持。关系脚本属于规范层次，支配关系还涉及使规范得到执行、绕开或落空的现实条件。</w:t>
      </w:r>
    </w:p>
    <w:p>
      <w:pPr>
        <w:jc w:val="both"/>
      </w:pPr>
      <w:r>
        <w:t>因此，选择性迁移具有两种不同的强化方式。一种改变规则本身，例如保留服从义务而取消对不义要求的纠正资格。另一种保留限制的名称，却改变其行使条件，例如让拒绝承担更高的制裁或依赖损失。前者扩大规范上可以要求的范围，后者降低行动上能够拒绝的可能性。两者可以同时发生，也可以相互分离。</w:t>
      </w:r>
    </w:p>
    <w:p>
      <w:pPr>
        <w:jc w:val="both"/>
      </w:pPr>
      <w:r>
        <w:t>传播者在其中并非中性的搬运者。掌握解释、教育或处罚资源的人，可以影响哪些规则被反复强调，哪些要求被视为不合时宜。接受者也会依据利益、经验与共同规范选择、抵抗或重新解释。规则的存续不能倒推出所有参与者都从中受益，更不能以“广泛传播”直接证明它具有社会整体适应性。Jiménez与Mesoudi（2021）对传递链的研究显示，威望与支配线索能够表现出不同于中等地位线索的传递效果；但信息更易被记忆，不等于相应权力已经获得认可。传播、相信与服从仍是三个过程。</w:t>
      </w:r>
    </w:p>
    <w:p>
      <w:pPr>
        <w:pStyle w:val="Heading2"/>
      </w:pPr>
      <w:r>
        <w:t>（三）删除限制为什么是实质变化</w:t>
      </w:r>
    </w:p>
    <w:p>
      <w:pPr>
        <w:jc w:val="both"/>
      </w:pPr>
      <w:r>
        <w:t>设某一关系中的要求必须属于基础范围B，同时满足限制L，才获得规范认可。其许可集合为C＝{x∈B：L(x)}。如果其他规则不变而只删除L，新集合就是C′＝B，故C⊆C′；只要L原先确实排除了至少一种要求，就有C⊂C′。命令资格可以在没有增加任何新命令条款的情况下扩大，因为原本限制它的条件消失了。</w:t>
      </w:r>
    </w:p>
    <w:p>
      <w:pPr>
        <w:jc w:val="both"/>
      </w:pPr>
      <w:r>
        <w:t>这一推导的意义在于，权力变化不能只从新增权限寻找。如果原脚本允许成员依据某项标准指出命令不当，目标脚本却把相同的异议一概归为不忠，那么发生变化的不只是语气。异议能否进入规则内部，决定了服从义务是否继续受到内容审查。在这一条件结构中，删除纠错根据会扩大被认可的要求范围。实际控制是否随之增强，则取决于新规则是否被承认和执行。</w:t>
      </w:r>
    </w:p>
    <w:p>
      <w:pPr>
        <w:jc w:val="both"/>
      </w:pPr>
      <w:r>
        <w:t>纠错与退出也不是可以互相抵消的同一种保障。纠错允许人在关系内争论一项要求；退出使人能够不再承担该关系的后续义务。只有退出而没有纠错，可能迫使成员在接受全部条件与离开之间选择；只有纠错而没有可行退出，则可能使无效申诉成为唯一通道。具体制度需要同时说明谁可以提出异议、异议由谁裁决、裁决能否约束发令者，以及在关系无法修复时离开要承担什么。关系越被描述为不可质疑的整体，越容易遮蔽这些彼此不同的条件。</w:t>
      </w:r>
    </w:p>
    <w:p>
      <w:pPr>
        <w:pStyle w:val="Heading1"/>
      </w:pPr>
      <w:r>
        <w:t>四、家庭进入政治：服从、纠错与关怀的不同去向</w:t>
      </w:r>
    </w:p>
    <w:p>
      <w:pPr>
        <w:pStyle w:val="Heading2"/>
      </w:pPr>
      <w:r>
        <w:t>（一）《周易》：关系序列并不等于制度同一</w:t>
      </w:r>
    </w:p>
    <w:p>
      <w:pPr>
        <w:jc w:val="both"/>
      </w:pPr>
      <w:r>
        <w:t>《序卦》把男女、夫妇、父子、君臣以及上下礼义安排在连续序列中。夫妻关系由此成为一般秩序的前置解释环节，为配对来源假说提供了直接的思想史线索。这段文字的力量正在于，它使政治等级显得可以从熟悉的关系逐步展开；政治不再是一个全无生活根基的抽象安排（《周易·序卦》）。</w:t>
      </w:r>
    </w:p>
    <w:p>
      <w:pPr>
        <w:jc w:val="both"/>
      </w:pPr>
      <w:r>
        <w:t>但这一序列在夫妇与君臣之间安排了父子。生育、代际关系及其教养义务，是文字自身保留的中介。若直接把它改写成夫妻支配产生君臣支配，就取消了文本给出的关系差异。序列所表达的解释次序，也不能直接转换成史前制度实际出现的先后次序。</w:t>
      </w:r>
    </w:p>
    <w:p>
      <w:pPr>
        <w:jc w:val="both"/>
      </w:pPr>
      <w:r>
        <w:t>《家人·彖传》进一步写道：“女正位乎内，男正位乎外”，并将男女之正关联于天地之义。这里发生了明确的规范编码：位置分工被赋予超出个别家庭的正当理由。但同篇又以“家人有严君焉，父母之谓也”称父母，以政治称谓解释家内关系。父母共同成为这个称谓的承担者，已不能化约为男性命令、女性服从的单线映射。文本同时以家庭解释天下、以君的称谓解释父母，构成相互解释的结构（《周易·家人》）。</w:t>
      </w:r>
    </w:p>
    <w:p>
      <w:pPr>
        <w:jc w:val="both"/>
      </w:pPr>
      <w:r>
        <w:t>“正家而天下定”的论断，把角色各尽其分作为秩序基础，却没有单凭这句话规定某一角色的无限权力。其可分析之处在于，把身份、位置和义务连接起来，使关系中的行为能够接受“是否正位”的评价。配对关系由此进入一般秩序的说明，但它是在与亲子、兄弟等规则共同组成的结构中发挥作用。</w:t>
      </w:r>
    </w:p>
    <w:p>
      <w:pPr>
        <w:pStyle w:val="Heading2"/>
      </w:pPr>
      <w:r>
        <w:t>（二）《孝经》：忠孝之内包含不从的理由</w:t>
      </w:r>
    </w:p>
    <w:p>
      <w:pPr>
        <w:jc w:val="both"/>
      </w:pPr>
      <w:r>
        <w:t>《孝经·广扬名》对迁移的表述更加直接：“事亲孝，故忠可移于君；事兄悌，故顺可移于长；居家理，故治可移于官。”这里并列了三种转用：事亲与事君、事兄与事长、治家与任官。迁移对象既包括德行，也包括处理关系与事务的能力。其来源首先是亲子、兄弟和治家，不能因为处在家庭领域便全部归入夫妻关系。</w:t>
      </w:r>
    </w:p>
    <w:p>
      <w:pPr>
        <w:jc w:val="both"/>
      </w:pPr>
      <w:r>
        <w:t>这段话若与《谏诤》合读，转用的内容便更加明确。《谏诤》以“不义”为争辩的根据，要求臣与子分别争于君、争于父，并反问：“从父之令，又焉得为孝乎？”在这一规范结构中，履行孝的义务并不等于执行父亲的一切具体命令；正因为关系义务仍然有效，遇到不义才不能仅以顺从交差。反对一项命令，能够构成履行关系义务的一部分（《孝经·谏诤》）。</w:t>
      </w:r>
    </w:p>
    <w:p>
      <w:pPr>
        <w:jc w:val="both"/>
      </w:pPr>
      <w:r>
        <w:t>这一点直接改变了对忠孝的编码。若把忠孝编码为“下位者执行上位者要求”，就会漏掉文本内置的纠错标准；若把谏诤写成对忠孝的外来修正，同样会误读它在该文本中的地位。更准确的脚本是：角色具有不对称的位置，同时存在判断具体要求是否合义的规范。这是带纠错要求的等级关系，而不是现代平等关系；它提供争辩义务，也没有因此赋予现代意义上的自由退出权。</w:t>
      </w:r>
    </w:p>
    <w:p>
      <w:pPr>
        <w:jc w:val="both"/>
      </w:pPr>
      <w:r>
        <w:t>由此可见，家庭规范的传播是否强化支配，必须检查目标关系是否保留了对具体命令的内容审查。一个只援用服从要求、排除谏诤根据的目标脚本，与上述源脚本并不等价。这是可以用于比较传播前后规则的判准；所检文本本身没有提供一条足以确认这种删除已经实际完成的连续传播链。</w:t>
      </w:r>
    </w:p>
    <w:p>
      <w:pPr>
        <w:pStyle w:val="Heading2"/>
      </w:pPr>
      <w:r>
        <w:t>（三）《家范》：经典引用如何组成治家规则</w:t>
      </w:r>
    </w:p>
    <w:p>
      <w:pPr>
        <w:jc w:val="both"/>
      </w:pPr>
      <w:r>
        <w:t>司马光《家范》卷一以《周易·家人》开篇，继而引用《大学》等文本，使经典中的家庭—政治关联进入一部治家著作。这里能够确认的传承载体是引文和编排：后来的作品选择既有权威文本，把原有表达放入治家的论述之中。经文、所引注释与编者论述各有归属，不能把全部文字视为司马光独创。</w:t>
      </w:r>
    </w:p>
    <w:p>
      <w:pPr>
        <w:jc w:val="both"/>
      </w:pPr>
      <w:r>
        <w:t>值得注意的是，《家范》所引《大学》并未只给下位者安排义务，而是并列“孝者，所以事君也；弟者，所以事长也；慈者，所以使众也”。事君、事长和使众的位置不同，转用的德行也不同。一个人在某段关系中接受权威，在另一段关系中运用权威，相应义务随其位置变化。这里的迁移不是给所有角色复制同一条服从命令，而是把家内的差等义务分别配置到公共关系。</w:t>
      </w:r>
    </w:p>
    <w:p>
      <w:pPr>
        <w:jc w:val="both"/>
      </w:pPr>
      <w:r>
        <w:t>《家范》又引“刑于寡妻，至于兄弟，以御于家邦”，随后概括为圣人正家以正天下。这为夫妻与政治之间提供了比“家庭”总称更具体的桥接材料。然而，桥接仍通过榜样、关系整顿和德行展开；其中能否包含何种命令权限，仍要依赖所在段落，而不能只凭“妻”与“家邦”出现在同一句中便补入无限支配（司马光，《家范》卷一）。</w:t>
      </w:r>
    </w:p>
    <w:p>
      <w:pPr>
        <w:pStyle w:val="Heading2"/>
      </w:pPr>
      <w:r>
        <w:t>（四）《孟子》：同一桥梁也能扩展统治者的责任</w:t>
      </w:r>
    </w:p>
    <w:p>
      <w:pPr>
        <w:jc w:val="both"/>
      </w:pPr>
      <w:r>
        <w:t>同一诗句在《孟子·梁惠王上》齐宣王问政段落中，被纳入推恩保民的论证。孟子从齐宣王不忍见牛赴死的行为谈起，追问为什么恩能及于禽兽，却没有使百姓得到保护；继而提出由自己的长幼推及他人的长幼，并在引诗后解释为“举斯心加诸彼而已”。这一语境的着力点是把已有的关怀推向更远的对象，而非证明百姓应如妻子一般无条件服从。</w:t>
      </w:r>
    </w:p>
    <w:p>
      <w:pPr>
        <w:jc w:val="both"/>
      </w:pPr>
      <w:r>
        <w:t>《家范》与《孟子》共享的表达，使选择性迁移不再只是抽象可能。相同的家庭—政治桥梁，可以在正家与示范的论述中使用，也可以在要求君主扩展关怀时使用。两处并不足以构成彼此独立的史前起源见证，却足以表明：即便桥接措辞相同，目标论证赋予它的功能仍须具体分析。</w:t>
      </w:r>
    </w:p>
    <w:p>
      <w:pPr>
        <w:jc w:val="both"/>
      </w:pPr>
      <w:r>
        <w:t>这一反例不是对家庭路径的简单否定。它迫使该路径回答一个更有解释力的问题：家庭中可供转用的，为什么有时是下位者的服从，有时是上位者的责任，有时两者同时存在？“家庭产生权力”无法单独回答这一差异。关系脚本的选择性迁移，则把差异定位为所保留的义务、承担义务的角色及目标关系中的适用条件。</w:t>
      </w:r>
    </w:p>
    <w:p>
      <w:pPr>
        <w:pStyle w:val="Heading1"/>
      </w:pPr>
      <w:r>
        <w:t>五、权力类型的区分与迁移边界</w:t>
      </w:r>
    </w:p>
    <w:p>
      <w:pPr>
        <w:pStyle w:val="Heading2"/>
      </w:pPr>
      <w:r>
        <w:t>（一）亚里士多德：组成家庭，不等于共享同一种统治</w:t>
      </w:r>
    </w:p>
    <w:p>
      <w:pPr>
        <w:jc w:val="both"/>
      </w:pPr>
      <w:r>
        <w:t>亚里士多德《政治学》第一卷第二章从男女结合和主奴关系讨论家庭，再由家庭讨论村落与城邦。与《序卦》相似，它把较熟悉的关系放在共同体解释的起点；但夫妻与主奴在此是两种关系，不能把其中一种当作另一种已经证明的派生物。第一章也明确反对把政治家、君王、家长和主人理解为仅在统治人数上不同（Aristotle，I.1—2）。</w:t>
      </w:r>
    </w:p>
    <w:p>
      <w:pPr>
        <w:jc w:val="both"/>
      </w:pPr>
      <w:r>
        <w:t>第一卷第十二章进一步区分对妻子、子女和奴隶的统治。作者把妻子与子女视为自由人，却主张不同方式的治理；对妻子的统治虽与政治性统治类比，又被设定为持续的不对称。这说明，权力类型的区分可以与性别等级并存：承认夫妻关系不同于主奴，不等于取消丈夫的优先位置；援引政治类比，也不等于给予夫妻双方轮流统治的资格（Aristotle，I.12）。</w:t>
      </w:r>
    </w:p>
    <w:p>
      <w:pPr>
        <w:jc w:val="both"/>
      </w:pPr>
      <w:r>
        <w:t>到第十三章，家庭与政治的联系还出现相反方向。妇女和儿童的教育应当着眼于政制，因为家庭是城邦的一部分，其成员的德行关系到整体秩序。由此，家庭不仅被用来解释政治，也被要求依照政治共同体的需要塑造自身（Aristotle，I.13）。这一文本结构直接支持双向分析：不能预定家庭始终是源，国家始终是目标，更不能把其关于自然等级的规范主张直接当作现代历史研究已经确认的事实。</w:t>
      </w:r>
    </w:p>
    <w:p>
      <w:pPr>
        <w:pStyle w:val="Heading2"/>
      </w:pPr>
      <w:r>
        <w:t>（二）洛克：继承关系必须重新取得权利根据</w:t>
      </w:r>
    </w:p>
    <w:p>
      <w:pPr>
        <w:jc w:val="both"/>
      </w:pPr>
      <w:r>
        <w:t>洛克对家长权力的讨论把“人们可能怎样走到政治统治”与“政治统治凭什么成立”区分开来。《政府论》下篇第五十二节指出，生育与教养相关的权力不能只由父亲的名称独占；第七十四至七十六节则允许家长通过成年子女的明示或默示同意成为统治者。这保留了一条家庭关系向政治关系延续的路径，却要求用同意说明其新资格，而不是把生育本身当作政治统治的充分根据（Locke，1689，§§52、74—76）。</w:t>
      </w:r>
    </w:p>
    <w:p>
      <w:pPr>
        <w:jc w:val="both"/>
      </w:pPr>
      <w:r>
        <w:t>夫妻关系同样受到目的与范围的限定。第七十七节把它联系于双方约定、生育养育及相互扶助；第八十二节在承认意见分歧时，仍将共同事务的最终决定位置给予丈夫，但同时限定该决定权涉及共同利益与财产，并区别于对妻子生命的权力。该节还讨论妻子在自然权利或契约许可条件下分离的可能，第八十三节继续把夫妻关系的目的与契约条款联系起来（Locke，§§77、82—83）。</w:t>
      </w:r>
    </w:p>
    <w:p>
      <w:pPr>
        <w:jc w:val="both"/>
      </w:pPr>
      <w:r>
        <w:t>这不是全面的性别平等论证，而是一个具有内部张力的规则组合：丈夫保留特定优先权，优先权却不能据此扩张到所有事务，关系的存续也受到目的与约定的限定。若只抽出“最后决定属于丈夫”，就会丢失该权限的对象和终止条件；若只抽出双方约定，又会掩盖文本明确保留的不对称。关系脚本分析的要求，正是同时保留这两部分。</w:t>
      </w:r>
    </w:p>
    <w:p>
      <w:pPr>
        <w:jc w:val="both"/>
      </w:pPr>
      <w:r>
        <w:t>洛克因此提供了两种迁移限制：一种要求新关系重新说明权利根据，另一种要求既有权限停留在其目的范围内。家长成为统治者，夫妻一方取得决定位置，都不能仅凭原有身份完成全部正当化。这使“家庭先于政治”与“家庭权限能够不经转换地进入政治”成为不同命题。</w:t>
      </w:r>
    </w:p>
    <w:p>
      <w:pPr>
        <w:pStyle w:val="Heading2"/>
      </w:pPr>
      <w:r>
        <w:t>（三）罗马法：共同存在的关系可能具有不同来源解释</w:t>
      </w:r>
    </w:p>
    <w:p>
      <w:pPr>
        <w:jc w:val="both"/>
      </w:pPr>
      <w:r>
        <w:t>《法学阶梯》卷一第二题把男女结合、生育和养育放入自然法论述，又把战争、俘获及奴役联系于万民法；第三题进一步区分奴隶身份的取得途径（Justinian，533，I.II—III）。这一法学分类不能直接充当现代起源科学，却保留了婚姻与奴役的不同解释路径。两种关系同处一个社会甚至同一家内，并不使它们自动拥有同一制度来源。</w:t>
      </w:r>
    </w:p>
    <w:p>
      <w:pPr>
        <w:jc w:val="both"/>
      </w:pPr>
      <w:r>
        <w:t>这些材料共同构成对单线起源解释的压力。家庭并不是一个内部同质的权力容器，主奴、夫妻与亲子之间的差异，既可能影响迁移，也可能成为阻止迁移的理由。独立来源的可能性不排除配对关系曾贡献某些脚本；它排除的是仅凭家内共存便把所有权力追溯到配对的推理。理论必须解释那些边界何时被保留、何时被突破，而非先取消边界，再把取消后的相似性当作同源证据。</w:t>
      </w:r>
    </w:p>
    <w:p>
      <w:pPr>
        <w:pStyle w:val="Heading1"/>
      </w:pPr>
      <w:r>
        <w:t>六、性别符号与关系位置的重新组合</w:t>
      </w:r>
    </w:p>
    <w:p>
      <w:pPr>
        <w:pStyle w:val="Heading2"/>
      </w:pPr>
      <w:r>
        <w:t>（一）词形、义项与权限的错位</w:t>
      </w:r>
    </w:p>
    <w:p>
      <w:pPr>
        <w:jc w:val="both"/>
      </w:pPr>
      <w:r>
        <w:t>汉语“奴”包含女构件，教育部《异体字字典》所引《论语·微子》却以该字指称箕子；“婢”具有女性役使义，相关《史记》引文表达的是请求成为官婢，不能直接改写为已经实现的身份转变。“臣”可以承载君臣关系，“僕”在冉有为孔子驾车的句中表示职事或动作；“隸”并不含女构件，字典所引《周礼》材料仍区分男女的役使类别（教育部字典相关条目）。</w:t>
      </w:r>
    </w:p>
    <w:p>
      <w:pPr>
        <w:jc w:val="both"/>
      </w:pPr>
      <w:r>
        <w:t>这些用例说明，字形保存的分类线索与具体用法之间可能发生分离。女构件值得作为历史线索研究，却不能独自决定某个用例的性别指称，更不能把从属身份直接定位为婚姻制度的产物。把“奴”用于男性的现象保留下来，才能继续追问：是词义扩展、身份类别重组，还是性别评价仍在其他层面发挥作用。若预先将所有男性从属解释为女性化，问题就被定义替代了。</w:t>
      </w:r>
    </w:p>
    <w:p>
      <w:pPr>
        <w:jc w:val="both"/>
      </w:pPr>
      <w:r>
        <w:t>英语材料显示另一种错位。Erickson（2014）的公开工作稿转引十八世纪文学用例，以mistress称呼能够安排雇工的女性；Toller（1921）“hlæfdige”条所引编年史，又记述王后任命官员的行动。前者是可理解的文学用法，后者是词典所引的历史记述，二者并非同一种证据，却都阻止把女性称谓自动等同于无权位置。称谓、行动和相应制度需要合读，才能知道它究竟表示何种权威。</w:t>
      </w:r>
    </w:p>
    <w:p>
      <w:pPr>
        <w:pStyle w:val="Heading2"/>
      </w:pPr>
      <w:r>
        <w:t>（二）Douglass自述中的交叉权力</w:t>
      </w:r>
    </w:p>
    <w:p>
      <w:pPr>
        <w:jc w:val="both"/>
      </w:pPr>
      <w:r>
        <w:t>Douglass在自述第六章记述，Sophia Auld起初教他识字，丈夫得知后加以阻止。章中既出现一位女性对被奴役男性的控制，也出现丈夫对妻子如何对待被奴役者的干预（Douglass，1845，第VI章）。同一女性在两段关系中处于不同位置，已经足以否定“女性身份必然对应服从位置”的映射。</w:t>
      </w:r>
    </w:p>
    <w:p>
      <w:pPr>
        <w:jc w:val="both"/>
      </w:pPr>
      <w:r>
        <w:t>这段材料的解释力还在于，决定权围绕一个具体行动展开：能否教授识字。Sophia对Douglass的支配资格，并不意味着她能够独立制定与奴隶制度有关的一切规则；夫妻关系中的干预又与对被奴役者行动能力的限制相结合。一个人在某条关系上受到约束，并不妨碍其在另一条关系上参与维持支配。权力不是按照个人性别一次性分配完毕，而是在相互嵌套的关系中配置。</w:t>
      </w:r>
    </w:p>
    <w:p>
      <w:pPr>
        <w:jc w:val="both"/>
      </w:pPr>
      <w:r>
        <w:t>Douglass将这一过程放在奴隶制腐蚀人的叙述中，其回忆和解释具有明确的作者立场。本文据此分析章内呈现的行动与关系，不把叙述者的解释当作对所有私人动机的独立因果识别。能够成立的判断是关系层面的：女性权威与其自身受约束可以同时存在，而且在具体事务中相互关联。</w:t>
      </w:r>
    </w:p>
    <w:p>
      <w:pPr>
        <w:jc w:val="both"/>
      </w:pPr>
      <w:r>
        <w:t>这一判断也修正了对性别符号迁移的理解。脚本一旦成为可以分配给不同角色的规则，原来的性别承担者便不必与新的承担者重合。性别编码可能被保留、重新解释或减弱。究竟发生哪一种变化，应由称谓、评价和权限的分别证据决定，而不能因为女性行使支配，就自动宣布男性原型取得了胜利。</w:t>
      </w:r>
    </w:p>
    <w:p>
      <w:pPr>
        <w:pStyle w:val="Heading1"/>
      </w:pPr>
      <w:r>
        <w:t>七、服从的生成：认同、拒绝代价与规则授权</w:t>
      </w:r>
    </w:p>
    <w:p>
      <w:pPr>
        <w:pStyle w:val="Heading2"/>
      </w:pPr>
      <w:r>
        <w:t>（一）文化脚本如何进入利益与行动</w:t>
      </w:r>
    </w:p>
    <w:p>
      <w:pPr>
        <w:jc w:val="both"/>
      </w:pPr>
      <w:r>
        <w:t>配对经验只有进入人的评价、预期和行动，才可能成为一般权力的文化原型。本文将利益内容区分为三类：P涉及自身身体、生活及情感审美体验；S涉及关系、身份与承认；M涉及主体认可的价值及他人福祉。三者可以同时作用，既不是高低层级，也不按照利益取得的社会渠道分类。经组织获得生活资源，仍可主要服务于P；关切他人属于M，并不要求行动者有意识地进行道德推理，也不等于迎合社会普遍赞许。</w:t>
      </w:r>
    </w:p>
    <w:p>
      <w:pPr>
        <w:jc w:val="both"/>
      </w:pPr>
      <w:r>
        <w:t>关系脚本不是第四类利益，而是能够改变这些利益如何被理解与实现的文化内容。把服从理解为忠诚，可能提高主体对遵从本身的评价；把拒绝理解为会遭排斥，可能只改变后果信念；把协商理解为从来不属于自己的资格，则可能缩小主体意识到的行动集合。这些变化可以分别发生。人可能真诚看重关系，也可能不认同命令而为保住生计暂时接受，还可能把帮助他人置于自身便利之前。外在行为相同，不代表利益排序相同。</w:t>
      </w:r>
    </w:p>
    <w:p>
      <w:pPr>
        <w:jc w:val="both"/>
      </w:pPr>
      <w:r>
        <w:t>用F表示现实可行的行动集合，用Fhat表示主体认为可行的集合。制裁、资源垄断和组织规则能够改变F，信息、示范与对角色的解释则能够改变Fhat；二者并不总是一致。支配者可以控制一条真实退路，也可以使一条真实存在的退路不被认识，但第二种解释需要独立证据，不能仅凭对方没有离开便推定其受了蒙蔽。解释权之所以重要，是因为它可能决定某种行动被理解为正当拒绝、失信还是根本不可想象的越界。</w:t>
      </w:r>
    </w:p>
    <w:p>
      <w:pPr>
        <w:jc w:val="both"/>
      </w:pPr>
      <w:r>
        <w:t>还须区分主体在给定情境中的实际利益排序R_i，与观察者对可能排序的估计分布q_i。旁观者可能依据某人接受命令，判断其重视忠诚；行动者却可能是在不利选项中保全其他利益。关于文化内容的熟悉、本人认可、预期他人如何评价及执行脚本的熟练程度，也不能相互替代。模因起源链中的“传播”需要被学习和再使用的证据，“编码”需要价值或意义形成的证据；单次服从不能同时证明两者。</w:t>
      </w:r>
    </w:p>
    <w:p>
      <w:pPr>
        <w:pStyle w:val="Heading2"/>
      </w:pPr>
      <w:r>
        <w:t>（二）相同的行动可以由不同条件产生</w:t>
      </w:r>
    </w:p>
    <w:p>
      <w:pPr>
        <w:jc w:val="both"/>
      </w:pPr>
      <w:r>
        <w:t>即便明确了谁拥有何种权限，服从行为仍不能单独说明行动者如何看待这项要求。设一个人在信息确定的单次选择中只能接受或拒绝。接受效用为a＋g－c，拒绝效用为b－d：a为接受收益，c为履行成本，g为本人赋予遵从的规范价值，b为拒绝后的外部收益，d为拒绝导致的损失。各量使用同一假定效用尺度，不预设P、S、M在一般情况下均可通约；这是用于显示一种可能性的局部模型。平局时接受，则接受当且仅当：</w:t>
      </w:r>
    </w:p>
    <w:p>
      <w:pPr>
        <w:jc w:val="both"/>
      </w:pPr>
      <w:r/>
      <w:r>
        <w:rPr>
          <w:b/>
          <w:i w:val="0"/>
          <w:bCs w:val="1"/>
        </w:rPr>
        <w:t>g＋d ≥ b－a＋c。</w:t>
      </w:r>
      <w:r/>
    </w:p>
    <w:p>
      <w:pPr>
        <w:jc w:val="both"/>
      </w:pPr>
      <w:r>
        <w:t>规范认同g和拒绝损失d都能推动相同的接受行为，因而单次接受并不能唯一识别二者。将d降低而保持其他条件不变，可能使原本接受的人转为拒绝；将g提高也可能使人在拒绝无代价时仍然接受。前者显示行动对制裁或依赖的敏感，后者显示规则价值本身的作用。现实中两者可以同时存在，不能把人简单分为真心服从与被迫服从两类。模型比较的是已给定要求下的接受或拒绝，尚未比较提出要求与未提出要求的情形，故它也不独自识别要求对行动的因果作用。</w:t>
      </w:r>
    </w:p>
    <w:p>
      <w:pPr>
        <w:jc w:val="both"/>
      </w:pPr>
      <w:r>
        <w:t>该模型也说明，资源与退出条件不应被放在文化解释之外。如果某种脚本鼓励服从，它是否转化为稳定行为，仍受外部机会和拒绝损失影响。在其他条件不变时，b提高或d降低，都使接受所需的规范价值门槛提高。规则可能没有修改，行为关系却已改变；规则也可能已被改写，行为暂时没有变化。把语言、规则与行动区分开，才能观察二者怎样相互作用。</w:t>
      </w:r>
    </w:p>
    <w:p>
      <w:pPr>
        <w:pStyle w:val="Heading2"/>
      </w:pPr>
      <w:r>
        <w:t>（三）角色内命令与规则层授权</w:t>
      </w:r>
    </w:p>
    <w:p>
      <w:pPr>
        <w:jc w:val="both"/>
      </w:pPr>
      <w:r>
        <w:t>成年人的自愿支配—臣服活动，为角色重组提供了一个边界清楚的比较对象。Weinberg、Williams与Moser（1984）把支配与服从、角色扮演、共同同意、性语境和共同定义列为其所研究SM的社会构成要素。关系中的命令由此可以具有共同赋予的意义，而不能仅凭命令的外观判断全部规则。</w:t>
      </w:r>
    </w:p>
    <w:p>
      <w:pPr>
        <w:jc w:val="both"/>
      </w:pPr>
      <w:r>
        <w:t>如果双方能够有效约定范围、拒绝超出范围的要求，并实际终止活动，那么角色中的不对称与规则层的共同授权可以并存。一方扮演支配者，不意味着其获得关系以外的全面决定权；另一方执行指令，也不意味着放弃修改或撤回授权的资格。恰恰是这些限制，规定了角色内命令何以成立。</w:t>
      </w:r>
    </w:p>
    <w:p>
      <w:pPr>
        <w:jc w:val="both"/>
      </w:pPr>
      <w:r>
        <w:t>这一分离具有严格条件。口头说出同意，不足以替代可行的拒绝；约定退出，也不保证退出没有隐藏制裁。若终止活动会遭受威胁，或一方能够单方取消已经约定的限制，就不能仅因活动沿用原来的名称而认定规则仍然相同。角色中谁发令、符号怎样被性别化、谁拥有最终规则资格，是三个需要分别判断的问题。</w:t>
      </w:r>
    </w:p>
    <w:p>
      <w:pPr>
        <w:jc w:val="both"/>
      </w:pPr>
      <w:r>
        <w:t>亲密角色模拟也使迁移方向重新开放。既有社会权威符号可以进入亲密活动，经协商后改变承担者、范围与终止条件。因此，亲密领域既可能是某些脚本的来源，也可能是公共符号的接收者。此种重组为配对来源假说提供比较对象，却不能反过来证明当代偏好保存了唯一的远古原型。它所展示的更具体：保留支配与服从的符号，不必同时保留原有的权限边界。</w:t>
      </w:r>
    </w:p>
    <w:p>
      <w:pPr>
        <w:jc w:val="both"/>
      </w:pPr>
      <w:r>
        <w:t>这种角色模拟还为奖励机制提供了独立的比较场景。在双方自愿且停止权真实有效的SM活动中，疼痛、性奖励的预期、角色意义和关系信任可以同时存在。必须区分疼痛当下的愉悦、疼痛减轻后的缓解，以及预期随后获得的性或关系奖励：三者可能并存，却不能因为在同一活动中出现便认定为同一过程。“惩罚”在这里首先是角色语言；在行为学习的技术意义上，某后果是否属于惩罚，要看它是否减少相应行为，不能依参与者的命名决定。</w:t>
      </w:r>
    </w:p>
    <w:p>
      <w:pPr>
        <w:jc w:val="both"/>
      </w:pPr>
      <w:r>
        <w:t>Kamping等（2016）比较具有受虐性偏好的参与者和对照者，发现前者在相关视觉情境中报告较低的疼痛强度与不愉快程度，在其他情境中没有相同的疼痛知觉差异。这支持疼痛加工具有情境特异性，不证明疼痛普遍被转换成性快感，也不能仅凭组间比较证明这种偏好由虐待学习而来。其神经影像结果提供了情境调节的线索，未识别出所有支配—服从关系共享的唯一回路。</w:t>
      </w:r>
    </w:p>
    <w:p>
      <w:pPr>
        <w:jc w:val="both"/>
      </w:pPr>
      <w:r>
        <w:t>奖励解释还得到两类有限的补充。Wuyts等（2020）在实际BDSM互动的试点研究中观察到部分压力与奖励相关生理指标的变化，但这些指标不能单独证明主观性快感，更不能代替同意或安全的测量。Labrecque等（2021）对227名实践者叙述的质性分析则显示，人际权力、身体疼痛与意识状态变化都是被报告的参与理由。自述提供了行为意义的资料，不能独自建立学习史或因果方向；它同时提示，支配与服从活动不必都以疼痛为核心。</w:t>
      </w:r>
    </w:p>
    <w:p>
      <w:pPr>
        <w:jc w:val="both"/>
      </w:pPr>
      <w:r>
        <w:t>由此可提出一个待检验的联系：角色、安全预期及预期奖励共同参与对感觉的解释，使同类刺激在不同关系中具有不同价值。角色内的权力可以是模拟的，规则层的拒绝权和停止权却必须实际有效；只有主观安全感或口头约定，并不充分。本文据此把安全边界视为可能参与价值加工的背景条件，而不是仅在解释完成后附加的标签。其独立因果作用仍需与信任、偏好和奖励期待分别测量，自愿情境的疼痛调节也不能倒推出强制关系中的服从具有同样含义。</w:t>
      </w:r>
    </w:p>
    <w:p>
      <w:pPr>
        <w:pStyle w:val="Heading2"/>
      </w:pPr>
      <w:r>
        <w:t>（四）痛苦解除与行为强化</w:t>
      </w:r>
    </w:p>
    <w:p>
      <w:pPr>
        <w:jc w:val="both"/>
      </w:pPr>
      <w:r>
        <w:t>在受到威胁的关系中，“暂时没有继续受伤”本身可能成为有价值的结果。本文将这一可能路径称为痛苦解除所维持的服从：当行动者把某种应对与伤害减少联系起来，并且这种后果使该应对在以后更容易出现，才构成负强化。这里的“负”指厌恶状态被移除或减少，不指价值上的恶，也不等同于惩罚。只看到一个人暂时照做，还不足以确认学习已经发生。</w:t>
      </w:r>
    </w:p>
    <w:p>
      <w:pPr>
        <w:jc w:val="both"/>
      </w:pPr>
      <w:r>
        <w:t>人体与动物研究为这一路径中的基本环节提供了证据。Leknes等（2011）在18名健康志愿者中发现，疼痛预期之后出现的安全线索可以引起愉悦的缓解体验，并伴有相应的神经活动。Navratilova等（2012）在大鼠术后疼痛模型中发现，疼痛缓解具有负强化效应，涉及中脑边缘奖赏估值回路。前者研究预期疼痛的省略，后者研究已有疼痛的缓解；它们均未测量人际服从。这些发现支持“免于疼痛可以具有奖励价值”，并不证明巨大痛苦必然压抑全部快感，更不证明受害者因反复受伤而开始喜欢伤害本身。</w:t>
      </w:r>
    </w:p>
    <w:p>
      <w:pPr>
        <w:jc w:val="both"/>
      </w:pPr>
      <w:r>
        <w:t>这一机制与前述利益模型的连接，在于它能够改变行动者对后果的预期，而不要求其认可命令。受威胁者选择一个预计损害较小的行动，可以仍然厌恶施害者并拒绝其价值观。即时缓解的相对价值也不等于整段关系带来净收益：相对于继续受伤，停止伤害是改善；相对于原本无需遭受伤害的状态，它可能只是部分恢复。</w:t>
      </w:r>
      <w:r>
        <w:rPr>
          <w:b/>
          <w:i w:val="0"/>
          <w:bCs w:val="1"/>
        </w:rPr>
        <w:t>在拒绝与退出受限时，停止伤害的预期可以维持服从，而服从无需以认同伤害为前提。</w:t>
      </w:r>
      <w:r>
        <w:t>这是本文由学习研究与关系约束共同提出的机制假说，尚需直接的人际过程证据。</w:t>
      </w:r>
    </w:p>
    <w:p>
      <w:pPr>
        <w:jc w:val="both"/>
      </w:pPr>
      <w:r>
        <w:t>预测与控制同样需要分开。知道不利事件何时发生，未必能够阻止它；相信某种行动有助于脱离危险，也不等于能够自由决定全部关系条件。Seligman与Maier（1967）的动物实验研究可控性对后续逃避行为的影响；Maier与Seligman（2016）进一步修订了被动反应与控制学习的机制解释。这些研究不能用来推断“随机欺凌必然激发反击”。在现实关系中，反击、求助、回避、暂时顺从等选择，还取决于可行机会、保护资源及对后果的判断。</w:t>
      </w:r>
    </w:p>
    <w:p>
      <w:pPr>
        <w:jc w:val="both"/>
      </w:pPr>
      <w:r>
        <w:t>受害者与施害者之间的情感联结也不能由上述实验直接推出。Dutton与Painter（1993）对75名近期离开虐待关系的女性进行访谈、问卷和六个月随访，为间歇性虐待、权力差异与持续依恋之间的关联提供了有限支持；该观察性研究没有独自确立痛苦解除导致依恋的因果链。Namnyak等（2008）的综述指出，“斯德哥尔摩综合征”的文献和诊断标准存在明显不足。因此本文分别讨论依赖、依恋、恐惧和行为顺从，不以这一名称把所有留在或返回暴力关系的人归为同一种心理状态。</w:t>
      </w:r>
    </w:p>
    <w:p>
      <w:pPr>
        <w:pStyle w:val="Heading2"/>
      </w:pPr>
      <w:r>
        <w:t>（五）资源依赖与性别化的位置</w:t>
      </w:r>
    </w:p>
    <w:p>
      <w:pPr>
        <w:jc w:val="both"/>
      </w:pPr>
      <w:r>
        <w:t>配对起源假说可以据此补充一种待检验情境：如果某段关系中的男性集中掌握生计与安全资源，而女性的拒绝、独立生存和退出空间受到限制，供养与威胁便可能共同影响其选择。但从这种条件组合得出的，是特定资源结构下的依赖机制；不能据此把男性规定为天然的利益算计者，把女性规定为天然接受暴力的一方。双方都可能权衡后果，只是可用资源和拒绝代价不同；接受供养也不构成同意受暴力对待。</w:t>
      </w:r>
    </w:p>
    <w:p>
      <w:pPr>
        <w:jc w:val="both"/>
      </w:pPr>
      <w:r>
        <w:t>施害者从对方让步中获益、受害者通过暂时照做减少损失、参与自愿角色活动者追求性或关系体验，是不同的价值来源。即使三者都涉及学习，也不能相互替换。施害者是否有意识地利用对方的预期，须另有知识、行动安排和意图证据；某行为对其有利，不足以证明每一步都出于计算。男女角色在某些社会中怎样被固定、这种固定是否先于其他权力形式，仍需历史与制度材料回答。神经学习研究可以补充支配的维持机制，不能凭自身完成支配的起源证明。</w:t>
      </w:r>
    </w:p>
    <w:p>
      <w:pPr>
        <w:pStyle w:val="Heading2"/>
      </w:pPr>
      <w:r>
        <w:t>（六）网络反馈与关系脚本的再学习</w:t>
      </w:r>
    </w:p>
    <w:p>
      <w:pPr>
        <w:jc w:val="both"/>
      </w:pPr>
      <w:r>
        <w:t>关系规则的学习不限于父母之间的互动。网络内容能够呈现何种行为受到赞许、何种拒绝遭到羞辱，以及谁被赋予发令或评价他人的资格；评论、转发和可见的社会反馈又为这些示范提供后果信息。这里须区分接触一种内容、学会识别它、公开表达它及在关系中执行它，不能把浏览记录直接当作个人认可。</w:t>
      </w:r>
    </w:p>
    <w:p>
      <w:pPr>
        <w:jc w:val="both"/>
      </w:pPr>
      <w:r>
        <w:t>Brady等（2021）结合两项预注册网络观察研究和两项行为实验，发现社会反馈及网络规范学习能够影响道德愤怒表达。这为“网络是社会学习的渠道”提供了具体证据，但其研究对象是愤怒表达，不是性别化服从或性偏好的形成。本文进一步提出：如果网络环境反复选择性呈现命令与让步，而弱化纠错、互惠和退出条件，就可能传播不完整的关系脚本。这个迁移效应必须直接检验，不能以网络传播普遍存在代替证明。</w:t>
      </w:r>
    </w:p>
    <w:p>
      <w:pPr>
        <w:jc w:val="both"/>
      </w:pPr>
      <w:r>
        <w:t>网络因此构成家庭之外的再学习场域，也可能传播平等协商、明确同意及停止权。线上反馈怎样改变预期，文化脚本怎样解释这种预期，线下制度又是否提供真实选择，应分别记录。这使本文的支配—服从主轴与语言抽象相衔接：同一段缓解体验，既可能被理解为危险暂歇，也可能被叙述为对方的恩惠；两种解释所增加的事实前提与规范要求并不相同。</w:t>
      </w:r>
    </w:p>
    <w:p>
      <w:pPr>
        <w:pStyle w:val="Heading1"/>
      </w:pPr>
      <w:r>
        <w:t>八、共同原型的因果链及其竞争解释</w:t>
      </w:r>
    </w:p>
    <w:p>
      <w:pPr>
        <w:jc w:val="both"/>
      </w:pPr>
      <w:r>
        <w:t>共同原型假说所提出的历史解释是：早期男女配对中的支配—服从关系，先被编码为性别角色，再经过社会学习与制度化，成为一般权力脚本的根源；传播后的角色可以跨性别配置，并在自愿亲密活动中重新编排。选择性迁移解释其中规则如何跨域，利益与行动模型解释规则如何进入具体选择，二者共同使这一链条具有可分析的内容。新的组织还可能反过来塑造家庭，因而早期来源即使存在，也不意味着后来的传播始终单向。</w:t>
      </w:r>
    </w:p>
    <w:p>
      <w:pPr>
        <w:jc w:val="both"/>
      </w:pPr>
      <w:r>
        <w:t>各环节在现有材料中的地位并不相同：</w:t>
      </w:r>
    </w:p>
    <w:tbl>
      <w:tblPr>
        <w:tblW w:type="auto" w:w="0"/>
        <w:jc w:val="center"/>
        <w:tblLayout w:type="fixed"/>
        <w:tblLook w:firstColumn="1" w:firstRow="1" w:lastColumn="0" w:lastRow="0" w:noHBand="0" w:noVBand="1" w:val="04A0"/>
      </w:tblPr>
      <w:tblGrid>
        <w:gridCol w:w="827"/>
        <w:gridCol w:w="3225"/>
        <w:gridCol w:w="4962"/>
      </w:tblGrid>
      <w:tr>
        <w:trPr>
          <w:cantSplit/>
          <w:tblHeader/>
        </w:trPr>
        <w:tc>
          <w:tcPr>
            <w:tcW w:type="dxa" w:w="8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因果环节</w:t>
            </w:r>
          </w:p>
        </w:tc>
        <w:tc>
          <w:tcPr>
            <w:tcW w:type="dxa" w:w="32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假说所主张的联系</w:t>
            </w:r>
          </w:p>
        </w:tc>
        <w:tc>
          <w:tcPr>
            <w:tcW w:type="dxa" w:w="496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EDEDED"/>
          </w:tcPr>
          <w:p>
            <w:pPr>
              <w:pStyle w:val="TableText"/>
              <w:keepNext/>
            </w:pPr>
            <w:r>
              <w:rPr>
                <w:b/>
                <w:bCs w:val="1"/>
              </w:rPr>
              <w:t>本文材料所支持的判断</w:t>
            </w:r>
          </w:p>
        </w:tc>
      </w:tr>
      <w:tr>
        <w:trPr>
          <w:cantSplit/>
        </w:trPr>
        <w:tc>
          <w:tcPr>
            <w:tcW w:type="dxa" w:w="8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起源</w:t>
            </w:r>
          </w:p>
        </w:tc>
        <w:tc>
          <w:tcPr>
            <w:tcW w:type="dxa" w:w="32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配对中的支配—服从先于并生成一般权力文化原型</w:t>
            </w:r>
          </w:p>
        </w:tc>
        <w:tc>
          <w:tcPr>
            <w:tcW w:type="dxa" w:w="496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《序卦》提供解释序列，尚无足以确认史前发生次序及排除独立来源的材料</w:t>
            </w:r>
          </w:p>
        </w:tc>
      </w:tr>
      <w:tr>
        <w:trPr>
          <w:cantSplit/>
        </w:trPr>
        <w:tc>
          <w:tcPr>
            <w:tcW w:type="dxa" w:w="8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编码</w:t>
            </w:r>
          </w:p>
        </w:tc>
        <w:tc>
          <w:tcPr>
            <w:tcW w:type="dxa" w:w="32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配对关系位置获得男性与女性应如何行动的规范意义</w:t>
            </w:r>
          </w:p>
        </w:tc>
        <w:tc>
          <w:tcPr>
            <w:tcW w:type="dxa" w:w="496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《家人》明确连接性别与位置；这确认传世文本中的编码，未确认该编码的最初形成过程</w:t>
            </w:r>
          </w:p>
        </w:tc>
      </w:tr>
      <w:tr>
        <w:trPr>
          <w:cantSplit/>
        </w:trPr>
        <w:tc>
          <w:tcPr>
            <w:tcW w:type="dxa" w:w="8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传播</w:t>
            </w:r>
          </w:p>
        </w:tc>
        <w:tc>
          <w:tcPr>
            <w:tcW w:type="dxa" w:w="32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家庭、网络及其他社会学习保存并重组关系规则</w:t>
            </w:r>
          </w:p>
        </w:tc>
        <w:tc>
          <w:tcPr>
            <w:tcW w:type="dxa" w:w="496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《家范》确认局部文本继承；网络实验支持特定表达的社会学习，尚未直接检验性别化服从脚本的传播</w:t>
            </w:r>
          </w:p>
        </w:tc>
      </w:tr>
      <w:tr>
        <w:trPr>
          <w:cantSplit/>
        </w:trPr>
        <w:tc>
          <w:tcPr>
            <w:tcW w:type="dxa" w:w="8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抽象</w:t>
            </w:r>
          </w:p>
        </w:tc>
        <w:tc>
          <w:tcPr>
            <w:tcW w:type="dxa" w:w="32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性别化及家内规则转化为一般组织义务和权力语言</w:t>
            </w:r>
          </w:p>
        </w:tc>
        <w:tc>
          <w:tcPr>
            <w:tcW w:type="dxa" w:w="496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《孝经》等明示跨关系转用，但直接来源包括亲子、兄弟和治家，不能全记为夫妻路径</w:t>
            </w:r>
          </w:p>
        </w:tc>
      </w:tr>
      <w:tr>
        <w:trPr>
          <w:cantSplit/>
        </w:trPr>
        <w:tc>
          <w:tcPr>
            <w:tcW w:type="dxa" w:w="827"/>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重组</w:t>
            </w:r>
          </w:p>
        </w:tc>
        <w:tc>
          <w:tcPr>
            <w:tcW w:type="dxa" w:w="3225"/>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角色脱离原性别承担者，并在亲密活动中再使用</w:t>
            </w:r>
          </w:p>
        </w:tc>
        <w:tc>
          <w:tcPr>
            <w:tcW w:type="dxa" w:w="496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tcPr>
          <w:p>
            <w:pPr>
              <w:pStyle w:val="TableText"/>
            </w:pPr>
            <w:r>
              <w:t>女性权威、男性从属与规则层授权支持角色可分离；它们不足以确认每种重组都来自同一远古原型</w:t>
            </w:r>
          </w:p>
        </w:tc>
      </w:tr>
    </w:tbl>
    <w:p>
      <w:pPr>
        <w:jc w:val="both"/>
      </w:pPr>
      <w:r>
        <w:t>这条链中的后段能够获得局部支持，并不使前段自动成立。反过来，某一环节缺乏历史识别，也不意味着其他环节毫无内容。强假说的价值在于把性别、组织和亲密角色放入同一发生问题；它的证据负担在于证明这些联系确由共同原型延续，而非由多个来源汇合或后来的相互借用形成。</w:t>
      </w:r>
    </w:p>
    <w:p>
      <w:pPr>
        <w:jc w:val="both"/>
      </w:pPr>
      <w:r>
        <w:t>这条解释中最关键的跳跃，不是观察到配对，而是从配对中的某种经验上升为可转用规则。互惠分工、共同决策和相互照护，同样能够发生在配对关系中。配对的存在不能自动填入支配，支配的存在也不能自动填入性别编码。理论需要说明为何某些不对称被概括为应当如此，谁传播了这种概括，以及它在何种条件下获得了超出原关系的适用资格。配对内部还须区别性活动、日常分工与资源依赖：现存文本不能确定性活动本身是否构成通向一般权力的必经路径，不能以“源于配对”掩盖这一步尚未建立的联系。</w:t>
      </w:r>
    </w:p>
    <w:p>
      <w:pPr>
        <w:jc w:val="both"/>
      </w:pPr>
      <w:r>
        <w:t>至少有三类竞争解释。第一，亲子教养、俘获与奴役、资源控制或组织协调，可能相对独立地产生权限差异，随后才与夫妻规范相互借用。第二，共同的生产与生存条件可能同时改变家庭分工和公共组织，使两者相似，却不存在单向复制。Alesina、Giuliano与Nunn（2013）对传统犁耕与后代性别规范的研究，使这种历史条件与文化持续的组合成为实际需要处理的解释。第三，公共制度可能先形成权力结构，再要求家庭据此安排角色；亚里士多德关于家庭教育与政制的论述，正为这一方向提供了文本依据。</w:t>
      </w:r>
    </w:p>
    <w:p>
      <w:pPr>
        <w:jc w:val="both"/>
      </w:pPr>
      <w:r>
        <w:t>平等与合作的关系形式也构成有效反例。Dyble等（2015）以模型和两个人群的居住资料，讨论男女对居住选择具有平等影响时的社会组织结果；该研究不能代表全部史前社会，却足以反对预设早期配对只有支配模板。Olivier等（2024）对灵长类社会组织的祖先重建，讨论的是成对生活，并区分它与配偶制度等其他社会系统成分。成对生活的古老性，不能替代夫妻支配古老性的证据。</w:t>
      </w:r>
    </w:p>
    <w:p>
      <w:pPr>
        <w:jc w:val="both"/>
      </w:pPr>
      <w:r>
        <w:t>配对来源因而需要区分三个强度不同的版本。局部贡献命题认为，某些夫妻关系的规则实际参与了其他权力脚本的形成；历史优先命题认为，这条路径在有关社会中先于竞争路径；唯一来源命题进一步认为，相关文化权力脚本最终都来自配对。较晚文本中的夫妻—政治连接，能够为局部转用提供材料，却不能直接证明历史优先。发现独立生成路径会反驳唯一来源，却不必取消某些配对关系曾作出的贡献。</w:t>
      </w:r>
    </w:p>
    <w:p>
      <w:pPr>
        <w:jc w:val="both"/>
      </w:pPr>
      <w:r>
        <w:t>现有材料确立了家庭与政治的文本连接，也显示《家范》对经典的可定位继承；这些事实不同于实际人群接受规则的实践传播，更不同于接触规则改变行为的因果影响。只有把四个层次分开，才不会以经典声望替代接受率，以文本类比替代制度发生。相同的关系结构还可能由方向相反的过程产生；附录A给出一个最小反例，说明仅凭同时存在配对不对称、性别编码与一般权威，不能识别其因果次序。</w:t>
      </w:r>
    </w:p>
    <w:p>
      <w:pPr>
        <w:jc w:val="both"/>
      </w:pPr>
      <w:r>
        <w:t>新增的学习证据处理的是某些关系如何维持，不独自证明它们最早如何产生。自愿SM情境、受限关系中的痛苦解除和网络反馈分别构成比较场景；它们不能共同拼成未经观察的史前因果链。</w:t>
      </w:r>
    </w:p>
    <w:p>
      <w:pPr>
        <w:jc w:val="both"/>
      </w:pPr>
      <w:r>
        <w:t>这一限制不取消理论的解释力，而是规定其着力点。配对来源假说把一般权力的文化根源作为待证问题；选择性迁移理论则解释已能定位的规则如何被转用、改写与重新安置。前者未获确证，不会使后者失去比较对象；后者得到支持，也不能替前者完成史前证明。</w:t>
      </w:r>
    </w:p>
    <w:p>
      <w:pPr>
        <w:pStyle w:val="Heading1"/>
      </w:pPr>
      <w:r>
        <w:t>九、结论</w:t>
      </w:r>
    </w:p>
    <w:p>
      <w:pPr>
        <w:jc w:val="both"/>
      </w:pPr>
      <w:r>
        <w:t>家庭进入一般秩序的过程，不能概括为一条服从命令的放大。《孝经》把忠孝与谏诤放在同一规范结构中，《家范》将事君、事长与使众配置给不同德行，《孟子》借家庭经验要求统治者扩展关怀；亚里士多德与洛克则在关系联系之中持续划定不同权力的边界。这些文本共同显示，家庭提供的是由权限、义务和限制组成的规则资源，而非性质单一的支配原型。</w:t>
      </w:r>
    </w:p>
    <w:p>
      <w:pPr>
        <w:jc w:val="both"/>
      </w:pPr>
      <w:r>
        <w:t>本文据此提出，支配再生产的一个关键机制，是关系脚本的选择性迁移。它既可以保留命令资格而删去纠错根据，也可以保留退出的名义而提高拒绝代价；它同样可以把照护责任和质疑不义的根据带入新的关系。迁移是否强化支配，取决于这些具体变化，不能由“家庭化”“男性化”或“传统”这样的标签预先决定。删除有效限制扩大规范许可范围，是一个有条件的分析结论；这种扩大是否转化为实际控制，则须看规则如何被执行。</w:t>
      </w:r>
    </w:p>
    <w:p>
      <w:pPr>
        <w:jc w:val="both"/>
      </w:pPr>
      <w:r>
        <w:t>性别指称也不能代替权力分析。女性权威、男性服从与交叉的关系位置表明，人们可以承担原先不与其性别绑定的脚本；自愿角色模拟进一步表明，角色内的命令可以与规则层的共同授权并存。研究由此必须同时追问三个问题：谁在发令，命令凭什么成立，谁能使它失效。只回答第一个问题，无法分辨临时协调、授权的不对称和缺乏真实拒绝空间的支配。</w:t>
      </w:r>
    </w:p>
    <w:p>
      <w:pPr>
        <w:jc w:val="both"/>
      </w:pPr>
      <w:r>
        <w:t>痛苦解除与情境调节的区分进一步说明，观察到服从、缓解或快感，不足以判定关系的性质。必须同时查明行为所回应的后果、主体如何理解这些后果，以及拒绝和停止是否真正可行。关于网络学习，本文提出关系脚本能够在家庭之外被展示和改写的扩展假说；服从义务与命令限制分别怎样传播，仍需针对这些内容的直接检验。</w:t>
      </w:r>
    </w:p>
    <w:p>
      <w:pPr>
        <w:jc w:val="both"/>
      </w:pPr>
      <w:r>
        <w:t>本文提出的强历史解释，是配对中的支配—服从构成性别文化符号和一般社会权力的共同原型，其最强版本具有根源性。现有传世文本不足以确认这一来源的历史优先性与唯一性，也不足以排除亲子、俘获、资源和组织路径的独立贡献。本文因而不把根源命题改写为一般文化影响，也不以局部迁移替它完成证明。能够确立的机制判断是：</w:t>
      </w:r>
      <w:r>
        <w:rPr>
          <w:b/>
          <w:i w:val="0"/>
          <w:bCs w:val="1"/>
        </w:rPr>
        <w:t>权力文化的延续，不仅在于某些服从要求被不断传下去，也在于约束命令、纠正错误和离开关系的条件，是否一同被传下去。</w:t>
      </w:r>
      <w:r>
        <w:t>这些条件的得失，使相似的称谓通向不同的关系，也为辨认共同原型究竟如何传播、是否确曾传播提供了具体尺度。</w:t>
      </w:r>
    </w:p>
    <w:p>
      <w:pPr>
        <w:pStyle w:val="Heading1"/>
      </w:pPr>
      <w:r>
        <w:t>附录A：形式论证</w:t>
      </w:r>
    </w:p>
    <w:p>
      <w:pPr>
        <w:pStyle w:val="Heading2"/>
      </w:pPr>
      <w:r>
        <w:t>A1. 删除有效限制与规范许可集合</w:t>
      </w:r>
    </w:p>
    <w:p>
      <w:pPr>
        <w:jc w:val="both"/>
      </w:pPr>
      <w:r>
        <w:t>固定行动域Ω和基础许可集合B⊆Ω，令L为Ω上的真假谓词。旧许可集合C＝{x∈B：L(x)}，删除L后的集合C′＝B。任取x∈C，即有x∈B，所以x∈C′，故C⊆C′；当且仅当存在x∈B使L(x)为假时，C⊂C′。证明不要求Ω有限。</w:t>
      </w:r>
    </w:p>
    <w:p>
      <w:pPr>
        <w:jc w:val="both"/>
      </w:pPr>
      <w:r>
        <w:t>比较必须保持行动域、基础条件及其他限制不变。若删去L的同时缩小B或增加其他限制，集合未必扩大。该结论只涉及规则许可，不直接比较行动者福利、整体正义或实际控制力。具体历史案例中是否发生此种删除，需要来源连续、规则可比的材料。</w:t>
      </w:r>
    </w:p>
    <w:p>
      <w:pPr>
        <w:pStyle w:val="Heading2"/>
      </w:pPr>
      <w:r>
        <w:t>A2. 服从行为的非唯一解释</w:t>
      </w:r>
    </w:p>
    <w:p>
      <w:pPr>
        <w:jc w:val="both"/>
      </w:pPr>
      <w:r>
        <w:t>行动集合为{接受，拒绝}，效用确定，以实数表示，仅比较本次决策，平局时接受。由U接受＝a＋g－c及U拒绝＝b－d，得U接受≥U拒绝当且仅当g＋d≥b－a＋c。</w:t>
      </w:r>
    </w:p>
    <w:p>
      <w:pPr>
        <w:jc w:val="both"/>
      </w:pPr>
      <w:r>
        <w:t>令a＝6、c＝4、b＝3。若g＝d＝0，接受与拒绝效用为2和3，选择拒绝；若g＝2、d＝0，效用为4和3，选择接受；若g＝0、d＝2，效用为2和1，也选择接受。后两组行为相同，规范价值与拒绝损失却不同。数值仅用于构造反例，不是经验估计。此例说明单个接受行为不能唯一识别g和d，而非宣称任何丰富资料都不能识别动机。</w:t>
      </w:r>
    </w:p>
    <w:p>
      <w:pPr>
        <w:pStyle w:val="Heading2"/>
      </w:pPr>
      <w:r>
        <w:t>A3. 相同结构不识别历史方向</w:t>
      </w:r>
    </w:p>
    <w:p>
      <w:pPr>
        <w:jc w:val="both"/>
      </w:pPr>
      <w:r>
        <w:t>设P、G、A为二值变量，分别表示一个假定社会中存在配对不对称、相应性别编码及一般权威规则。外生变量Z以各二分之一概率取0或1。模型M1规定P＝Z、G＝P、A＝G；模型M2规定A＝Z、G＝A、P＝G。两者都以各二分之一概率产生(P,G,A)＝(0,0,0)和(1,1,1)，却具有相反的因果方向。</w:t>
      </w:r>
    </w:p>
    <w:p>
      <w:pPr>
        <w:jc w:val="both"/>
      </w:pPr>
      <w:r>
        <w:t>只观察该联合分布而没有时序、干预或其他结构信息，便不能区分两模型。这个存在性反例不要求真实历史只有二值变量，也不宣称两解释的现实概率相等；它说明同时观察到三种结构不足以证明配对先行。增加可靠时序与传播载体资料，才可能打破这种等价。</w:t>
      </w:r>
    </w:p>
    <w:p>
      <w:pPr>
        <w:jc w:val="both"/>
      </w:pPr>
      <w:r>
        <w:t>对相关概率非零且有定义的两个假说H1、H2，后验赔率满足：P(H1|E)/P(H2|E)＝[P(H1)/P(H2)]×[P(E|H1)/P(E|H2)]。当两者对E给出相同的非零似然，E不改变相对赔率。能够容纳一个例子，并不等于比竞争解释更能说明它。</w:t>
      </w:r>
    </w:p>
    <w:p>
      <w:pPr>
        <w:pStyle w:val="Heading1"/>
      </w:pPr>
      <w:r>
        <w:t>附录B：当代迁移判断的可检验设计</w:t>
      </w:r>
    </w:p>
    <w:p>
      <w:pPr>
        <w:jc w:val="both"/>
      </w:pPr>
      <w:r>
        <w:t>本附录保留一个尚未实施的情境实验方案，其对象是当代资格判断，而非史前起源。成年人阅读虚构任务分配情境，随机接受“伴侣共同项目”或“同伴共同项目”的来源框架，并分别阅读“单方决定”或“共同协商”的规则，形成二乘二设计。随后判断一个内容相同、尚无明文制度的非亲属工作组中，一人是否有资格单方分派任务。人物能力、投入、资源与退出条件保持一致；性别组合平衡随机，来源与目标关系之间不设置亲属联系。</w:t>
      </w:r>
    </w:p>
    <w:p>
      <w:pPr>
        <w:jc w:val="both"/>
      </w:pPr>
      <w:r>
        <w:t>令F＝1为伴侣框架、F＝0为同伴框架；S＝1为单方规则、S＝0为协商规则；Y为预先固定的单方决定资格评分。主要交互对比为：</w:t>
      </w:r>
    </w:p>
    <w:p>
      <w:pPr>
        <w:jc w:val="both"/>
      </w:pPr>
      <w:r>
        <w:t>Δ＝[E(Y|F＝1,S＝1)－E(Y|F＝1,S＝0)]－[E(Y|F＝0,S＝1)－E(Y|F＝0,S＝0)]。</w:t>
      </w:r>
    </w:p>
    <w:p>
      <w:pPr>
        <w:jc w:val="both"/>
      </w:pPr>
      <w:r>
        <w:t>在独立随机分配、各组合有正的分配概率、处理稳定、无跨被试干扰且结果无选择性缺失等条件下，该对比识别这套材料中来源框架对规则效应的调节。它不能单独区分类比迁移、短期启动与需求特征，也不证明早期配对曾产生一般权力。</w:t>
      </w:r>
    </w:p>
    <w:p>
      <w:pPr>
        <w:jc w:val="both"/>
      </w:pPr>
      <w:r>
        <w:t>独立预试应检查“伴侣”是否额外引起依赖、承诺或共同财产的推断。如果这些理解随框架一起改变，估计对象就是该框架包的总体效果，而非已分离的配对符号作用。正式分析按随机分配组估计意向处理效应，不按处理后的主观理解重新分组，也不以控制这些理解的方式宣称提纯出符号的影响。评分尺度、对比方向、缺失处理、违规处理及量表修改规则均需在正式数据产生前固定。</w:t>
      </w:r>
    </w:p>
    <w:p>
      <w:pPr>
        <w:jc w:val="both"/>
      </w:pPr>
      <w:r>
        <w:t>本设计不直接检验痛苦解除、受害者依恋或SM中的奖励机制；新增部分需要独立研究，不能从本设计的结果一并确认。这个设计检验的是来源关系是否影响目标权限判断，并未直接操纵纠错条款的保留与删除。选择性迁移中的限制变化仍需单独的文本版本比较，或在独立设计中固定要求内容、只改变有效限制及其适用资格。两类问题可以相互补充，不能以框架交互代替对删除机制的检验。正式招募尚需完成适用的伦理审查、预注册及按最小有意义效应确定的样本量论证；本文不报告该方案的参与者数据或实验结果。</w:t>
      </w:r>
    </w:p>
    <w:p>
      <w:pPr>
        <w:pStyle w:val="Heading1"/>
      </w:pPr>
      <w:r>
        <w:t>材料说明</w:t>
      </w:r>
    </w:p>
    <w:p>
      <w:pPr>
        <w:jc w:val="both"/>
      </w:pPr>
      <w:r>
        <w:t>本文为理论论证与目的性文本比较。古籍据可访问电子转录及字典引文，未作原刻本或古文字校勘；西文经典使用所列译本。现代研究依实际可得的章节、摘要或出版社介绍确定讨论范围，不对未读部分作页级阐释。正文的文本连接、文本继承、实践传播和行为影响分别判断；语言用例用于检验一一映射，不能据此计算总体比例。</w:t>
      </w:r>
    </w:p>
    <w:p>
      <w:pPr>
        <w:pStyle w:val="Heading1"/>
      </w:pPr>
      <w:r>
        <w:t>参考文献</w:t>
      </w:r>
    </w:p>
    <w:p>
      <w:pPr>
        <w:pStyle w:val="Reference"/>
        <w:jc w:val="left"/>
      </w:pPr>
      <w:r>
        <w:t xml:space="preserve">1. Dawkins, R. 1989. </w:t>
      </w:r>
      <w:r>
        <w:rPr>
          <w:b w:val="0"/>
          <w:i/>
          <w:bCs w:val="0"/>
        </w:rPr>
        <w:t>The Selfish Gene</w:t>
      </w:r>
      <w:r>
        <w:t>. 2nd ed. Oxford University Press. 初版1976；第11章；</w:t>
      </w:r>
      <w:hyperlink r:id="rId9">
        <w:r>
          <w:rPr>
            <w:color w:val="000000"/>
            <w:rFonts w:eastAsia="宋体" w:ascii="Times New Roman" w:hAnsi="Times New Roman"/>
          </w:rPr>
          <w:t>1989版章节教学转载</w:t>
        </w:r>
      </w:hyperlink>
      <w:r>
        <w:t>。</w:t>
      </w:r>
    </w:p>
    <w:p>
      <w:pPr>
        <w:pStyle w:val="Reference"/>
        <w:jc w:val="left"/>
      </w:pPr>
      <w:r>
        <w:t xml:space="preserve">2. Engels, F. 1884（原作初版）. </w:t>
      </w:r>
      <w:r>
        <w:rPr>
          <w:b w:val="0"/>
          <w:i/>
          <w:bCs w:val="0"/>
        </w:rPr>
        <w:t>The Origin of the Family, Private Property and the State</w:t>
      </w:r>
      <w:r>
        <w:t>. 第二章第四节；</w:t>
      </w:r>
      <w:hyperlink r:id="rId10">
        <w:r>
          <w:rPr>
            <w:color w:val="000000"/>
            <w:rFonts w:eastAsia="宋体" w:ascii="Times New Roman" w:hAnsi="Times New Roman"/>
          </w:rPr>
          <w:t>公开英译文本</w:t>
        </w:r>
      </w:hyperlink>
      <w:r>
        <w:t>。据</w:t>
      </w:r>
      <w:hyperlink r:id="rId11">
        <w:r>
          <w:rPr>
            <w:color w:val="000000"/>
            <w:rFonts w:eastAsia="宋体" w:ascii="Times New Roman" w:hAnsi="Times New Roman"/>
          </w:rPr>
          <w:t>站点版本说明</w:t>
        </w:r>
      </w:hyperlink>
      <w:r>
        <w:t>，所用英译以Alick West的1942年译本为基础，并据1962年Dietz版《马克思恩格斯全集》德文版第21卷修订；不将网页英文当作1884德文原文。</w:t>
      </w:r>
    </w:p>
    <w:p>
      <w:pPr>
        <w:pStyle w:val="Reference"/>
        <w:jc w:val="left"/>
      </w:pPr>
      <w:r>
        <w:t xml:space="preserve">3. Pateman, C. 1988. </w:t>
      </w:r>
      <w:r>
        <w:rPr>
          <w:b w:val="0"/>
          <w:i/>
          <w:bCs w:val="0"/>
        </w:rPr>
        <w:t>The Sexual Contract</w:t>
      </w:r>
      <w:r>
        <w:t>. Polity Press；</w:t>
      </w:r>
      <w:hyperlink r:id="rId12">
        <w:r>
          <w:rPr>
            <w:color w:val="000000"/>
            <w:rFonts w:eastAsia="宋体" w:ascii="Times New Roman" w:hAnsi="Times New Roman"/>
          </w:rPr>
          <w:t>出版页面及简介</w:t>
        </w:r>
      </w:hyperlink>
      <w:r>
        <w:t>。</w:t>
      </w:r>
    </w:p>
    <w:p>
      <w:pPr>
        <w:pStyle w:val="Reference"/>
        <w:jc w:val="left"/>
      </w:pPr>
      <w:r>
        <w:t xml:space="preserve">4. Bourdieu, P. 2002. </w:t>
      </w:r>
      <w:r>
        <w:rPr>
          <w:b w:val="0"/>
          <w:i/>
          <w:bCs w:val="0"/>
        </w:rPr>
        <w:t>Masculine Domination</w:t>
      </w:r>
      <w:r>
        <w:t>. Trans. Richard Nice. Stanford University Press. 依</w:t>
      </w:r>
      <w:hyperlink r:id="rId13">
        <w:r>
          <w:rPr>
            <w:color w:val="000000"/>
            <w:rFonts w:eastAsia="宋体" w:ascii="Times New Roman" w:hAnsi="Times New Roman"/>
          </w:rPr>
          <w:t>所核出版社版本页面</w:t>
        </w:r>
      </w:hyperlink>
      <w:r>
        <w:t>标示年份；法文原作1998年。</w:t>
      </w:r>
    </w:p>
    <w:p>
      <w:pPr>
        <w:pStyle w:val="Reference"/>
        <w:jc w:val="left"/>
      </w:pPr>
      <w:r>
        <w:t xml:space="preserve">5. Simon, W., &amp; Gagnon, J. H. 1986. Sexual scripts: Permanence and change. </w:t>
      </w:r>
      <w:r>
        <w:rPr>
          <w:b w:val="0"/>
          <w:i/>
          <w:bCs w:val="0"/>
        </w:rPr>
        <w:t>Archives of Sexual Behavior</w:t>
      </w:r>
      <w:r>
        <w:t xml:space="preserve">, 15, 97–120. </w:t>
      </w:r>
      <w:hyperlink r:id="rId14">
        <w:r>
          <w:rPr>
            <w:color w:val="000000"/>
            <w:rFonts w:eastAsia="宋体" w:ascii="Times New Roman" w:hAnsi="Times New Roman"/>
          </w:rPr>
          <w:t>DOI</w:t>
        </w:r>
      </w:hyperlink>
      <w:r>
        <w:t>。</w:t>
      </w:r>
    </w:p>
    <w:p>
      <w:pPr>
        <w:pStyle w:val="Reference"/>
        <w:jc w:val="left"/>
      </w:pPr>
      <w:r>
        <w:t xml:space="preserve">6. Henrich, J., &amp; Gil-White, F. J. 2001. The evolution of prestige: Freely conferred deference as a mechanism for enhancing the benefits of cultural transmission. </w:t>
      </w:r>
      <w:r>
        <w:rPr>
          <w:b w:val="0"/>
          <w:i/>
          <w:bCs w:val="0"/>
        </w:rPr>
        <w:t>Evolution and Human Behavior</w:t>
      </w:r>
      <w:r>
        <w:t xml:space="preserve">, 22(3), 165–196. </w:t>
      </w:r>
      <w:hyperlink r:id="rId15">
        <w:r>
          <w:rPr>
            <w:color w:val="000000"/>
            <w:rFonts w:eastAsia="宋体" w:ascii="Times New Roman" w:hAnsi="Times New Roman"/>
          </w:rPr>
          <w:t>DOI</w:t>
        </w:r>
      </w:hyperlink>
      <w:r>
        <w:t>。</w:t>
      </w:r>
    </w:p>
    <w:p>
      <w:pPr>
        <w:pStyle w:val="Reference"/>
        <w:jc w:val="left"/>
      </w:pPr>
      <w:r>
        <w:t xml:space="preserve">7. O’Connor, C. 2019. </w:t>
      </w:r>
      <w:r>
        <w:rPr>
          <w:b w:val="0"/>
          <w:i/>
          <w:bCs w:val="0"/>
        </w:rPr>
        <w:t>The Origins of Unfairness: Social Categories and Cultural Evolution</w:t>
      </w:r>
      <w:r>
        <w:t xml:space="preserve">. Oxford University Press. </w:t>
      </w:r>
      <w:hyperlink r:id="rId16">
        <w:r>
          <w:rPr>
            <w:color w:val="000000"/>
            <w:rFonts w:eastAsia="宋体" w:ascii="Times New Roman" w:hAnsi="Times New Roman"/>
          </w:rPr>
          <w:t>出版社页面</w:t>
        </w:r>
      </w:hyperlink>
      <w:r>
        <w:t>。</w:t>
      </w:r>
    </w:p>
    <w:p>
      <w:pPr>
        <w:pStyle w:val="Reference"/>
        <w:jc w:val="left"/>
      </w:pPr>
      <w:r>
        <w:t xml:space="preserve">8. Jiménez, Á. V., &amp; Mesoudi, A. 2021（2020年在线）. The cultural transmission of prestige and dominance social rank cues: An experimental simulation. </w:t>
      </w:r>
      <w:r>
        <w:rPr>
          <w:b w:val="0"/>
          <w:i/>
          <w:bCs w:val="0"/>
        </w:rPr>
        <w:t>Evolutionary Psychological Science</w:t>
      </w:r>
      <w:r>
        <w:t xml:space="preserve">, 7, 189–199. </w:t>
      </w:r>
      <w:hyperlink r:id="rId17">
        <w:r>
          <w:rPr>
            <w:color w:val="000000"/>
            <w:rFonts w:eastAsia="宋体" w:ascii="Times New Roman" w:hAnsi="Times New Roman"/>
          </w:rPr>
          <w:t>DOI</w:t>
        </w:r>
      </w:hyperlink>
      <w:r>
        <w:t>。</w:t>
      </w:r>
    </w:p>
    <w:p>
      <w:pPr>
        <w:pStyle w:val="Reference"/>
        <w:jc w:val="left"/>
      </w:pPr>
      <w:r>
        <w:t>9. 《周易》：《序卦》《家人·彖传》。</w:t>
      </w:r>
      <w:hyperlink r:id="rId18">
        <w:r>
          <w:rPr>
            <w:color w:val="000000"/>
            <w:rFonts w:eastAsia="宋体" w:ascii="Times New Roman" w:hAnsi="Times New Roman"/>
          </w:rPr>
          <w:t>序卦固定电子转录</w:t>
        </w:r>
      </w:hyperlink>
      <w:r>
        <w:t>；</w:t>
      </w:r>
      <w:hyperlink r:id="rId19">
        <w:r>
          <w:rPr>
            <w:color w:val="000000"/>
            <w:rFonts w:eastAsia="宋体" w:ascii="Times New Roman" w:hAnsi="Times New Roman"/>
          </w:rPr>
          <w:t>家人固定电子转录</w:t>
        </w:r>
      </w:hyperlink>
      <w:r>
        <w:t>。</w:t>
      </w:r>
    </w:p>
    <w:p>
      <w:pPr>
        <w:pStyle w:val="Reference"/>
        <w:jc w:val="left"/>
      </w:pPr>
      <w:r>
        <w:t>10. 《孝经》：《广扬名》《谏诤》等篇。</w:t>
      </w:r>
      <w:hyperlink r:id="rId20">
        <w:r>
          <w:rPr>
            <w:color w:val="000000"/>
            <w:rFonts w:eastAsia="宋体" w:ascii="Times New Roman" w:hAnsi="Times New Roman"/>
          </w:rPr>
          <w:t>今文孝经电子转录</w:t>
        </w:r>
      </w:hyperlink>
      <w:r>
        <w:t>。</w:t>
      </w:r>
    </w:p>
    <w:p>
      <w:pPr>
        <w:pStyle w:val="Reference"/>
        <w:jc w:val="left"/>
      </w:pPr>
      <w:r>
        <w:t>11. 司马光：《家范》卷一。本文据</w:t>
      </w:r>
      <w:hyperlink r:id="rId21">
        <w:r>
          <w:rPr>
            <w:color w:val="000000"/>
            <w:rFonts w:eastAsia="宋体" w:ascii="Times New Roman" w:hAnsi="Times New Roman"/>
          </w:rPr>
          <w:t>四库全书本电子转录</w:t>
        </w:r>
      </w:hyperlink>
      <w:r>
        <w:t>；并参此前核查的</w:t>
      </w:r>
      <w:hyperlink r:id="rId22">
        <w:r>
          <w:rPr>
            <w:color w:val="000000"/>
            <w:rFonts w:eastAsia="宋体" w:ascii="Times New Roman" w:hAnsi="Times New Roman"/>
          </w:rPr>
          <w:t>识典古籍入口</w:t>
        </w:r>
      </w:hyperlink>
      <w:r>
        <w:t>。</w:t>
      </w:r>
    </w:p>
    <w:p>
      <w:pPr>
        <w:pStyle w:val="Reference"/>
        <w:jc w:val="left"/>
      </w:pPr>
      <w:r>
        <w:t xml:space="preserve">12. Aristotle. </w:t>
      </w:r>
      <w:r>
        <w:rPr>
          <w:b w:val="0"/>
          <w:i/>
          <w:bCs w:val="0"/>
        </w:rPr>
        <w:t>Politics</w:t>
      </w:r>
      <w:r>
        <w:t xml:space="preserve">. Book I, chapters 1–2, 12–13. Trans. Benjamin Jowett. </w:t>
      </w:r>
      <w:hyperlink r:id="rId23">
        <w:r>
          <w:rPr>
            <w:color w:val="000000"/>
            <w:rFonts w:eastAsia="宋体" w:ascii="Times New Roman" w:hAnsi="Times New Roman"/>
          </w:rPr>
          <w:t>MIT电子文本</w:t>
        </w:r>
      </w:hyperlink>
      <w:r>
        <w:t>。</w:t>
      </w:r>
    </w:p>
    <w:p>
      <w:pPr>
        <w:pStyle w:val="Reference"/>
        <w:jc w:val="left"/>
      </w:pPr>
      <w:r>
        <w:t xml:space="preserve">13. Locke, J. 1689（首版题名页1690）. </w:t>
      </w:r>
      <w:r>
        <w:rPr>
          <w:b w:val="0"/>
          <w:i/>
          <w:bCs w:val="0"/>
        </w:rPr>
        <w:t>Second Treatise of Government</w:t>
      </w:r>
      <w:r>
        <w:t xml:space="preserve">. §§52, 74–83. </w:t>
      </w:r>
      <w:hyperlink r:id="rId24">
        <w:r>
          <w:rPr>
            <w:color w:val="000000"/>
            <w:rFonts w:eastAsia="宋体" w:ascii="Times New Roman" w:hAnsi="Times New Roman"/>
          </w:rPr>
          <w:t>Project Gutenberg电子文本</w:t>
        </w:r>
      </w:hyperlink>
      <w:r>
        <w:t>。</w:t>
      </w:r>
    </w:p>
    <w:p>
      <w:pPr>
        <w:pStyle w:val="Reference"/>
        <w:jc w:val="left"/>
      </w:pPr>
      <w:r>
        <w:t xml:space="preserve">14. Justinian. 533. </w:t>
      </w:r>
      <w:r>
        <w:rPr>
          <w:b w:val="0"/>
          <w:i/>
          <w:bCs w:val="0"/>
        </w:rPr>
        <w:t>Institutes</w:t>
      </w:r>
      <w:r>
        <w:t xml:space="preserve">. I.II—III. Trans. J. B. Moyle, 1911. </w:t>
      </w:r>
      <w:hyperlink r:id="rId25">
        <w:r>
          <w:rPr>
            <w:color w:val="000000"/>
            <w:rFonts w:eastAsia="宋体" w:ascii="Times New Roman" w:hAnsi="Times New Roman"/>
          </w:rPr>
          <w:t>Harvard Ames Foundation电子文本</w:t>
        </w:r>
      </w:hyperlink>
      <w:r>
        <w:t>。</w:t>
      </w:r>
    </w:p>
    <w:p>
      <w:pPr>
        <w:pStyle w:val="Reference"/>
        <w:jc w:val="left"/>
      </w:pPr>
      <w:r>
        <w:t>15. 教育部：《异体字字典》“奴”“婢”“僕”“隸”条及《重编国语辞典修订本》“臣”条。</w:t>
      </w:r>
      <w:hyperlink r:id="rId26">
        <w:r>
          <w:rPr>
            <w:color w:val="000000"/>
            <w:rFonts w:eastAsia="宋体" w:ascii="Times New Roman" w:hAnsi="Times New Roman"/>
          </w:rPr>
          <w:t>奴</w:t>
        </w:r>
      </w:hyperlink>
      <w:r>
        <w:t>；</w:t>
      </w:r>
      <w:hyperlink r:id="rId27">
        <w:r>
          <w:rPr>
            <w:color w:val="000000"/>
            <w:rFonts w:eastAsia="宋体" w:ascii="Times New Roman" w:hAnsi="Times New Roman"/>
          </w:rPr>
          <w:t>婢</w:t>
        </w:r>
      </w:hyperlink>
      <w:r>
        <w:t>；</w:t>
      </w:r>
      <w:hyperlink r:id="rId28">
        <w:r>
          <w:rPr>
            <w:color w:val="000000"/>
            <w:rFonts w:eastAsia="宋体" w:ascii="Times New Roman" w:hAnsi="Times New Roman"/>
          </w:rPr>
          <w:t>僕</w:t>
        </w:r>
      </w:hyperlink>
      <w:r>
        <w:t>；</w:t>
      </w:r>
      <w:hyperlink r:id="rId29">
        <w:r>
          <w:rPr>
            <w:color w:val="000000"/>
            <w:rFonts w:eastAsia="宋体" w:ascii="Times New Roman" w:hAnsi="Times New Roman"/>
          </w:rPr>
          <w:t>隸</w:t>
        </w:r>
      </w:hyperlink>
      <w:r>
        <w:t>；</w:t>
      </w:r>
      <w:hyperlink r:id="rId30">
        <w:r>
          <w:rPr>
            <w:color w:val="000000"/>
            <w:rFonts w:eastAsia="宋体" w:ascii="Times New Roman" w:hAnsi="Times New Roman"/>
          </w:rPr>
          <w:t>臣</w:t>
        </w:r>
      </w:hyperlink>
      <w:r>
        <w:t>。</w:t>
      </w:r>
    </w:p>
    <w:p>
      <w:pPr>
        <w:pStyle w:val="Reference"/>
        <w:jc w:val="left"/>
      </w:pPr>
      <w:r>
        <w:t xml:space="preserve">16. Erickson, A. L. 2014. Mistresses and marriage: Or, a short history of the Mrs. </w:t>
      </w:r>
      <w:r>
        <w:rPr>
          <w:b w:val="0"/>
          <w:i/>
          <w:bCs w:val="0"/>
        </w:rPr>
        <w:t>History Workshop Journal</w:t>
      </w:r>
      <w:r>
        <w:t xml:space="preserve">, 78, 39–57. </w:t>
      </w:r>
      <w:hyperlink r:id="rId31">
        <w:r>
          <w:rPr>
            <w:color w:val="000000"/>
            <w:rFonts w:eastAsia="宋体" w:ascii="Times New Roman" w:hAnsi="Times New Roman"/>
          </w:rPr>
          <w:t>DOI</w:t>
        </w:r>
      </w:hyperlink>
      <w:r>
        <w:t>；本文用例实际据</w:t>
      </w:r>
      <w:hyperlink r:id="rId32">
        <w:r>
          <w:rPr>
            <w:color w:val="000000"/>
            <w:rFonts w:eastAsia="宋体" w:ascii="Times New Roman" w:hAnsi="Times New Roman"/>
          </w:rPr>
          <w:t>公开工作稿</w:t>
        </w:r>
      </w:hyperlink>
      <w:r>
        <w:t>，不混用稿本与刊本页码。</w:t>
      </w:r>
    </w:p>
    <w:p>
      <w:pPr>
        <w:pStyle w:val="Reference"/>
        <w:jc w:val="left"/>
      </w:pPr>
      <w:r>
        <w:t xml:space="preserve">17. Toller, T. N. 1921. </w:t>
      </w:r>
      <w:r>
        <w:rPr>
          <w:b w:val="0"/>
          <w:i/>
          <w:bCs w:val="0"/>
        </w:rPr>
        <w:t>An Anglo-Saxon Dictionary: Supplement</w:t>
      </w:r>
      <w:r>
        <w:t xml:space="preserve">. “hlæfdige”, p. 548. </w:t>
      </w:r>
      <w:hyperlink r:id="rId33">
        <w:r>
          <w:rPr>
            <w:color w:val="000000"/>
            <w:rFonts w:eastAsia="宋体" w:ascii="Times New Roman" w:hAnsi="Times New Roman"/>
          </w:rPr>
          <w:t>电子转录</w:t>
        </w:r>
      </w:hyperlink>
      <w:r>
        <w:t>。</w:t>
      </w:r>
    </w:p>
    <w:p>
      <w:pPr>
        <w:pStyle w:val="Reference"/>
        <w:jc w:val="left"/>
      </w:pPr>
      <w:r>
        <w:t xml:space="preserve">18. Douglass, F. 1845. </w:t>
      </w:r>
      <w:r>
        <w:rPr>
          <w:b w:val="0"/>
          <w:i/>
          <w:bCs w:val="0"/>
        </w:rPr>
        <w:t>Narrative of the Life of Frederick Douglass, an American Slave. Written by Himself</w:t>
      </w:r>
      <w:r>
        <w:t xml:space="preserve">. Chapter VI. </w:t>
      </w:r>
      <w:hyperlink r:id="rId34">
        <w:r>
          <w:rPr>
            <w:color w:val="000000"/>
            <w:rFonts w:eastAsia="宋体" w:ascii="Times New Roman" w:hAnsi="Times New Roman"/>
          </w:rPr>
          <w:t>公开全文片段</w:t>
        </w:r>
      </w:hyperlink>
      <w:r>
        <w:t>；</w:t>
      </w:r>
      <w:hyperlink r:id="rId35">
        <w:r>
          <w:rPr>
            <w:color w:val="000000"/>
            <w:rFonts w:eastAsia="宋体" w:ascii="Times New Roman" w:hAnsi="Times New Roman"/>
          </w:rPr>
          <w:t>美国国会图书馆1849版记录</w:t>
        </w:r>
      </w:hyperlink>
      <w:r>
        <w:t>。</w:t>
      </w:r>
    </w:p>
    <w:p>
      <w:pPr>
        <w:pStyle w:val="Reference"/>
        <w:jc w:val="left"/>
      </w:pPr>
      <w:r>
        <w:t xml:space="preserve">19. Alesina, A., Giuliano, P., &amp; Nunn, N. 2013. On the origins of gender roles: Women and the plough. </w:t>
      </w:r>
      <w:r>
        <w:rPr>
          <w:b w:val="0"/>
          <w:i/>
          <w:bCs w:val="0"/>
        </w:rPr>
        <w:t>The Quarterly Journal of Economics</w:t>
      </w:r>
      <w:r>
        <w:t xml:space="preserve">, 128(2), 469–530. </w:t>
      </w:r>
      <w:hyperlink r:id="rId36">
        <w:r>
          <w:rPr>
            <w:color w:val="000000"/>
            <w:rFonts w:eastAsia="宋体" w:ascii="Times New Roman" w:hAnsi="Times New Roman"/>
          </w:rPr>
          <w:t>DOI</w:t>
        </w:r>
      </w:hyperlink>
      <w:r>
        <w:t>；</w:t>
      </w:r>
      <w:hyperlink r:id="rId37">
        <w:r>
          <w:rPr>
            <w:color w:val="000000"/>
            <w:rFonts w:eastAsia="宋体" w:ascii="Times New Roman" w:hAnsi="Times New Roman"/>
          </w:rPr>
          <w:t>Harvard研究记录</w:t>
        </w:r>
      </w:hyperlink>
      <w:r>
        <w:t>。</w:t>
      </w:r>
    </w:p>
    <w:p>
      <w:pPr>
        <w:pStyle w:val="Reference"/>
        <w:jc w:val="left"/>
      </w:pPr>
      <w:r>
        <w:t xml:space="preserve">20. Dyble, M., et al. 2015. Sex equality can explain the unique social structure of hunter-gatherer bands. </w:t>
      </w:r>
      <w:r>
        <w:rPr>
          <w:b w:val="0"/>
          <w:i/>
          <w:bCs w:val="0"/>
        </w:rPr>
        <w:t>Science</w:t>
      </w:r>
      <w:r>
        <w:t xml:space="preserve">, 348(6236), 796–798. </w:t>
      </w:r>
      <w:hyperlink r:id="rId38">
        <w:r>
          <w:rPr>
            <w:color w:val="000000"/>
            <w:rFonts w:eastAsia="宋体" w:ascii="Times New Roman" w:hAnsi="Times New Roman"/>
          </w:rPr>
          <w:t>DOI</w:t>
        </w:r>
      </w:hyperlink>
      <w:r>
        <w:t>；</w:t>
      </w:r>
      <w:hyperlink r:id="rId39">
        <w:r>
          <w:rPr>
            <w:color w:val="000000"/>
            <w:rFonts w:eastAsia="宋体" w:ascii="Times New Roman" w:hAnsi="Times New Roman"/>
          </w:rPr>
          <w:t>文献与摘要</w:t>
        </w:r>
      </w:hyperlink>
      <w:r>
        <w:t>。</w:t>
      </w:r>
    </w:p>
    <w:p>
      <w:pPr>
        <w:pStyle w:val="Reference"/>
        <w:jc w:val="left"/>
      </w:pPr>
      <w:r>
        <w:t xml:space="preserve">21. Olivier, C.-A., et al. 2024. Primate social organization evolved from a flexible pair-living ancestor. </w:t>
      </w:r>
      <w:r>
        <w:rPr>
          <w:b w:val="0"/>
          <w:i/>
          <w:bCs w:val="0"/>
        </w:rPr>
        <w:t>PNAS</w:t>
      </w:r>
      <w:r>
        <w:t xml:space="preserve">, 121(1), e2215401120. </w:t>
      </w:r>
      <w:hyperlink r:id="rId40">
        <w:r>
          <w:rPr>
            <w:color w:val="000000"/>
            <w:rFonts w:eastAsia="宋体" w:ascii="Times New Roman" w:hAnsi="Times New Roman"/>
          </w:rPr>
          <w:t>全文</w:t>
        </w:r>
      </w:hyperlink>
      <w:r>
        <w:t>。</w:t>
      </w:r>
    </w:p>
    <w:p>
      <w:pPr>
        <w:pStyle w:val="Reference"/>
        <w:jc w:val="left"/>
      </w:pPr>
      <w:r>
        <w:t xml:space="preserve">22. Weinberg, M. S., Williams, C. J., &amp; Moser, C. 1984. The social constituents of sadomasochism. </w:t>
      </w:r>
      <w:r>
        <w:rPr>
          <w:b w:val="0"/>
          <w:i/>
          <w:bCs w:val="0"/>
        </w:rPr>
        <w:t>Social Problems</w:t>
      </w:r>
      <w:r>
        <w:t xml:space="preserve">, 31(4), 379–389. </w:t>
      </w:r>
      <w:hyperlink r:id="rId41">
        <w:r>
          <w:rPr>
            <w:color w:val="000000"/>
            <w:rFonts w:eastAsia="宋体" w:ascii="Times New Roman" w:hAnsi="Times New Roman"/>
          </w:rPr>
          <w:t>DOI及出版社摘要</w:t>
        </w:r>
      </w:hyperlink>
      <w:r>
        <w:t>。</w:t>
      </w:r>
    </w:p>
    <w:p>
      <w:pPr>
        <w:pStyle w:val="Reference"/>
        <w:jc w:val="left"/>
      </w:pPr>
      <w:r>
        <w:t>23. 《孟子》：《梁惠王上》，齐宣王问桓文之事段。</w:t>
      </w:r>
      <w:hyperlink r:id="rId42">
        <w:r>
          <w:rPr>
            <w:color w:val="000000"/>
            <w:rFonts w:eastAsia="宋体" w:ascii="Times New Roman" w:hAnsi="Times New Roman"/>
          </w:rPr>
          <w:t>公开电子转录</w:t>
        </w:r>
      </w:hyperlink>
      <w:r>
        <w:t>。本文所述诗句按该篇及《家范》的引用分析，不宣称校勘《诗经》原本。</w:t>
      </w:r>
    </w:p>
    <w:p>
      <w:pPr>
        <w:pStyle w:val="Reference"/>
        <w:jc w:val="left"/>
      </w:pPr>
      <w:r>
        <w:t xml:space="preserve">24. Leknes, S., Lee, M., Berna, C., Andersson, J., &amp; Tracey, I. 2011. Relief as a reward: Hedonic and neural responses to safety from pain. </w:t>
      </w:r>
      <w:r>
        <w:rPr>
          <w:b w:val="0"/>
          <w:i/>
          <w:bCs w:val="0"/>
        </w:rPr>
        <w:t>PLoS ONE</w:t>
      </w:r>
      <w:r>
        <w:t xml:space="preserve">, 6(4), e17870. </w:t>
      </w:r>
      <w:hyperlink r:id="rId43">
        <w:r>
          <w:rPr>
            <w:color w:val="000000"/>
            <w:rFonts w:eastAsia="宋体" w:ascii="Times New Roman" w:hAnsi="Times New Roman"/>
          </w:rPr>
          <w:t>全文</w:t>
        </w:r>
      </w:hyperlink>
      <w:r>
        <w:t>。</w:t>
      </w:r>
    </w:p>
    <w:p>
      <w:pPr>
        <w:pStyle w:val="Reference"/>
        <w:jc w:val="left"/>
      </w:pPr>
      <w:r>
        <w:t xml:space="preserve">25. Navratilova, E., et al. 2012. Pain relief produces negative reinforcement through activation of mesolimbic reward–valuation circuitry. </w:t>
      </w:r>
      <w:r>
        <w:rPr>
          <w:b w:val="0"/>
          <w:i/>
          <w:bCs w:val="0"/>
        </w:rPr>
        <w:t>PNAS</w:t>
      </w:r>
      <w:r>
        <w:t xml:space="preserve">, 109(50), 20709–20713. </w:t>
      </w:r>
      <w:hyperlink r:id="rId44">
        <w:r>
          <w:rPr>
            <w:color w:val="000000"/>
            <w:rFonts w:eastAsia="宋体" w:ascii="Times New Roman" w:hAnsi="Times New Roman"/>
          </w:rPr>
          <w:t>DOI</w:t>
        </w:r>
      </w:hyperlink>
      <w:r>
        <w:t>。</w:t>
      </w:r>
    </w:p>
    <w:p>
      <w:pPr>
        <w:pStyle w:val="Reference"/>
        <w:jc w:val="left"/>
      </w:pPr>
      <w:r>
        <w:t xml:space="preserve">26. Seligman, M. E. P., &amp; Maier, S. F. 1967. Failure to escape traumatic shock. </w:t>
      </w:r>
      <w:r>
        <w:rPr>
          <w:b w:val="0"/>
          <w:i/>
          <w:bCs w:val="0"/>
        </w:rPr>
        <w:t>Journal of Experimental Psychology</w:t>
      </w:r>
      <w:r>
        <w:t xml:space="preserve">, 74(1), 1–9. </w:t>
      </w:r>
      <w:hyperlink r:id="rId45">
        <w:r>
          <w:rPr>
            <w:color w:val="000000"/>
            <w:rFonts w:eastAsia="宋体" w:ascii="Times New Roman" w:hAnsi="Times New Roman"/>
          </w:rPr>
          <w:t>DOI</w:t>
        </w:r>
      </w:hyperlink>
      <w:r>
        <w:t>。</w:t>
      </w:r>
    </w:p>
    <w:p>
      <w:pPr>
        <w:pStyle w:val="Reference"/>
        <w:jc w:val="left"/>
      </w:pPr>
      <w:r>
        <w:t xml:space="preserve">27. Maier, S. F., &amp; Seligman, M. E. P. 2016. Learned helplessness at fifty: Insights from neuroscience. </w:t>
      </w:r>
      <w:r>
        <w:rPr>
          <w:b w:val="0"/>
          <w:i/>
          <w:bCs w:val="0"/>
        </w:rPr>
        <w:t>Psychological Review</w:t>
      </w:r>
      <w:r>
        <w:t xml:space="preserve">, 123(4), 349–367. </w:t>
      </w:r>
      <w:hyperlink r:id="rId46">
        <w:r>
          <w:rPr>
            <w:color w:val="000000"/>
            <w:rFonts w:eastAsia="宋体" w:ascii="Times New Roman" w:hAnsi="Times New Roman"/>
          </w:rPr>
          <w:t>DOI</w:t>
        </w:r>
      </w:hyperlink>
      <w:r>
        <w:t>。</w:t>
      </w:r>
    </w:p>
    <w:p>
      <w:pPr>
        <w:pStyle w:val="Reference"/>
        <w:jc w:val="left"/>
      </w:pPr>
      <w:r>
        <w:t xml:space="preserve">28. Dutton, D. G., &amp; Painter, S. 1993. Emotional attachments in abusive relationships: A test of traumatic bonding theory. </w:t>
      </w:r>
      <w:r>
        <w:rPr>
          <w:b w:val="0"/>
          <w:i/>
          <w:bCs w:val="0"/>
        </w:rPr>
        <w:t>Violence and Victims</w:t>
      </w:r>
      <w:r>
        <w:t xml:space="preserve">, 8(2), 105–120. </w:t>
      </w:r>
      <w:hyperlink r:id="rId47">
        <w:r>
          <w:rPr>
            <w:color w:val="000000"/>
            <w:rFonts w:eastAsia="宋体" w:ascii="Times New Roman" w:hAnsi="Times New Roman"/>
          </w:rPr>
          <w:t>DOI</w:t>
        </w:r>
      </w:hyperlink>
      <w:r>
        <w:t>。</w:t>
      </w:r>
    </w:p>
    <w:p>
      <w:pPr>
        <w:pStyle w:val="Reference"/>
        <w:jc w:val="left"/>
      </w:pPr>
      <w:r>
        <w:t xml:space="preserve">29. Namnyak, M., Tufton, N., Szekely, R., Toal, M., Worboys, S., &amp; Sampson, E. L. 2008. ‘Stockholm syndrome’: Psychiatric diagnosis or urban myth? </w:t>
      </w:r>
      <w:r>
        <w:rPr>
          <w:b w:val="0"/>
          <w:i/>
          <w:bCs w:val="0"/>
        </w:rPr>
        <w:t>Acta Psychiatrica Scandinavica</w:t>
      </w:r>
      <w:r>
        <w:t xml:space="preserve">, 117(1), 4–11. </w:t>
      </w:r>
      <w:hyperlink r:id="rId48">
        <w:r>
          <w:rPr>
            <w:color w:val="000000"/>
            <w:rFonts w:eastAsia="宋体" w:ascii="Times New Roman" w:hAnsi="Times New Roman"/>
          </w:rPr>
          <w:t>DOI</w:t>
        </w:r>
      </w:hyperlink>
      <w:r>
        <w:t>。</w:t>
      </w:r>
    </w:p>
    <w:p>
      <w:pPr>
        <w:pStyle w:val="Reference"/>
        <w:jc w:val="left"/>
      </w:pPr>
      <w:r>
        <w:t xml:space="preserve">30. Brady, W. J., McLoughlin, K., Doan, T. N., &amp; Crockett, M. J. 2021. How social learning amplifies moral outrage expression in online social networks. </w:t>
      </w:r>
      <w:r>
        <w:rPr>
          <w:b w:val="0"/>
          <w:i/>
          <w:bCs w:val="0"/>
        </w:rPr>
        <w:t>Science Advances</w:t>
      </w:r>
      <w:r>
        <w:t xml:space="preserve">, 7(33), eabe5641. </w:t>
      </w:r>
      <w:hyperlink r:id="rId49">
        <w:r>
          <w:rPr>
            <w:color w:val="000000"/>
            <w:rFonts w:eastAsia="宋体" w:ascii="Times New Roman" w:hAnsi="Times New Roman"/>
          </w:rPr>
          <w:t>DOI</w:t>
        </w:r>
      </w:hyperlink>
      <w:r>
        <w:t>。</w:t>
      </w:r>
    </w:p>
    <w:p>
      <w:pPr>
        <w:pStyle w:val="Reference"/>
        <w:jc w:val="left"/>
      </w:pPr>
      <w:r>
        <w:t xml:space="preserve">31. Kamping, S., Andoh, J., Bomba, I. C., Diers, M., Diesch, E., &amp; Flor, H. 2016. Contextual modulation of pain in masochists: Involvement of the parietal operculum and insula. </w:t>
      </w:r>
      <w:r>
        <w:rPr>
          <w:b w:val="0"/>
          <w:i/>
          <w:bCs w:val="0"/>
        </w:rPr>
        <w:t>Pain</w:t>
      </w:r>
      <w:r>
        <w:t xml:space="preserve">, 157(2), 445–455. </w:t>
      </w:r>
      <w:hyperlink r:id="rId50">
        <w:r>
          <w:rPr>
            <w:color w:val="000000"/>
            <w:rFonts w:eastAsia="宋体" w:ascii="Times New Roman" w:hAnsi="Times New Roman"/>
          </w:rPr>
          <w:t>DOI</w:t>
        </w:r>
      </w:hyperlink>
      <w:r>
        <w:t>。</w:t>
      </w:r>
    </w:p>
    <w:p>
      <w:pPr>
        <w:pStyle w:val="Reference"/>
        <w:jc w:val="left"/>
      </w:pPr>
      <w:r>
        <w:t xml:space="preserve">32. Wuyts, E., De Neef, N., Coppens, V., Fransen, E., Schellens, E., Van Der Pol, M., &amp; Morrens, M. 2020. Between pleasure and pain: A pilot study on the biological mechanisms associated with BDSM interactions in dominants and submissives. </w:t>
      </w:r>
      <w:r>
        <w:rPr>
          <w:b w:val="0"/>
          <w:i/>
          <w:bCs w:val="0"/>
        </w:rPr>
        <w:t>The Journal of Sexual Medicine</w:t>
      </w:r>
      <w:r>
        <w:t xml:space="preserve">, 17(4), 784–792. </w:t>
      </w:r>
      <w:hyperlink r:id="rId51">
        <w:r>
          <w:rPr>
            <w:color w:val="000000"/>
            <w:rFonts w:eastAsia="宋体" w:ascii="Times New Roman" w:hAnsi="Times New Roman"/>
          </w:rPr>
          <w:t>DOI</w:t>
        </w:r>
      </w:hyperlink>
      <w:r>
        <w:t>。</w:t>
      </w:r>
    </w:p>
    <w:p>
      <w:pPr>
        <w:pStyle w:val="Reference"/>
        <w:jc w:val="left"/>
      </w:pPr>
      <w:r>
        <w:t xml:space="preserve">33. Labrecque, F., Potz, A., Larouche, É., &amp; Joyal, C. C. 2021（2020年在线）. What is so appealing about being spanked, flogged, dominated, or restrained? Answers from practitioners of sexual masochism/submission. </w:t>
      </w:r>
      <w:r>
        <w:rPr>
          <w:b w:val="0"/>
          <w:i/>
          <w:bCs w:val="0"/>
        </w:rPr>
        <w:t>The Journal of Sex Research</w:t>
      </w:r>
      <w:r>
        <w:t xml:space="preserve">, 58(4), 409–423. </w:t>
      </w:r>
      <w:hyperlink r:id="rId52">
        <w:r>
          <w:rPr>
            <w:color w:val="000000"/>
            <w:rFonts w:eastAsia="宋体" w:ascii="Times New Roman" w:hAnsi="Times New Roman"/>
          </w:rPr>
          <w:t>DOI</w:t>
        </w:r>
      </w:hyperlink>
      <w:r>
        <w:t>。</w:t>
      </w:r>
    </w:p>
    <w:sectPr w:rsidR="00FC693F" w:rsidRPr="0006063C" w:rsidSect="00034616">
      <w:headerReference w:type="default" r:id="rId53"/>
      <w:footerReference w:type="default" r:id="rId54"/>
      <w:pgSz w:w="11906" w:h="16838"/>
      <w:pgMar w:top="1440" w:right="1440" w:bottom="1440" w:left="144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sz w:val="18"/>
        <w:szCs w:val="18"/>
      </w:rPr>
      <w:t>从配对关系到社会权力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宋体" w:ascii="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480"/>
    </w:pPr>
    <w:rPr>
      <w:rFonts w:ascii="Times New Roman" w:hAnsi="Times New Roman" w:eastAsia="宋体" w:cs="Times New Roman"/>
      <w:b w:val="0"/>
      <w:color w:val="000000"/>
      <w:sz w:val="24"/>
      <w:szCs w:val="24"/>
      <w:bCs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宋体" w:cs="Times New Roman"/>
      <w:b w:val="0"/>
      <w:color w:val="000000"/>
      <w:sz w:val="18"/>
      <w:szCs w:val="18"/>
      <w:bCs w:val="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cs="Times New Roman"/>
      <w:b w:val="0"/>
      <w:color w:val="000000"/>
      <w:sz w:val="18"/>
      <w:szCs w:val="18"/>
      <w:bCs w:val="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00" w:lineRule="auto"/>
      <w:ind w:firstLine="0"/>
      <w:outlineLvl w:val="0"/>
    </w:pPr>
    <w:rPr>
      <w:rFonts w:ascii="Times New Roman" w:hAnsi="Times New Roman" w:eastAsia="黑体" w:cs="Times New Roman"/>
      <w:b/>
      <w:bCs w:val="1"/>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ind w:firstLine="0"/>
      <w:outlineLvl w:val="1"/>
    </w:pPr>
    <w:rPr>
      <w:rFonts w:ascii="Times New Roman" w:hAnsi="Times New Roman" w:eastAsia="黑体" w:cs="Times New Roman"/>
      <w:b/>
      <w:bCs w:val="1"/>
      <w:color w:val="000000"/>
      <w:sz w:val="24"/>
      <w:szCs w:val="24"/>
    </w:rPr>
  </w:style>
  <w:style w:type="paragraph" w:styleId="Heading3">
    <w:name w:val="heading 3"/>
    <w:basedOn w:val="Normal"/>
    <w:next w:val="Normal"/>
    <w:link w:val="Heading3Char"/>
    <w:uiPriority w:val="9"/>
    <w:unhideWhenUsed/>
    <w:qFormat/>
    <w:rsid w:val="00FC693F"/>
    <w:pPr>
      <w:keepNext/>
      <w:keepLines/>
      <w:spacing w:before="240" w:after="120" w:line="300" w:lineRule="auto"/>
      <w:ind w:firstLine="0"/>
      <w:outlineLvl w:val="2"/>
    </w:pPr>
    <w:rPr>
      <w:rFonts w:ascii="Times New Roman" w:hAnsi="Times New Roman" w:eastAsia="黑体" w:cs="Times New Roman"/>
      <w:b/>
      <w:bCs w:val="1"/>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00" w:lineRule="auto" w:before="240"/>
      <w:ind w:firstLine="0"/>
      <w:contextualSpacing/>
    </w:pPr>
    <w:rPr>
      <w:rFonts w:ascii="Times New Roman" w:hAnsi="Times New Roman" w:eastAsia="黑体" w:cs="Times New Roman"/>
      <w:b/>
      <w:color w:val="000000"/>
      <w:spacing w:val="5"/>
      <w:kern w:val="28"/>
      <w:sz w:val="32"/>
      <w:szCs w:val="32"/>
      <w:bCs w:val="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
    <w:name w:val="Abstract"/>
    <w:pPr>
      <w:widowControl/>
      <w:spacing w:line="312" w:lineRule="auto" w:after="60"/>
      <w:ind w:firstLine="420"/>
    </w:pPr>
    <w:rPr>
      <w:rFonts w:ascii="Times New Roman" w:hAnsi="Times New Roman" w:eastAsia="宋体" w:cs="Times New Roman"/>
      <w:b w:val="0"/>
      <w:color w:val="000000"/>
      <w:sz w:val="21"/>
      <w:szCs w:val="21"/>
      <w:bCs w:val="0"/>
    </w:rPr>
  </w:style>
  <w:style w:type="paragraph" w:customStyle="1" w:styleId="Reference">
    <w:name w:val="Reference"/>
    <w:pPr>
      <w:widowControl/>
      <w:spacing w:line="312" w:lineRule="auto" w:after="60"/>
      <w:ind w:left="420" w:hanging="420"/>
    </w:pPr>
    <w:rPr>
      <w:rFonts w:ascii="Times New Roman" w:hAnsi="Times New Roman" w:eastAsia="宋体" w:cs="Times New Roman"/>
      <w:b w:val="0"/>
      <w:color w:val="000000"/>
      <w:sz w:val="21"/>
      <w:szCs w:val="21"/>
      <w:bCs w:val="0"/>
    </w:rPr>
  </w:style>
  <w:style w:type="paragraph" w:customStyle="1" w:styleId="TableText">
    <w:name w:val="TableText"/>
    <w:pPr>
      <w:widowControl/>
      <w:spacing w:line="312" w:lineRule="auto" w:after="60"/>
      <w:ind w:firstLine="0"/>
    </w:pPr>
    <w:rPr>
      <w:rFonts w:ascii="Times New Roman" w:hAnsi="Times New Roman" w:eastAsia="宋体" w:cs="Times New Roman"/>
      <w:b w:val="0"/>
      <w:color w:val="000000"/>
      <w:sz w:val="20"/>
      <w:szCs w:val="20"/>
      <w:bCs w:val="0"/>
    </w:rPr>
  </w:style>
  <w:style w:type="paragraph" w:customStyle="1" w:styleId="EquationText">
    <w:name w:val="EquationText"/>
    <w:pPr>
      <w:widowControl/>
      <w:spacing w:line="312" w:lineRule="auto" w:after="60"/>
      <w:ind w:firstLine="0"/>
    </w:pPr>
    <w:rPr>
      <w:rFonts w:ascii="Times New Roman" w:hAnsi="Times New Roman" w:eastAsia="宋体" w:cs="Times New Roman"/>
      <w:b w:val="0"/>
      <w:color w:val="000000"/>
      <w:sz w:val="22"/>
      <w:szCs w:val="22"/>
      <w:bCs w:val="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olinallen.dnsalias.org/Courses/2004-2005_Fall/X755/Readings/dawkins-memes.html" TargetMode="External"/><Relationship Id="rId10" Type="http://schemas.openxmlformats.org/officeDocument/2006/relationships/hyperlink" Target="https://www.marxists.org/archive/marx/works/1884/origin-family/ch02d.htm" TargetMode="External"/><Relationship Id="rId11" Type="http://schemas.openxmlformats.org/officeDocument/2006/relationships/hyperlink" Target="https://www.marxists.org/archive/marx/works/1884/origin-family/index.htm" TargetMode="External"/><Relationship Id="rId12" Type="http://schemas.openxmlformats.org/officeDocument/2006/relationships/hyperlink" Target="https://www.wiley-vch.de/en/areas-interest/humanities-social-sciences/the-sexual-contract-978-0-7456-0432-9" TargetMode="External"/><Relationship Id="rId13" Type="http://schemas.openxmlformats.org/officeDocument/2006/relationships/hyperlink" Target="https://www.sup.org/books/sociology/masculine-domination/" TargetMode="External"/><Relationship Id="rId14" Type="http://schemas.openxmlformats.org/officeDocument/2006/relationships/hyperlink" Target="https://doi.org/10.1007/BF01542219" TargetMode="External"/><Relationship Id="rId15" Type="http://schemas.openxmlformats.org/officeDocument/2006/relationships/hyperlink" Target="https://doi.org/10.1016/S1090-5138(00)00071-4" TargetMode="External"/><Relationship Id="rId16" Type="http://schemas.openxmlformats.org/officeDocument/2006/relationships/hyperlink" Target="https://academic.oup.com/book/32356" TargetMode="External"/><Relationship Id="rId17" Type="http://schemas.openxmlformats.org/officeDocument/2006/relationships/hyperlink" Target="https://doi.org/10.1007/s40806-020-00261-x" TargetMode="External"/><Relationship Id="rId18" Type="http://schemas.openxmlformats.org/officeDocument/2006/relationships/hyperlink" Target="https://zh.wikisource.org/w/index.php?title=&#26131;&#20659;/&#24207;&#21350;&amp;oldid=2611127" TargetMode="External"/><Relationship Id="rId19" Type="http://schemas.openxmlformats.org/officeDocument/2006/relationships/hyperlink" Target="https://zh.wikisource.org/w/index.php?title=&#21608;&#26131;/&#23478;&#20154;&amp;oldid=2405005" TargetMode="External"/><Relationship Id="rId20" Type="http://schemas.openxmlformats.org/officeDocument/2006/relationships/hyperlink" Target="https://zh.wikisource.org/wiki/&#20170;&#25991;&#23389;&#32147;" TargetMode="External"/><Relationship Id="rId21" Type="http://schemas.openxmlformats.org/officeDocument/2006/relationships/hyperlink" Target="https://zh.wikisource.org/zh-hans/&#23478;&#31684;_(&#22235;&#24235;&#20840;&#26360;&#26412;)/&#21367;01" TargetMode="External"/><Relationship Id="rId22" Type="http://schemas.openxmlformats.org/officeDocument/2006/relationships/hyperlink" Target="https://www.shidianguji.com/zh/book/SK1283/chapter/1jurogh4ext83" TargetMode="External"/><Relationship Id="rId23" Type="http://schemas.openxmlformats.org/officeDocument/2006/relationships/hyperlink" Target="https://web.mit.edu/classics/Aristotle/politics.1.one.html" TargetMode="External"/><Relationship Id="rId24" Type="http://schemas.openxmlformats.org/officeDocument/2006/relationships/hyperlink" Target="https://www.gutenberg.org/files/7370/7370-h/7370-h.htm" TargetMode="External"/><Relationship Id="rId25" Type="http://schemas.openxmlformats.org/officeDocument/2006/relationships/hyperlink" Target="https://amesfoundation.law.harvard.edu/digital/CJCiv/JInst.pdf" TargetMode="External"/><Relationship Id="rId26" Type="http://schemas.openxmlformats.org/officeDocument/2006/relationships/hyperlink" Target="https://dict.variants.moe.edu.tw/dictView.jsp?ID=9655&amp;la=1" TargetMode="External"/><Relationship Id="rId27" Type="http://schemas.openxmlformats.org/officeDocument/2006/relationships/hyperlink" Target="https://dict.variants.moe.edu.tw/dictView.jsp?ID=10100&amp;q=1" TargetMode="External"/><Relationship Id="rId28" Type="http://schemas.openxmlformats.org/officeDocument/2006/relationships/hyperlink" Target="https://dict.variants.moe.edu.tw/dictView.jsp?ID=2103&amp;la=0" TargetMode="External"/><Relationship Id="rId29" Type="http://schemas.openxmlformats.org/officeDocument/2006/relationships/hyperlink" Target="https://dict.variants.moe.edu.tw/dictView.jsp?ID=-48892&amp;la=1" TargetMode="External"/><Relationship Id="rId30" Type="http://schemas.openxmlformats.org/officeDocument/2006/relationships/hyperlink" Target="https://dict.revised.moe.edu.tw/dictView.jsp?ID=8433&amp;la=0&amp;powerMode=0" TargetMode="External"/><Relationship Id="rId31" Type="http://schemas.openxmlformats.org/officeDocument/2006/relationships/hyperlink" Target="https://doi.org/10.1093/hwj/dbt002" TargetMode="External"/><Relationship Id="rId32" Type="http://schemas.openxmlformats.org/officeDocument/2006/relationships/hyperlink" Target="https://www.campop.geog.cam.ac.uk/research/occupations/outputs/preliminary/paper25.pdf" TargetMode="External"/><Relationship Id="rId33" Type="http://schemas.openxmlformats.org/officeDocument/2006/relationships/hyperlink" Target="https://www.germanic-lexicon-project.org/html/oe_bosworthtoller/d0548.html" TargetMode="External"/><Relationship Id="rId34" Type="http://schemas.openxmlformats.org/officeDocument/2006/relationships/hyperlink" Target="https://pressbooks.pub/writingtextbook/chapter/chapters-vi-and-vii-of-narrative-of-the-life-of-frederick-douglass/" TargetMode="External"/><Relationship Id="rId35" Type="http://schemas.openxmlformats.org/officeDocument/2006/relationships/hyperlink" Target="https://www.loc.gov/resource/lhbcb.25385/?sp=50&amp;st=text" TargetMode="External"/><Relationship Id="rId36" Type="http://schemas.openxmlformats.org/officeDocument/2006/relationships/hyperlink" Target="https://doi.org/10.1093/qje/qjt005" TargetMode="External"/><Relationship Id="rId37" Type="http://schemas.openxmlformats.org/officeDocument/2006/relationships/hyperlink" Target="https://dash.harvard.edu/entities/publication/73120379-04f4-6bd4-e053-0100007fdf3b" TargetMode="External"/><Relationship Id="rId38" Type="http://schemas.openxmlformats.org/officeDocument/2006/relationships/hyperlink" Target="https://doi.org/10.1126/science.aaa5139" TargetMode="External"/><Relationship Id="rId39" Type="http://schemas.openxmlformats.org/officeDocument/2006/relationships/hyperlink" Target="https://pubmed.ncbi.nlm.nih.gov/25977551/" TargetMode="External"/><Relationship Id="rId40" Type="http://schemas.openxmlformats.org/officeDocument/2006/relationships/hyperlink" Target="https://pmc.ncbi.nlm.nih.gov/articles/PMC10769843/" TargetMode="External"/><Relationship Id="rId41" Type="http://schemas.openxmlformats.org/officeDocument/2006/relationships/hyperlink" Target="https://academic.oup.com/socpro/article-abstract/31/4/379/2925207" TargetMode="External"/><Relationship Id="rId42" Type="http://schemas.openxmlformats.org/officeDocument/2006/relationships/hyperlink" Target="https://zh.wikisource.org/zh-hans/&#26753;&#24800;&#29579;&#19978;" TargetMode="External"/><Relationship Id="rId43" Type="http://schemas.openxmlformats.org/officeDocument/2006/relationships/hyperlink" Target="https://journals.plos.org/plosone/article?id=10.1371/journal.pone.0017870" TargetMode="External"/><Relationship Id="rId44" Type="http://schemas.openxmlformats.org/officeDocument/2006/relationships/hyperlink" Target="https://doi.org/10.1073/pnas.1214605109" TargetMode="External"/><Relationship Id="rId45" Type="http://schemas.openxmlformats.org/officeDocument/2006/relationships/hyperlink" Target="https://doi.org/10.1037/h0024514" TargetMode="External"/><Relationship Id="rId46" Type="http://schemas.openxmlformats.org/officeDocument/2006/relationships/hyperlink" Target="https://doi.org/10.1037/rev0000033" TargetMode="External"/><Relationship Id="rId47" Type="http://schemas.openxmlformats.org/officeDocument/2006/relationships/hyperlink" Target="https://doi.org/10.1891/0886-6708.8.2.105" TargetMode="External"/><Relationship Id="rId48" Type="http://schemas.openxmlformats.org/officeDocument/2006/relationships/hyperlink" Target="https://doi.org/10.1111/j.1600-0447.2007.01112.x" TargetMode="External"/><Relationship Id="rId49" Type="http://schemas.openxmlformats.org/officeDocument/2006/relationships/hyperlink" Target="https://doi.org/10.1126/sciadv.abe5641" TargetMode="External"/><Relationship Id="rId50" Type="http://schemas.openxmlformats.org/officeDocument/2006/relationships/hyperlink" Target="https://doi.org/10.1097/j.pain.0000000000000390" TargetMode="External"/><Relationship Id="rId51" Type="http://schemas.openxmlformats.org/officeDocument/2006/relationships/hyperlink" Target="https://doi.org/10.1016/j.jsxm.2020.01.001" TargetMode="External"/><Relationship Id="rId52" Type="http://schemas.openxmlformats.org/officeDocument/2006/relationships/hyperlink" Target="https://doi.org/10.1080/00224499.2020.1767025" TargetMode="External"/><Relationship Id="rId53" Type="http://schemas.openxmlformats.org/officeDocument/2006/relationships/header" Target="header1.xml"/><Relationship Id="rId5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从配对关系到社会权力：支配—服从的模因起源假说与关系脚本迁移</dc:title>
  <dc:subject/>
  <dc:creator/>
  <cp:keywords/>
  <dc:description/>
  <cp:lastModifiedBy/>
  <cp:revision>1</cp:revision>
  <dcterms:created xsi:type="dcterms:W3CDTF">2013-12-23T23:15:00Z</dcterms:created>
  <dcterms:modified xsi:type="dcterms:W3CDTF">2013-12-23T23:15:00Z</dcterms:modified>
  <cp:category/>
</cp:coreProperties>
</file>