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星云科技集团数据分类分级规范</w:t>
      </w:r>
    </w:p>
    <w:p>
      <w:pPr>
        <w:jc w:val="center"/>
      </w:pPr>
      <w:r>
        <w:rPr>
          <w:color w:val="505050"/>
          <w:sz w:val="20"/>
        </w:rPr>
        <w:t>文件编号：XY-SEC-DC-2025-001  |  版本：V1.5  |  密级：内部公开</w:t>
        <w:br/>
      </w:r>
      <w:r>
        <w:t>归口部门：信息安全部  |  批准人：首席信息安全官（CISO）</w:t>
      </w:r>
    </w:p>
    <w:p/>
    <w:p>
      <w:pPr>
        <w:pStyle w:val="Heading1"/>
      </w:pPr>
      <w:r>
        <w:t>1. 目的与范围</w:t>
      </w:r>
    </w:p>
    <w:p>
      <w:r>
        <w:t>为统一集团数据资产管理口径，建立可执行、可审计、可自动化的数据分类分级体系，支撑访问控制、加密存储、脱敏展示、日志审计及等保合规要求，特制定本规范。</w:t>
      </w:r>
    </w:p>
    <w:p>
      <w:r>
        <w:t>本规范适用于集团及下属单位所有结构化数据（数据库表/字段）、非结构化数据（文档、图片、日志）以及系统接口传输中的数据对象。</w:t>
      </w:r>
    </w:p>
    <w:p>
      <w:pPr>
        <w:pStyle w:val="Heading1"/>
      </w:pPr>
      <w:r>
        <w:t>2. 术语定义</w:t>
      </w:r>
    </w:p>
    <w:p>
      <w:r>
        <w:t>数据分类：按业务属性划分数据类别，如个人信息、财务数据、知识产权、运营数据等。</w:t>
      </w:r>
    </w:p>
    <w:p>
      <w:r>
        <w:t>数据分级：按泄露后对国家安全、公共利益、个人权益、业务连续性的影响程度，划分为 L1～L4。</w:t>
      </w:r>
    </w:p>
    <w:p>
      <w:r>
        <w:t>数据标签（Data Tag）：附着在字段/文件/接口上的机读标识，供策略引擎自动执行控制策略。</w:t>
      </w:r>
    </w:p>
    <w:p>
      <w:r>
        <w:t>数据 Owner：对特定数据域负有分类分级、授权审批、质量与安全责任的业务负责人。</w:t>
      </w:r>
    </w:p>
    <w:p>
      <w:pPr>
        <w:pStyle w:val="Heading1"/>
      </w:pPr>
      <w:r>
        <w:t>3. 数据分类体系</w:t>
      </w:r>
    </w:p>
    <w:p>
      <w:r>
        <w:t>集团采用「一级类别 + 二级子类」二维分类法，共 8 个一级类别：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一级类别</w:t>
            </w:r>
          </w:p>
        </w:tc>
        <w:tc>
          <w:tcPr>
            <w:tcW w:type="dxa" w:w="2880"/>
          </w:tcPr>
          <w:p>
            <w:r>
              <w:t>二级子类</w:t>
            </w:r>
          </w:p>
        </w:tc>
        <w:tc>
          <w:tcPr>
            <w:tcW w:type="dxa" w:w="2880"/>
          </w:tcPr>
          <w:p>
            <w:r>
              <w:t>典型示例</w:t>
            </w:r>
          </w:p>
        </w:tc>
      </w:tr>
      <w:tr>
        <w:tc>
          <w:tcPr>
            <w:tcW w:type="dxa" w:w="2880"/>
          </w:tcPr>
          <w:p>
            <w:r>
              <w:t>A 组织管理</w:t>
            </w:r>
          </w:p>
        </w:tc>
        <w:tc>
          <w:tcPr>
            <w:tcW w:type="dxa" w:w="2880"/>
          </w:tcPr>
          <w:p>
            <w:r>
              <w:t>制度流程、会议纪要</w:t>
            </w:r>
          </w:p>
        </w:tc>
        <w:tc>
          <w:tcPr>
            <w:tcW w:type="dxa" w:w="2880"/>
          </w:tcPr>
          <w:p>
            <w:r>
              <w:t>员工手册、董事会纪要</w:t>
            </w:r>
          </w:p>
        </w:tc>
      </w:tr>
      <w:tr>
        <w:tc>
          <w:tcPr>
            <w:tcW w:type="dxa" w:w="2880"/>
          </w:tcPr>
          <w:p>
            <w:r>
              <w:t>B 人力资源</w:t>
            </w:r>
          </w:p>
        </w:tc>
        <w:tc>
          <w:tcPr>
            <w:tcW w:type="dxa" w:w="2880"/>
          </w:tcPr>
          <w:p>
            <w:r>
              <w:t>员工档案、薪酬考勤</w:t>
            </w:r>
          </w:p>
        </w:tc>
        <w:tc>
          <w:tcPr>
            <w:tcW w:type="dxa" w:w="2880"/>
          </w:tcPr>
          <w:p>
            <w:r>
              <w:t>劳动合同、工资条、绩效</w:t>
            </w:r>
          </w:p>
        </w:tc>
      </w:tr>
      <w:tr>
        <w:tc>
          <w:tcPr>
            <w:tcW w:type="dxa" w:w="2880"/>
          </w:tcPr>
          <w:p>
            <w:r>
              <w:t>C 财务资金</w:t>
            </w:r>
          </w:p>
        </w:tc>
        <w:tc>
          <w:tcPr>
            <w:tcW w:type="dxa" w:w="2880"/>
          </w:tcPr>
          <w:p>
            <w:r>
              <w:t>核算报表、税务票据</w:t>
            </w:r>
          </w:p>
        </w:tc>
        <w:tc>
          <w:tcPr>
            <w:tcW w:type="dxa" w:w="2880"/>
          </w:tcPr>
          <w:p>
            <w:r>
              <w:t>总账、发票、银行回单</w:t>
            </w:r>
          </w:p>
        </w:tc>
      </w:tr>
      <w:tr>
        <w:tc>
          <w:tcPr>
            <w:tcW w:type="dxa" w:w="2880"/>
          </w:tcPr>
          <w:p>
            <w:r>
              <w:t>D 客户市场</w:t>
            </w:r>
          </w:p>
        </w:tc>
        <w:tc>
          <w:tcPr>
            <w:tcW w:type="dxa" w:w="2880"/>
          </w:tcPr>
          <w:p>
            <w:r>
              <w:t>客户资料、合同商机</w:t>
            </w:r>
          </w:p>
        </w:tc>
        <w:tc>
          <w:tcPr>
            <w:tcW w:type="dxa" w:w="2880"/>
          </w:tcPr>
          <w:p>
            <w:r>
              <w:t>CRM 客户、销售合同</w:t>
            </w:r>
          </w:p>
        </w:tc>
      </w:tr>
      <w:tr>
        <w:tc>
          <w:tcPr>
            <w:tcW w:type="dxa" w:w="2880"/>
          </w:tcPr>
          <w:p>
            <w:r>
              <w:t>E 研发技术</w:t>
            </w:r>
          </w:p>
        </w:tc>
        <w:tc>
          <w:tcPr>
            <w:tcW w:type="dxa" w:w="2880"/>
          </w:tcPr>
          <w:p>
            <w:r>
              <w:t>源代码、设计文档</w:t>
            </w:r>
          </w:p>
        </w:tc>
        <w:tc>
          <w:tcPr>
            <w:tcW w:type="dxa" w:w="2880"/>
          </w:tcPr>
          <w:p>
            <w:r>
              <w:t>Git 仓库、架构图、专利</w:t>
            </w:r>
          </w:p>
        </w:tc>
      </w:tr>
      <w:tr>
        <w:tc>
          <w:tcPr>
            <w:tcW w:type="dxa" w:w="2880"/>
          </w:tcPr>
          <w:p>
            <w:r>
              <w:t>F 运营管理</w:t>
            </w:r>
          </w:p>
        </w:tc>
        <w:tc>
          <w:tcPr>
            <w:tcW w:type="dxa" w:w="2880"/>
          </w:tcPr>
          <w:p>
            <w:r>
              <w:t>日志监控、配置参数</w:t>
            </w:r>
          </w:p>
        </w:tc>
        <w:tc>
          <w:tcPr>
            <w:tcW w:type="dxa" w:w="2880"/>
          </w:tcPr>
          <w:p>
            <w:r>
              <w:t>访问日志、监控指标</w:t>
            </w:r>
          </w:p>
        </w:tc>
      </w:tr>
      <w:tr>
        <w:tc>
          <w:tcPr>
            <w:tcW w:type="dxa" w:w="2880"/>
          </w:tcPr>
          <w:p>
            <w:r>
              <w:t>G 个人信息</w:t>
            </w:r>
          </w:p>
        </w:tc>
        <w:tc>
          <w:tcPr>
            <w:tcW w:type="dxa" w:w="2880"/>
          </w:tcPr>
          <w:p>
            <w:r>
              <w:t>身份联系、行为偏好</w:t>
            </w:r>
          </w:p>
        </w:tc>
        <w:tc>
          <w:tcPr>
            <w:tcW w:type="dxa" w:w="2880"/>
          </w:tcPr>
          <w:p>
            <w:r>
              <w:t>姓名手机身份证、浏览记录</w:t>
            </w:r>
          </w:p>
        </w:tc>
      </w:tr>
      <w:tr>
        <w:tc>
          <w:tcPr>
            <w:tcW w:type="dxa" w:w="2880"/>
          </w:tcPr>
          <w:p>
            <w:r>
              <w:t>H 监管合规</w:t>
            </w:r>
          </w:p>
        </w:tc>
        <w:tc>
          <w:tcPr>
            <w:tcW w:type="dxa" w:w="2880"/>
          </w:tcPr>
          <w:p>
            <w:r>
              <w:t>审计报告、等保材料</w:t>
            </w:r>
          </w:p>
        </w:tc>
        <w:tc>
          <w:tcPr>
            <w:tcW w:type="dxa" w:w="2880"/>
          </w:tcPr>
          <w:p>
            <w:r>
              <w:t>测评报告、监管报送</w:t>
            </w:r>
          </w:p>
        </w:tc>
      </w:tr>
    </w:tbl>
    <w:p>
      <w:pPr>
        <w:pStyle w:val="Heading1"/>
      </w:pPr>
      <w:r>
        <w:t>4. 数据分级标准</w:t>
      </w:r>
    </w:p>
    <w:p>
      <w:r>
        <w:t>分级判定采用「就高不就低」原则：同一记录含多个字段时，记录整体等级取最高字段等级。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等级</w:t>
            </w:r>
          </w:p>
        </w:tc>
        <w:tc>
          <w:tcPr>
            <w:tcW w:type="dxa" w:w="1728"/>
          </w:tcPr>
          <w:p>
            <w:r>
              <w:t>名称</w:t>
            </w:r>
          </w:p>
        </w:tc>
        <w:tc>
          <w:tcPr>
            <w:tcW w:type="dxa" w:w="1728"/>
          </w:tcPr>
          <w:p>
            <w:r>
              <w:t>泄露影响</w:t>
            </w:r>
          </w:p>
        </w:tc>
        <w:tc>
          <w:tcPr>
            <w:tcW w:type="dxa" w:w="1728"/>
          </w:tcPr>
          <w:p>
            <w:r>
              <w:t>典型数据</w:t>
            </w:r>
          </w:p>
        </w:tc>
        <w:tc>
          <w:tcPr>
            <w:tcW w:type="dxa" w:w="1728"/>
          </w:tcPr>
          <w:p>
            <w:r>
              <w:t>控制要求摘要</w:t>
            </w:r>
          </w:p>
        </w:tc>
      </w:tr>
      <w:tr>
        <w:tc>
          <w:tcPr>
            <w:tcW w:type="dxa" w:w="1728"/>
          </w:tcPr>
          <w:p>
            <w:r>
              <w:t>L1</w:t>
            </w:r>
          </w:p>
        </w:tc>
        <w:tc>
          <w:tcPr>
            <w:tcW w:type="dxa" w:w="1728"/>
          </w:tcPr>
          <w:p>
            <w:r>
              <w:t>公开</w:t>
            </w:r>
          </w:p>
        </w:tc>
        <w:tc>
          <w:tcPr>
            <w:tcW w:type="dxa" w:w="1728"/>
          </w:tcPr>
          <w:p>
            <w:r>
              <w:t>无损害或已公开</w:t>
            </w:r>
          </w:p>
        </w:tc>
        <w:tc>
          <w:tcPr>
            <w:tcW w:type="dxa" w:w="1728"/>
          </w:tcPr>
          <w:p>
            <w:r>
              <w:t>产品手册、招聘公告</w:t>
            </w:r>
          </w:p>
        </w:tc>
        <w:tc>
          <w:tcPr>
            <w:tcW w:type="dxa" w:w="1728"/>
          </w:tcPr>
          <w:p>
            <w:r>
              <w:t>基础访问控制</w:t>
            </w:r>
          </w:p>
        </w:tc>
      </w:tr>
      <w:tr>
        <w:tc>
          <w:tcPr>
            <w:tcW w:type="dxa" w:w="1728"/>
          </w:tcPr>
          <w:p>
            <w:r>
              <w:t>L2</w:t>
            </w:r>
          </w:p>
        </w:tc>
        <w:tc>
          <w:tcPr>
            <w:tcW w:type="dxa" w:w="1728"/>
          </w:tcPr>
          <w:p>
            <w:r>
              <w:t>内部</w:t>
            </w:r>
          </w:p>
        </w:tc>
        <w:tc>
          <w:tcPr>
            <w:tcW w:type="dxa" w:w="1728"/>
          </w:tcPr>
          <w:p>
            <w:r>
              <w:t>轻微影响运营</w:t>
            </w:r>
          </w:p>
        </w:tc>
        <w:tc>
          <w:tcPr>
            <w:tcW w:type="dxa" w:w="1728"/>
          </w:tcPr>
          <w:p>
            <w:r>
              <w:t>内部制度、会议纪要</w:t>
            </w:r>
          </w:p>
        </w:tc>
        <w:tc>
          <w:tcPr>
            <w:tcW w:type="dxa" w:w="1728"/>
          </w:tcPr>
          <w:p>
            <w:r>
              <w:t>认证+授权+基础审计</w:t>
            </w:r>
          </w:p>
        </w:tc>
      </w:tr>
      <w:tr>
        <w:tc>
          <w:tcPr>
            <w:tcW w:type="dxa" w:w="1728"/>
          </w:tcPr>
          <w:p>
            <w:r>
              <w:t>L3</w:t>
            </w:r>
          </w:p>
        </w:tc>
        <w:tc>
          <w:tcPr>
            <w:tcW w:type="dxa" w:w="1728"/>
          </w:tcPr>
          <w:p>
            <w:r>
              <w:t>敏感</w:t>
            </w:r>
          </w:p>
        </w:tc>
        <w:tc>
          <w:tcPr>
            <w:tcW w:type="dxa" w:w="1728"/>
          </w:tcPr>
          <w:p>
            <w:r>
              <w:t>较大影响个人/业务</w:t>
            </w:r>
          </w:p>
        </w:tc>
        <w:tc>
          <w:tcPr>
            <w:tcW w:type="dxa" w:w="1728"/>
          </w:tcPr>
          <w:p>
            <w:r>
              <w:t>客户联系方式、合同金额</w:t>
            </w:r>
          </w:p>
        </w:tc>
        <w:tc>
          <w:tcPr>
            <w:tcW w:type="dxa" w:w="1728"/>
          </w:tcPr>
          <w:p>
            <w:r>
              <w:t>字段加密+脱敏+强审计</w:t>
            </w:r>
          </w:p>
        </w:tc>
      </w:tr>
      <w:tr>
        <w:tc>
          <w:tcPr>
            <w:tcW w:type="dxa" w:w="1728"/>
          </w:tcPr>
          <w:p>
            <w:r>
              <w:t>L4</w:t>
            </w:r>
          </w:p>
        </w:tc>
        <w:tc>
          <w:tcPr>
            <w:tcW w:type="dxa" w:w="1728"/>
          </w:tcPr>
          <w:p>
            <w:r>
              <w:t>核心机密</w:t>
            </w:r>
          </w:p>
        </w:tc>
        <w:tc>
          <w:tcPr>
            <w:tcW w:type="dxa" w:w="1728"/>
          </w:tcPr>
          <w:p>
            <w:r>
              <w:t>严重损害或违法</w:t>
            </w:r>
          </w:p>
        </w:tc>
        <w:tc>
          <w:tcPr>
            <w:tcW w:type="dxa" w:w="1728"/>
          </w:tcPr>
          <w:p>
            <w:r>
              <w:t>身份证、银行卡、源码、密钥</w:t>
            </w:r>
          </w:p>
        </w:tc>
        <w:tc>
          <w:tcPr>
            <w:tcW w:type="dxa" w:w="1728"/>
          </w:tcPr>
          <w:p>
            <w:r>
              <w:t>国密/HSM+最小可见+双人审批</w:t>
            </w:r>
          </w:p>
        </w:tc>
      </w:tr>
    </w:tbl>
    <w:p>
      <w:pPr>
        <w:pStyle w:val="Heading1"/>
      </w:pPr>
      <w:r>
        <w:t>5. 分级判定流程</w:t>
      </w:r>
    </w:p>
    <w:p>
      <w:pPr>
        <w:pStyle w:val="ListNumber"/>
      </w:pPr>
      <w:r>
        <w:t>1. 业务方梳理数据资产清单，标注业务含义与使用场景；</w:t>
      </w:r>
    </w:p>
    <w:p>
      <w:pPr>
        <w:pStyle w:val="ListNumber"/>
      </w:pPr>
      <w:r>
        <w:t>2. 数据 Owner 按本规范第 4 章初步定级，信息安全部复核；</w:t>
      </w:r>
    </w:p>
    <w:p>
      <w:pPr>
        <w:pStyle w:val="ListNumber"/>
      </w:pPr>
      <w:r>
        <w:t>3. 在元数据平台打标（tag），同步至数据库、API 网关、DLP；</w:t>
      </w:r>
    </w:p>
    <w:p>
      <w:pPr>
        <w:pStyle w:val="ListNumber"/>
      </w:pPr>
      <w:r>
        <w:t>4. 系统变更涉及新字段时，须在需求评审阶段完成分级标注；</w:t>
      </w:r>
    </w:p>
    <w:p>
      <w:pPr>
        <w:pStyle w:val="ListNumber"/>
      </w:pPr>
      <w:r>
        <w:t>5. 每年度进行一次分级复核，业务重大变化时随时更新。</w:t>
      </w:r>
    </w:p>
    <w:p>
      <w:pPr>
        <w:pStyle w:val="Heading1"/>
      </w:pPr>
      <w:r>
        <w:t>6. 标签命名规范</w:t>
      </w:r>
    </w:p>
    <w:p>
      <w:r>
        <w:t>标签格式：XY.DATA.{类别}.{等级}.{子类}</w:t>
      </w:r>
    </w:p>
    <w:p>
      <w:r>
        <w:t>示例：</w:t>
      </w:r>
    </w:p>
    <w:p>
      <w:pPr>
        <w:pStyle w:val="ListBullet"/>
      </w:pPr>
      <w:r>
        <w:t>XY.DATA.G.L4.ID_CARD — 个人身份证号码</w:t>
      </w:r>
    </w:p>
    <w:p>
      <w:pPr>
        <w:pStyle w:val="ListBullet"/>
      </w:pPr>
      <w:r>
        <w:t>XY.DATA.C.L3.INVOICE — 增值税发票信息</w:t>
      </w:r>
    </w:p>
    <w:p>
      <w:pPr>
        <w:pStyle w:val="ListBullet"/>
      </w:pPr>
      <w:r>
        <w:t>XY.DATA.E.L4.SOURCE_CODE — 源代码</w:t>
      </w:r>
    </w:p>
    <w:p>
      <w:pPr>
        <w:pStyle w:val="ListBullet"/>
      </w:pPr>
      <w:r>
        <w:t>XY.DATA.D.L3.CONTRACT — 销售合同正文</w:t>
      </w:r>
    </w:p>
    <w:p>
      <w:pPr>
        <w:pStyle w:val="Heading1"/>
      </w:pPr>
      <w:r>
        <w:t>7. 差异化控制策略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等级</w:t>
            </w:r>
          </w:p>
        </w:tc>
        <w:tc>
          <w:tcPr>
            <w:tcW w:type="dxa" w:w="1440"/>
          </w:tcPr>
          <w:p>
            <w:r>
              <w:t>存储加密</w:t>
            </w:r>
          </w:p>
        </w:tc>
        <w:tc>
          <w:tcPr>
            <w:tcW w:type="dxa" w:w="1440"/>
          </w:tcPr>
          <w:p>
            <w:r>
              <w:t>传输</w:t>
            </w:r>
          </w:p>
        </w:tc>
        <w:tc>
          <w:tcPr>
            <w:tcW w:type="dxa" w:w="1440"/>
          </w:tcPr>
          <w:p>
            <w:r>
              <w:t>展示</w:t>
            </w:r>
          </w:p>
        </w:tc>
        <w:tc>
          <w:tcPr>
            <w:tcW w:type="dxa" w:w="1440"/>
          </w:tcPr>
          <w:p>
            <w:r>
              <w:t>导出</w:t>
            </w:r>
          </w:p>
        </w:tc>
        <w:tc>
          <w:tcPr>
            <w:tcW w:type="dxa" w:w="1440"/>
          </w:tcPr>
          <w:p>
            <w:r>
              <w:t>日志留存</w:t>
            </w:r>
          </w:p>
        </w:tc>
      </w:tr>
      <w:tr>
        <w:tc>
          <w:tcPr>
            <w:tcW w:type="dxa" w:w="1440"/>
          </w:tcPr>
          <w:p>
            <w:r>
              <w:t>L1</w:t>
            </w:r>
          </w:p>
        </w:tc>
        <w:tc>
          <w:tcPr>
            <w:tcW w:type="dxa" w:w="1440"/>
          </w:tcPr>
          <w:p>
            <w:r>
              <w:t>可选</w:t>
            </w:r>
          </w:p>
        </w:tc>
        <w:tc>
          <w:tcPr>
            <w:tcW w:type="dxa" w:w="1440"/>
          </w:tcPr>
          <w:p>
            <w:r>
              <w:t>HTTPS</w:t>
            </w:r>
          </w:p>
        </w:tc>
        <w:tc>
          <w:tcPr>
            <w:tcW w:type="dxa" w:w="1440"/>
          </w:tcPr>
          <w:p>
            <w:r>
              <w:t>明文</w:t>
            </w:r>
          </w:p>
        </w:tc>
        <w:tc>
          <w:tcPr>
            <w:tcW w:type="dxa" w:w="1440"/>
          </w:tcPr>
          <w:p>
            <w:r>
              <w:t>允许</w:t>
            </w:r>
          </w:p>
        </w:tc>
        <w:tc>
          <w:tcPr>
            <w:tcW w:type="dxa" w:w="1440"/>
          </w:tcPr>
          <w:p>
            <w:r>
              <w:t>90天</w:t>
            </w:r>
          </w:p>
        </w:tc>
      </w:tr>
      <w:tr>
        <w:tc>
          <w:tcPr>
            <w:tcW w:type="dxa" w:w="1440"/>
          </w:tcPr>
          <w:p>
            <w:r>
              <w:t>L2</w:t>
            </w:r>
          </w:p>
        </w:tc>
        <w:tc>
          <w:tcPr>
            <w:tcW w:type="dxa" w:w="1440"/>
          </w:tcPr>
          <w:p>
            <w:r>
              <w:t>推荐</w:t>
            </w:r>
          </w:p>
        </w:tc>
        <w:tc>
          <w:tcPr>
            <w:tcW w:type="dxa" w:w="1440"/>
          </w:tcPr>
          <w:p>
            <w:r>
              <w:t>HTTPS+内网</w:t>
            </w:r>
          </w:p>
        </w:tc>
        <w:tc>
          <w:tcPr>
            <w:tcW w:type="dxa" w:w="1440"/>
          </w:tcPr>
          <w:p>
            <w:r>
              <w:t>明文</w:t>
            </w:r>
          </w:p>
        </w:tc>
        <w:tc>
          <w:tcPr>
            <w:tcW w:type="dxa" w:w="1440"/>
          </w:tcPr>
          <w:p>
            <w:r>
              <w:t>审批</w:t>
            </w:r>
          </w:p>
        </w:tc>
        <w:tc>
          <w:tcPr>
            <w:tcW w:type="dxa" w:w="1440"/>
          </w:tcPr>
          <w:p>
            <w:r>
              <w:t>180天</w:t>
            </w:r>
          </w:p>
        </w:tc>
      </w:tr>
      <w:tr>
        <w:tc>
          <w:tcPr>
            <w:tcW w:type="dxa" w:w="1440"/>
          </w:tcPr>
          <w:p>
            <w:r>
              <w:t>L3</w:t>
            </w:r>
          </w:p>
        </w:tc>
        <w:tc>
          <w:tcPr>
            <w:tcW w:type="dxa" w:w="1440"/>
          </w:tcPr>
          <w:p>
            <w:r>
              <w:t>AES-256必须</w:t>
            </w:r>
          </w:p>
        </w:tc>
        <w:tc>
          <w:tcPr>
            <w:tcW w:type="dxa" w:w="1440"/>
          </w:tcPr>
          <w:p>
            <w:r>
              <w:t>TLS1.2+</w:t>
            </w:r>
          </w:p>
        </w:tc>
        <w:tc>
          <w:tcPr>
            <w:tcW w:type="dxa" w:w="1440"/>
          </w:tcPr>
          <w:p>
            <w:r>
              <w:t>脱敏</w:t>
            </w:r>
          </w:p>
        </w:tc>
        <w:tc>
          <w:tcPr>
            <w:tcW w:type="dxa" w:w="1440"/>
          </w:tcPr>
          <w:p>
            <w:r>
              <w:t>总监审批</w:t>
            </w:r>
          </w:p>
        </w:tc>
        <w:tc>
          <w:tcPr>
            <w:tcW w:type="dxa" w:w="1440"/>
          </w:tcPr>
          <w:p>
            <w:r>
              <w:t>365天</w:t>
            </w:r>
          </w:p>
        </w:tc>
      </w:tr>
      <w:tr>
        <w:tc>
          <w:tcPr>
            <w:tcW w:type="dxa" w:w="1440"/>
          </w:tcPr>
          <w:p>
            <w:r>
              <w:t>L4</w:t>
            </w:r>
          </w:p>
        </w:tc>
        <w:tc>
          <w:tcPr>
            <w:tcW w:type="dxa" w:w="1440"/>
          </w:tcPr>
          <w:p>
            <w:r>
              <w:t>国密/HSM</w:t>
            </w:r>
          </w:p>
        </w:tc>
        <w:tc>
          <w:tcPr>
            <w:tcW w:type="dxa" w:w="1440"/>
          </w:tcPr>
          <w:p>
            <w:r>
              <w:t>mTLS/专线</w:t>
            </w:r>
          </w:p>
        </w:tc>
        <w:tc>
          <w:tcPr>
            <w:tcW w:type="dxa" w:w="1440"/>
          </w:tcPr>
          <w:p>
            <w:r>
              <w:t>最小可见+水印</w:t>
            </w:r>
          </w:p>
        </w:tc>
        <w:tc>
          <w:tcPr>
            <w:tcW w:type="dxa" w:w="1440"/>
          </w:tcPr>
          <w:p>
            <w:r>
              <w:t>CISO审批</w:t>
            </w:r>
          </w:p>
        </w:tc>
        <w:tc>
          <w:tcPr>
            <w:tcW w:type="dxa" w:w="1440"/>
          </w:tcPr>
          <w:p>
            <w:r>
              <w:t>365天</w:t>
            </w:r>
          </w:p>
        </w:tc>
      </w:tr>
    </w:tbl>
    <w:p>
      <w:pPr>
        <w:pStyle w:val="Heading1"/>
      </w:pPr>
      <w:r>
        <w:t>8. 个人信息特别要求</w:t>
      </w:r>
    </w:p>
    <w:p>
      <w:r>
        <w:t>涉及个人信息的数据，无论业务分类如何，最低定级为 L3；身份证号、生物识别、金融账户等直接识别个人的字段必须定为 L4。</w:t>
      </w:r>
    </w:p>
    <w:p>
      <w:r>
        <w:t>个人信息处理须额外满足：</w:t>
      </w:r>
    </w:p>
    <w:p>
      <w:pPr>
        <w:pStyle w:val="ListBullet"/>
      </w:pPr>
      <w:r>
        <w:t>具有明确、合理的处理目的，与处理目的直接相关；</w:t>
      </w:r>
    </w:p>
    <w:p>
      <w:pPr>
        <w:pStyle w:val="ListBullet"/>
      </w:pPr>
      <w:r>
        <w:t>采取对个人权益影响最小的方式；</w:t>
      </w:r>
    </w:p>
    <w:p>
      <w:pPr>
        <w:pStyle w:val="ListBullet"/>
      </w:pPr>
      <w:r>
        <w:t>事先进行个人信息保护影响评估（PIA）；</w:t>
      </w:r>
    </w:p>
    <w:p>
      <w:pPr>
        <w:pStyle w:val="ListBullet"/>
      </w:pPr>
      <w:r>
        <w:t>向个人告知处理规则，取得有效同意（法律豁免情形除外）。</w:t>
      </w:r>
    </w:p>
    <w:p>
      <w:pPr>
        <w:pStyle w:val="Heading1"/>
      </w:pPr>
      <w:r>
        <w:t>9. 违规与问责</w:t>
      </w:r>
    </w:p>
    <w:p>
      <w:r>
        <w:t>未经审批将高等级数据降级标注、擅自导出 L4 数据、在公网传输未加密 L3 数据等行为，按《信息安全管理制度》第 12 章处理。</w:t>
      </w:r>
    </w:p>
    <w:p>
      <w:pPr>
        <w:pStyle w:val="Heading1"/>
      </w:pPr>
      <w:r>
        <w:t>10. 附则</w:t>
      </w:r>
    </w:p>
    <w:p>
      <w:r>
        <w:t>本规范由信息安全部负责解释，与《信息安全管理制度》配套使用。</w:t>
      </w:r>
    </w:p>
    <w:p>
      <w:r>
        <w:t>自 2025 年 1 月 1 日起施行。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