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F26CB">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北京市经济和信息化局关于印发《北京市关于支持氢能产业发展的若干政策措施（修订版）》的通知</w:t>
      </w:r>
    </w:p>
    <w:p w14:paraId="19876C33">
      <w:pPr>
        <w:snapToGrid w:val="0"/>
        <w:spacing w:line="570" w:lineRule="exact"/>
        <w:jc w:val="left"/>
        <w:rPr>
          <w:rFonts w:ascii="Times New Roman" w:hAnsi="Times New Roman" w:eastAsia="方正楷体简体"/>
          <w:sz w:val="32"/>
          <w:szCs w:val="32"/>
        </w:rPr>
      </w:pPr>
      <w:r>
        <w:rPr>
          <w:rFonts w:hint="eastAsia" w:ascii="Times New Roman" w:hAnsi="Times New Roman" w:eastAsia="方正楷体简体"/>
          <w:sz w:val="32"/>
          <w:szCs w:val="32"/>
        </w:rPr>
        <w:t>各有关单位：</w:t>
      </w:r>
    </w:p>
    <w:p w14:paraId="5CA343EB">
      <w:pPr>
        <w:snapToGrid w:val="0"/>
        <w:spacing w:line="570" w:lineRule="exact"/>
        <w:jc w:val="left"/>
        <w:rPr>
          <w:rFonts w:hint="eastAsia" w:ascii="Times New Roman" w:hAnsi="Times New Roman" w:eastAsia="方正楷体简体"/>
          <w:sz w:val="32"/>
          <w:szCs w:val="32"/>
        </w:rPr>
      </w:pPr>
    </w:p>
    <w:p w14:paraId="012C3A90">
      <w:pPr>
        <w:snapToGrid w:val="0"/>
        <w:spacing w:line="570" w:lineRule="exact"/>
        <w:ind w:firstLine="640" w:firstLineChars="200"/>
        <w:jc w:val="left"/>
        <w:rPr>
          <w:rFonts w:ascii="Times New Roman" w:hAnsi="Times New Roman" w:eastAsia="方正楷体简体"/>
          <w:sz w:val="32"/>
          <w:szCs w:val="32"/>
        </w:rPr>
      </w:pPr>
      <w:r>
        <w:rPr>
          <w:rFonts w:hint="eastAsia" w:ascii="Times New Roman" w:hAnsi="Times New Roman" w:eastAsia="方正楷体简体"/>
          <w:sz w:val="32"/>
          <w:szCs w:val="32"/>
        </w:rPr>
        <w:t>为贯彻国家《氢能产业发展中长期规划（2021-2035 年）》，落实《北京市氢能产业发展实施方案（2021-2025年）》,加快推动我市氢能产业发展，我局牵头制定了《北京市关于支持氢能产业发展的若干政策措施（修订版）》，现印发给你们，请结合实际组织实施。</w:t>
      </w:r>
    </w:p>
    <w:p w14:paraId="3F5B84F9">
      <w:pPr>
        <w:snapToGrid w:val="0"/>
        <w:spacing w:line="570" w:lineRule="exact"/>
        <w:jc w:val="right"/>
        <w:rPr>
          <w:rFonts w:ascii="Times New Roman" w:hAnsi="Times New Roman" w:eastAsia="方正楷体简体"/>
          <w:sz w:val="32"/>
          <w:szCs w:val="32"/>
        </w:rPr>
      </w:pPr>
    </w:p>
    <w:p w14:paraId="2C3FE6BD">
      <w:pPr>
        <w:snapToGrid w:val="0"/>
        <w:spacing w:line="570" w:lineRule="exact"/>
        <w:jc w:val="right"/>
        <w:rPr>
          <w:rFonts w:ascii="Times New Roman" w:hAnsi="Times New Roman" w:eastAsia="方正楷体简体"/>
          <w:sz w:val="32"/>
          <w:szCs w:val="32"/>
        </w:rPr>
      </w:pPr>
      <w:r>
        <w:rPr>
          <w:rFonts w:hint="eastAsia" w:ascii="Times New Roman" w:hAnsi="Times New Roman" w:eastAsia="方正楷体简体"/>
          <w:sz w:val="32"/>
          <w:szCs w:val="32"/>
        </w:rPr>
        <w:t>北京市经济和信息化局</w:t>
      </w:r>
    </w:p>
    <w:p w14:paraId="287E31E2">
      <w:pPr>
        <w:snapToGrid w:val="0"/>
        <w:spacing w:line="570" w:lineRule="exact"/>
        <w:jc w:val="right"/>
        <w:rPr>
          <w:rFonts w:ascii="Times New Roman" w:hAnsi="Times New Roman" w:eastAsia="方正楷体简体"/>
          <w:sz w:val="32"/>
          <w:szCs w:val="32"/>
        </w:rPr>
      </w:pPr>
    </w:p>
    <w:p w14:paraId="3B7BEA38">
      <w:pPr>
        <w:snapToGrid w:val="0"/>
        <w:spacing w:line="570" w:lineRule="exact"/>
        <w:jc w:val="right"/>
        <w:rPr>
          <w:rFonts w:ascii="Times New Roman" w:hAnsi="Times New Roman" w:eastAsia="方正楷体简体"/>
          <w:sz w:val="32"/>
          <w:szCs w:val="32"/>
        </w:rPr>
      </w:pPr>
      <w:r>
        <w:rPr>
          <w:rFonts w:hint="eastAsia" w:ascii="Times New Roman" w:hAnsi="Times New Roman" w:eastAsia="方正楷体简体"/>
          <w:sz w:val="32"/>
          <w:szCs w:val="32"/>
        </w:rPr>
        <w:t>2024年12月17日</w:t>
      </w:r>
    </w:p>
    <w:p w14:paraId="3A86254D">
      <w:pPr>
        <w:snapToGrid w:val="0"/>
        <w:spacing w:line="570" w:lineRule="exact"/>
        <w:jc w:val="right"/>
        <w:rPr>
          <w:rFonts w:ascii="Times New Roman" w:hAnsi="Times New Roman" w:eastAsia="方正楷体简体"/>
          <w:sz w:val="32"/>
          <w:szCs w:val="32"/>
        </w:rPr>
      </w:pPr>
    </w:p>
    <w:p w14:paraId="2D1BD39D">
      <w:pPr>
        <w:snapToGrid w:val="0"/>
        <w:spacing w:line="570" w:lineRule="exact"/>
        <w:jc w:val="center"/>
        <w:rPr>
          <w:rFonts w:ascii="Times New Roman" w:hAnsi="Times New Roman" w:eastAsia="方正楷体简体"/>
          <w:b/>
          <w:bCs/>
          <w:sz w:val="32"/>
          <w:szCs w:val="32"/>
        </w:rPr>
      </w:pPr>
      <w:r>
        <w:rPr>
          <w:rFonts w:hint="eastAsia" w:ascii="Times New Roman" w:hAnsi="Times New Roman" w:eastAsia="方正楷体简体"/>
          <w:b/>
          <w:bCs/>
          <w:sz w:val="32"/>
          <w:szCs w:val="32"/>
        </w:rPr>
        <w:t>北京市关于支持氢能产业发展的若干政策措施（修订版）</w:t>
      </w:r>
    </w:p>
    <w:p w14:paraId="5670CCA4">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为贯彻国家《氢能产业发展中长期规划（2021-2035年）》，落实《北京市“十四五”时期高精尖产业发展规划》《北京市氢能产业发展实施方案（2021-2025年）》工作部署，把握氢能产业发展的关键窗口期与机遇期，加快培育和发展北京市氢能产业，特制定以下措施。</w:t>
      </w:r>
    </w:p>
    <w:p w14:paraId="62ECC1CE">
      <w:pPr>
        <w:snapToGrid w:val="0"/>
        <w:spacing w:line="570" w:lineRule="exact"/>
        <w:ind w:firstLine="623"/>
        <w:rPr>
          <w:rFonts w:hint="eastAsia" w:ascii="Times New Roman" w:hAnsi="Times New Roman" w:eastAsia="方正黑体简体"/>
          <w:sz w:val="32"/>
          <w:szCs w:val="32"/>
        </w:rPr>
      </w:pPr>
      <w:r>
        <w:rPr>
          <w:rFonts w:ascii="Times New Roman" w:hAnsi="Times New Roman" w:eastAsia="方正黑体简体"/>
          <w:sz w:val="32"/>
          <w:szCs w:val="32"/>
        </w:rPr>
        <w:t>一、</w:t>
      </w:r>
      <w:r>
        <w:rPr>
          <w:rFonts w:hint="eastAsia" w:ascii="Times New Roman" w:hAnsi="Times New Roman" w:eastAsia="方正黑体简体"/>
          <w:sz w:val="32"/>
          <w:szCs w:val="32"/>
        </w:rPr>
        <w:t>支持科技研发创新</w:t>
      </w:r>
    </w:p>
    <w:p w14:paraId="2EBE1520">
      <w:pPr>
        <w:snapToGrid w:val="0"/>
        <w:spacing w:line="570" w:lineRule="exact"/>
        <w:ind w:firstLine="643" w:firstLineChars="200"/>
        <w:rPr>
          <w:rFonts w:ascii="Times New Roman" w:hAnsi="Times New Roman" w:eastAsia="方正仿宋简体"/>
          <w:sz w:val="32"/>
          <w:szCs w:val="32"/>
        </w:rPr>
      </w:pPr>
      <w:r>
        <w:rPr>
          <w:rFonts w:hint="eastAsia" w:ascii="Times New Roman" w:hAnsi="Times New Roman" w:eastAsia="方正楷体简体"/>
          <w:b/>
          <w:sz w:val="32"/>
          <w:szCs w:val="32"/>
        </w:rPr>
        <w:t>（一）支持基础共性技术研究。</w:t>
      </w:r>
      <w:r>
        <w:rPr>
          <w:rFonts w:hint="eastAsia" w:ascii="Times New Roman" w:hAnsi="Times New Roman" w:eastAsia="方正仿宋简体"/>
          <w:sz w:val="32"/>
          <w:szCs w:val="32"/>
        </w:rPr>
        <w:t>面向氢能技术发展与应用的重大需求，聚焦制氢、储运、加注、燃料电池等产业链核心环节，兼顾氢能关联技术，支持氢能企业及机构开展基础前瞻和关键共性技术自主研发，促进氢能领域的科学发现和技术突破，支持重大共性技术和关键核心技术的战略储备应用基础研究（市科委、中关村管委会）。</w:t>
      </w:r>
    </w:p>
    <w:p w14:paraId="16A7DB4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（二）支持强链工程实施。</w:t>
      </w:r>
      <w:r>
        <w:rPr>
          <w:rFonts w:hint="eastAsia" w:ascii="Times New Roman" w:hAnsi="Times New Roman" w:eastAsia="方正仿宋简体"/>
          <w:sz w:val="32"/>
          <w:szCs w:val="32"/>
        </w:rPr>
        <w:t>鼓励领军企业牵头，围绕氢能产业链关键环节，遴选研发合作单位和团队，组建产学研协同、上下游衔接的创新联合体，开展联合技术攻关，完善产业链供应链，符合政策要求的企业优先纳入“强链工程”支持范围，给予项目总投资一定比例的股权支持或事前补助支持（市科委、中关村管委会）。</w:t>
      </w:r>
    </w:p>
    <w:p w14:paraId="33EF34F1">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（三）支持科技创新平台建设。</w:t>
      </w:r>
      <w:r>
        <w:rPr>
          <w:rFonts w:hint="eastAsia" w:ascii="Times New Roman" w:hAnsi="Times New Roman" w:eastAsia="方正仿宋简体"/>
          <w:sz w:val="32"/>
          <w:szCs w:val="32"/>
        </w:rPr>
        <w:t>鼓励氢能领域创新主体在京组建国家级、市级氢能重点实验室、产业创新中心、工程研究中心、企业技术中心等创新平台载体，强化产学研合作，按国家和北京市相关规定给予资金支持（市科委、中关村管委会、市发展改革委、市经济和信息化局）。</w:t>
      </w:r>
    </w:p>
    <w:p w14:paraId="290723CA">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二、支持技术装备产业化</w:t>
      </w:r>
    </w:p>
    <w:p w14:paraId="07A031D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（四）支持产业筑基工程实施。</w:t>
      </w:r>
      <w:r>
        <w:rPr>
          <w:rFonts w:hint="eastAsia" w:ascii="Times New Roman" w:hAnsi="Times New Roman" w:eastAsia="方正仿宋简体"/>
          <w:sz w:val="32"/>
          <w:szCs w:val="32"/>
        </w:rPr>
        <w:t>鼓励氢能领域重点企业参与“筑基工程”，聚焦产业链卡点环节，创新组织模式开展揭榜攻关、样机研发、研究成果转化和产业化，解决企业关键核心技术和“卡脖子”技术难题，分批给予攻关投资一定比例奖励（市经济和信息化局）。</w:t>
      </w:r>
    </w:p>
    <w:p w14:paraId="14FAE2DC">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（五）支持新材料首批次应用。</w:t>
      </w:r>
      <w:r>
        <w:rPr>
          <w:rFonts w:hint="eastAsia" w:ascii="Times New Roman" w:hAnsi="Times New Roman" w:eastAsia="方正仿宋简体"/>
          <w:sz w:val="32"/>
          <w:szCs w:val="32"/>
        </w:rPr>
        <w:t>将氢能领域新材料产品优先纳入北京市重点新材料首批次应用示范指导目录，对于指导目录中的氢能领域新产品首批次应用，按单个产品不超过500万元、单个企业不超过1000万元给予分档奖励（市经济和信息化局）。</w:t>
      </w:r>
    </w:p>
    <w:p w14:paraId="33374ED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（六）支持首创产品进入市场。</w:t>
      </w:r>
      <w:r>
        <w:rPr>
          <w:rFonts w:hint="eastAsia" w:ascii="Times New Roman" w:hAnsi="Times New Roman" w:eastAsia="方正仿宋简体"/>
          <w:sz w:val="32"/>
          <w:szCs w:val="32"/>
        </w:rPr>
        <w:t>支持属于氢能关键领域“补短板”，填补国内（国际）空白，技术水平国内（国际）首创的技术产品（统称为首创产品）实现首次应用。根据产品应用效果，按照首次进入市场合同金额的30%比例，择优给予研制单位国际首创产品不超过500万元、国内首创产品不超过300万元的资金支持（市科委、中关村管委会）。</w:t>
      </w:r>
    </w:p>
    <w:p w14:paraId="02A7075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（七）支持技术装备首台套应用。</w:t>
      </w:r>
      <w:r>
        <w:rPr>
          <w:rFonts w:hint="eastAsia" w:ascii="Times New Roman" w:hAnsi="Times New Roman" w:eastAsia="方正仿宋简体"/>
          <w:sz w:val="32"/>
          <w:szCs w:val="32"/>
        </w:rPr>
        <w:t>将氢能领域发展潜力大、技术水平领先、推广价值高的先进技术优先纳入北京市创新型绿色技术推荐目录，并优先推荐进入本市首台（套）产品目录评审程序，对于推荐目录内技术在京的前三台（套）应用项目，按照绿色技术创新体系相关政策规定给予支持（市发展改革委）。</w:t>
      </w:r>
    </w:p>
    <w:p w14:paraId="7E277D25">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三、支持产业创新发展</w:t>
      </w:r>
    </w:p>
    <w:p w14:paraId="2DEBACF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（八）支持企业孵化培育。</w:t>
      </w:r>
      <w:r>
        <w:rPr>
          <w:rFonts w:hint="eastAsia" w:ascii="Times New Roman" w:hAnsi="Times New Roman" w:eastAsia="方正仿宋简体"/>
          <w:sz w:val="32"/>
          <w:szCs w:val="32"/>
        </w:rPr>
        <w:t>鼓励建设和培育氢能领域专业孵化器，开展高水平的创业辅导、早期投资、资源对接等专业化服务。符合标杆型孵化器条件的，按照孵化器建设发展情况分类给予不超过2000万元资金支持；支持和推荐符合条件的孵化器申报市级和国家级孵化器（市科委、中关村管委会）。</w:t>
      </w:r>
    </w:p>
    <w:p w14:paraId="2BA913AD">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（九）支持中小企业发展。</w:t>
      </w:r>
      <w:r>
        <w:rPr>
          <w:rFonts w:hint="eastAsia" w:ascii="Times New Roman" w:hAnsi="Times New Roman" w:eastAsia="方正仿宋简体"/>
          <w:sz w:val="32"/>
          <w:szCs w:val="32"/>
        </w:rPr>
        <w:t>加快推动氢能领域优质中小企业梯度培育，加大统筹协调与培育扶持力度，强化市区协同开展全面精准服务，对获评“专精特新”的企业给予区级分档资金奖励（市经济和信息化局、各区政府）。鼓励氢能领域研发设计、中试集成、测试验证等产业支撑平台面向中小企业提供服务，符合条件的可认定为“北京市中小企业公共服务示范平台”，给予一定建设补助或绩效奖励；使用公共服务平台的企业，符合条件的可纳入中小企业服务券政策支持范围（市经济和信息化局）。</w:t>
      </w:r>
    </w:p>
    <w:p w14:paraId="0535A29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（十）支持企业融资发展。</w:t>
      </w:r>
      <w:r>
        <w:rPr>
          <w:rFonts w:hint="eastAsia" w:ascii="Times New Roman" w:hAnsi="Times New Roman" w:eastAsia="方正仿宋简体"/>
          <w:sz w:val="32"/>
          <w:szCs w:val="32"/>
        </w:rPr>
        <w:t>鼓励国内外各类投资机构设立主要投向氢能产业的投资基金；支持市、区两级政府投资基金和社会资本联合设立氢能产业政府引导基金；支持创新型中小企业在北京证券交易所上市融资；支持金融机构为氢能相关企业提供创新型信贷产品、专项债券和担保支持等金融服务（市经济和信息化局、市科委、中关村管委会、市金融监管局）。</w:t>
      </w:r>
    </w:p>
    <w:p w14:paraId="5B9112E6">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（十一）支持企业扩大投资。</w:t>
      </w:r>
      <w:r>
        <w:rPr>
          <w:rFonts w:hint="eastAsia" w:ascii="Times New Roman" w:hAnsi="Times New Roman" w:eastAsia="方正仿宋简体"/>
          <w:sz w:val="32"/>
          <w:szCs w:val="32"/>
        </w:rPr>
        <w:t>对获得固定资产贷款的氢能领域重大新建、改造项目，给予不超过人民银行同期中长期贷款市场报价利率（LPR）、单个企业年度不超过3000万元的贷款贴息支持；支持氢能企业租赁关键设备和产线用于在京研发、建设、生产，对融资租赁合同额不低于1000万元的给予不超过5%费率、单个企业年度不超过1000万元的租赁费用补贴（市经济和信息化局）。</w:t>
      </w:r>
    </w:p>
    <w:p w14:paraId="65B407E8">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四、支持基础设施建设</w:t>
      </w:r>
    </w:p>
    <w:p w14:paraId="7FC8F0C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（十二）支持加氢站建设运营。</w:t>
      </w:r>
      <w:r>
        <w:rPr>
          <w:rFonts w:hint="eastAsia" w:ascii="Times New Roman" w:hAnsi="Times New Roman" w:eastAsia="方正仿宋简体"/>
          <w:sz w:val="32"/>
          <w:szCs w:val="32"/>
        </w:rPr>
        <w:t>鼓励新建和改（扩）建符合本市发展规划的加氢站，对本市行政区域范围内建成（含改扩建）的加氢站，按照压缩机12小时额定工作能力不少于1000公斤和500公斤两档分别给予500万元和200万元的定额建设补贴。对本市行政区域范围内提供加氢服务并承诺氢气市场销售价格不高于30元/公斤的加氢站，按照10元／公斤的标准给予氢气运营补贴（市城市管理委）。</w:t>
      </w:r>
    </w:p>
    <w:p w14:paraId="5734340B">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（十三）支持先进氢能设施建设。</w:t>
      </w:r>
      <w:r>
        <w:rPr>
          <w:rFonts w:hint="eastAsia" w:ascii="Times New Roman" w:hAnsi="Times New Roman" w:eastAsia="方正仿宋简体"/>
          <w:sz w:val="32"/>
          <w:szCs w:val="32"/>
        </w:rPr>
        <w:t>按照包容审慎原则，鼓励分布式制氢项目建设，促进氢源就近供应保障；支持开展先进制氢、储运、加氢设施试点建设，对符合新技术新产品小批量验证和规模化推广应用条件的氢能新型基础设施项目，按照项目投资额的一定比例给予资金支持（市经济和信息化局）。</w:t>
      </w:r>
    </w:p>
    <w:p w14:paraId="3C7264C9">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五、支持示范推广应用</w:t>
      </w:r>
    </w:p>
    <w:p w14:paraId="2EA3204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（十四）支持车辆推广运营。</w:t>
      </w:r>
      <w:r>
        <w:rPr>
          <w:rFonts w:hint="eastAsia" w:ascii="Times New Roman" w:hAnsi="Times New Roman" w:eastAsia="方正仿宋简体"/>
          <w:sz w:val="32"/>
          <w:szCs w:val="32"/>
        </w:rPr>
        <w:t>以省际间专线货运、城市重型货物运输、城市物流配送、城市客运等场景为重点，积极推动京津冀燃料电池汽车示范城市群建设，开展氢燃料电池汽车示范应用。对纳入并完成我市燃料电池汽车示范应用项目的整车制造企业、车辆运营企业以及核心零部件企业，按照一定标准分别予以奖励（市经济和信息化局）。</w:t>
      </w:r>
    </w:p>
    <w:p w14:paraId="2CBB57E9">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（十五）支持多领域示范应用。</w:t>
      </w:r>
      <w:r>
        <w:rPr>
          <w:rFonts w:hint="eastAsia" w:ascii="Times New Roman" w:hAnsi="Times New Roman" w:eastAsia="方正仿宋简体"/>
          <w:sz w:val="32"/>
          <w:szCs w:val="32"/>
        </w:rPr>
        <w:t>推动氢能在发电、热电联供、工业车辆等领域示范，促进技术示范应用与推广模式创新。对经评审择优确定并发布的重点示范项目，按照新型基础设施建设、绿色低碳发展、技术装备应用、重点应用场景示范等相关奖励政策给予示范项目相应的资金支持（市经济和信息化局、市发展改革委、市科委、中关村管委会）。</w:t>
      </w:r>
    </w:p>
    <w:p w14:paraId="1CFEE1C0">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六、支持标准体系建设</w:t>
      </w:r>
    </w:p>
    <w:p w14:paraId="0519888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（十六）支持标准制修订。</w:t>
      </w:r>
      <w:r>
        <w:rPr>
          <w:rFonts w:hint="eastAsia" w:ascii="Times New Roman" w:hAnsi="Times New Roman" w:eastAsia="方正仿宋简体"/>
          <w:sz w:val="32"/>
          <w:szCs w:val="32"/>
        </w:rPr>
        <w:t>支持建立符合本市氢能科技和产业发展需要的标准体系，将氢能产业领域重点标准规范纳入我市重点发展的技术标准领域和重点标准方向。对重点国际标准、国家标准以及行业标准、地方标准以及团体标准，根据评审结果给予资金补助（市经济和信息化局、市市场监管局）。对新发布的中关村标准按每项不超过50万元给予资金支持。（市科委、中关村管委会）。</w:t>
      </w:r>
    </w:p>
    <w:p w14:paraId="4A829DB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（十七）支持标准化活动。</w:t>
      </w:r>
      <w:r>
        <w:rPr>
          <w:rFonts w:hint="eastAsia" w:ascii="Times New Roman" w:hAnsi="Times New Roman" w:eastAsia="方正仿宋简体"/>
          <w:sz w:val="32"/>
          <w:szCs w:val="32"/>
        </w:rPr>
        <w:t>支持企业及相关单位加入国际知名标准化组织，参加国际标准化活动。对企业领军人物等担任国际知名标准化组织（或技术委员会）相应职务的，分别给予企业不超过50万元、30万元、20万元资金支持；对企业在京组织、承办国际标准化活动或会议，按照实际发生费用的50%、每项不超过30万元给予资金支持（市科委、中关村管委会）。</w:t>
      </w:r>
    </w:p>
    <w:p w14:paraId="0E5C5A25">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七、支持服务体系建设</w:t>
      </w:r>
    </w:p>
    <w:p w14:paraId="3503E8E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（十八）支持高端人才引进。</w:t>
      </w:r>
      <w:r>
        <w:rPr>
          <w:rFonts w:hint="eastAsia" w:ascii="Times New Roman" w:hAnsi="Times New Roman" w:eastAsia="方正仿宋简体"/>
          <w:sz w:val="32"/>
          <w:szCs w:val="32"/>
        </w:rPr>
        <w:t>依据本市人才引进相关政策支持氢能领域高层次、紧缺型人才引进落户（市人才工作局）。加大氢能领域国际高层次人才引进力度，探索简化工作许可、居留许可审批流程（北京海外学人中心、市公安局）。对引进的氢能领域高端人才，按人才住房支持政策做好保障（各区政府）。在本市引进毕业生政策框架内，对氢能企业加大支持力度（市人力资源社会保障局）。</w:t>
      </w:r>
    </w:p>
    <w:p w14:paraId="661EFAB8">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（十九）支持公共服务能力建设。</w:t>
      </w:r>
      <w:r>
        <w:rPr>
          <w:rFonts w:hint="eastAsia" w:ascii="Times New Roman" w:hAnsi="Times New Roman" w:eastAsia="方正仿宋简体"/>
          <w:sz w:val="32"/>
          <w:szCs w:val="32"/>
        </w:rPr>
        <w:t>鼓励各类服务机构和行业组织与地方政府合作招商引资。对在引进优质项目过程中做出贡献的，经认定后给予资金奖励（各区政府）。支持各类创新主体组织重点学术会议及品牌性交流活动，开展国际交流研讨，经专家评审后，根据综合评估结果给予资金支持（市科委、中关村管委会）。</w:t>
      </w:r>
    </w:p>
    <w:p w14:paraId="1F43E178">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八、附则</w:t>
      </w:r>
    </w:p>
    <w:p w14:paraId="142A9AC1">
      <w:pPr>
        <w:snapToGrid w:val="0"/>
        <w:spacing w:line="570" w:lineRule="exact"/>
        <w:ind w:firstLine="640" w:firstLineChars="200"/>
        <w:rPr>
          <w:rFonts w:ascii="Times New Roman" w:hAnsi="Times New Roman" w:eastAsia="方正仿宋简体"/>
          <w:b/>
          <w:sz w:val="32"/>
          <w:szCs w:val="32"/>
        </w:rPr>
      </w:pPr>
      <w:r>
        <w:rPr>
          <w:rFonts w:hint="eastAsia" w:ascii="Times New Roman" w:hAnsi="Times New Roman" w:eastAsia="方正仿宋简体"/>
          <w:sz w:val="32"/>
          <w:szCs w:val="32"/>
        </w:rPr>
        <w:t>本政策措施自发布之日起实施，有效期至2025年8月。《北京市关于支持氢能产业发展的若干政策措施》（京经信发〔2022〕62号）即日起失效。</w:t>
      </w:r>
    </w:p>
    <w:p w14:paraId="434ADAE7">
      <w:pPr>
        <w:snapToGrid w:val="0"/>
        <w:spacing w:line="570" w:lineRule="exact"/>
        <w:ind w:firstLine="643" w:firstLineChars="200"/>
        <w:rPr>
          <w:rFonts w:hint="eastAsia" w:ascii="Times New Roman" w:hAnsi="Times New Roman" w:eastAsia="方正仿宋简体"/>
          <w:b/>
          <w:sz w:val="32"/>
          <w:szCs w:val="32"/>
        </w:rPr>
      </w:pPr>
    </w:p>
    <w:p w14:paraId="68AD34FA">
      <w:pPr>
        <w:snapToGrid w:val="0"/>
        <w:spacing w:line="570" w:lineRule="exact"/>
        <w:ind w:firstLine="640" w:firstLineChars="200"/>
        <w:rPr>
          <w:rFonts w:ascii="Times New Roman" w:hAnsi="Times New Roman" w:eastAsia="方正仿宋简体"/>
          <w:sz w:val="32"/>
          <w:szCs w:val="32"/>
        </w:rPr>
      </w:pPr>
    </w:p>
    <w:p w14:paraId="30192560">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河北省人民政府办公厅关于印发河北省数字技术赋能制造业高质量发展实施方案的通知</w:t>
      </w:r>
    </w:p>
    <w:p w14:paraId="275A0C8B">
      <w:pPr>
        <w:snapToGrid w:val="0"/>
        <w:spacing w:line="570" w:lineRule="exact"/>
        <w:rPr>
          <w:rFonts w:hint="eastAsia" w:ascii="Times New Roman" w:hAnsi="Times New Roman" w:eastAsia="方正楷体简体"/>
          <w:sz w:val="32"/>
          <w:szCs w:val="32"/>
        </w:rPr>
      </w:pPr>
      <w:r>
        <w:rPr>
          <w:rFonts w:hint="eastAsia" w:ascii="Times New Roman" w:hAnsi="Times New Roman" w:eastAsia="方正楷体简体"/>
          <w:sz w:val="32"/>
          <w:szCs w:val="32"/>
        </w:rPr>
        <w:t>各市（含定州、辛集市）人民政府，雄安新区管委会，省政府有关部门：</w:t>
      </w:r>
    </w:p>
    <w:p w14:paraId="5E953AAA">
      <w:pPr>
        <w:snapToGrid w:val="0"/>
        <w:spacing w:line="570" w:lineRule="exact"/>
        <w:rPr>
          <w:rFonts w:hint="eastAsia" w:ascii="Times New Roman" w:hAnsi="Times New Roman" w:eastAsia="方正楷体简体"/>
          <w:sz w:val="32"/>
          <w:szCs w:val="32"/>
        </w:rPr>
      </w:pPr>
    </w:p>
    <w:p w14:paraId="251749EE">
      <w:pPr>
        <w:snapToGrid w:val="0"/>
        <w:spacing w:line="570" w:lineRule="exact"/>
        <w:ind w:firstLine="640" w:firstLineChars="200"/>
        <w:rPr>
          <w:rFonts w:hint="eastAsia" w:ascii="Times New Roman" w:hAnsi="Times New Roman" w:eastAsia="方正楷体简体"/>
          <w:sz w:val="32"/>
          <w:szCs w:val="32"/>
        </w:rPr>
      </w:pPr>
      <w:r>
        <w:rPr>
          <w:rFonts w:hint="eastAsia" w:ascii="Times New Roman" w:hAnsi="Times New Roman" w:eastAsia="方正楷体简体"/>
          <w:sz w:val="32"/>
          <w:szCs w:val="32"/>
        </w:rPr>
        <w:t>《河北省数字技术赋能制造业高质量发展实施方案》已经省政府同意，现印发给你们，请认真组织实施。</w:t>
      </w:r>
    </w:p>
    <w:p w14:paraId="448CAC21">
      <w:pPr>
        <w:snapToGrid w:val="0"/>
        <w:spacing w:line="570" w:lineRule="exact"/>
        <w:jc w:val="right"/>
        <w:rPr>
          <w:rFonts w:ascii="Times New Roman" w:hAnsi="Times New Roman" w:eastAsia="方正楷体简体"/>
          <w:sz w:val="32"/>
          <w:szCs w:val="32"/>
        </w:rPr>
      </w:pPr>
      <w:r>
        <w:rPr>
          <w:rFonts w:hint="eastAsia" w:ascii="Times New Roman" w:hAnsi="Times New Roman" w:eastAsia="方正楷体简体"/>
          <w:sz w:val="32"/>
          <w:szCs w:val="32"/>
        </w:rPr>
        <w:t>河北省人民政府办公厅</w:t>
      </w:r>
    </w:p>
    <w:p w14:paraId="1D297D52">
      <w:pPr>
        <w:snapToGrid w:val="0"/>
        <w:spacing w:line="570" w:lineRule="exact"/>
        <w:jc w:val="right"/>
        <w:rPr>
          <w:rFonts w:hint="eastAsia" w:ascii="Times New Roman" w:hAnsi="Times New Roman" w:eastAsia="方正楷体简体"/>
          <w:sz w:val="32"/>
          <w:szCs w:val="32"/>
        </w:rPr>
      </w:pPr>
    </w:p>
    <w:p w14:paraId="12B6C556">
      <w:pPr>
        <w:snapToGrid w:val="0"/>
        <w:spacing w:line="570" w:lineRule="exact"/>
        <w:jc w:val="right"/>
        <w:rPr>
          <w:rFonts w:ascii="Times New Roman" w:hAnsi="Times New Roman" w:eastAsia="方正楷体简体"/>
          <w:sz w:val="32"/>
          <w:szCs w:val="32"/>
        </w:rPr>
      </w:pPr>
      <w:r>
        <w:rPr>
          <w:rFonts w:hint="eastAsia" w:ascii="Times New Roman" w:hAnsi="Times New Roman" w:eastAsia="方正楷体简体"/>
          <w:sz w:val="32"/>
          <w:szCs w:val="32"/>
        </w:rPr>
        <w:t>2025年1月14日</w:t>
      </w:r>
    </w:p>
    <w:p w14:paraId="28299360">
      <w:pPr>
        <w:snapToGrid w:val="0"/>
        <w:spacing w:line="570" w:lineRule="exact"/>
        <w:rPr>
          <w:rFonts w:ascii="Times New Roman" w:hAnsi="Times New Roman" w:eastAsia="方正楷体简体"/>
          <w:sz w:val="32"/>
          <w:szCs w:val="32"/>
        </w:rPr>
      </w:pPr>
    </w:p>
    <w:p w14:paraId="14AA24AF">
      <w:pPr>
        <w:snapToGrid w:val="0"/>
        <w:spacing w:line="570" w:lineRule="exact"/>
        <w:jc w:val="center"/>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河北省数字技术赋能制造业高质量发展实施方案</w:t>
      </w:r>
    </w:p>
    <w:p w14:paraId="3D9165F8">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为加快我省制造业数字化转型，推动数字技术赋能制造业高质量发展，制定本方案。</w:t>
      </w:r>
    </w:p>
    <w:p w14:paraId="55C911C8">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一、工作目标</w:t>
      </w:r>
    </w:p>
    <w:p w14:paraId="0F91FE9A">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以大模型在制造业领域规模化应用为牵引，点、线、面一体化推进制造业数字化、网络化、智能化转型。到2027年，推动规模以上制造业企业、专精特新中小企业、特色产业集群“领跑者”企业“智改数转网联”，实现数字化改造全覆盖；工业企业关键工序数控化率达到78%，数字化研发设计工具普及率达到90%，工业互联网平台应用普及率达到60%，全省两化融合水平进入全国第一梯队，工业设备上云率持续保持全国领先；软件和信息技术服务业主营业务收入超1500亿元。</w:t>
      </w:r>
    </w:p>
    <w:p w14:paraId="624AB55D">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二、重点任务</w:t>
      </w:r>
    </w:p>
    <w:p w14:paraId="7883423D">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（一）龙头企业“数字领航”带动工程。</w:t>
      </w:r>
    </w:p>
    <w:p w14:paraId="2399D6D7">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1、加快龙头企业数字化集成创新。</w:t>
      </w:r>
    </w:p>
    <w:p w14:paraId="3385B2D2">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推动龙头企业加快全流程、全场景、全链条数字化转型，打造100个行业数字化转型标杆，培育30个具有较强引领带动作用的“数字领航”企业，争创国家“数字领航”企业。引导国有企业加快数字化转型，提升企业核心竞争力。（责任单位：省工业和信息化厅、省发展改革委、省国资委，各市（含定州、辛集市，下同）政府、雄安新区管委会。以下均需各市政府、雄安新区管委会落实，不再列出）</w:t>
      </w:r>
    </w:p>
    <w:p w14:paraId="0FCBCE59">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2、打造智能制造升级版。</w:t>
      </w:r>
    </w:p>
    <w:p w14:paraId="7960A4EF">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构建智能制造梯度培育体系，建设300个先进级智能工厂，形成一批具有区域、行业特色的数字化转型智能化升级发展路径；择优打造一批卓越级智能工厂，培育智能制造系统解决方案和标准，推动能力共享和协同升级；争创领航级智能工厂，探索培育未来工厂，积极打造“灯塔工厂”。（责任单位：省工业和信息化厅、省发展改革委、省财政厅、省国资委、省市场监管局、省数据和政务服务局、省科技厅）</w:t>
      </w:r>
    </w:p>
    <w:p w14:paraId="5B25F640">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（二）中小企业数字化赋能工程。</w:t>
      </w:r>
    </w:p>
    <w:p w14:paraId="0D757FCE">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3、实施中小企业“梯次”数字化转型。</w:t>
      </w:r>
    </w:p>
    <w:p w14:paraId="6D70E1B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推动专精特新“小巨人”企业开展高价值集成应用创新，围绕产品数字孪生、设计制造一体化、个性化定制等复杂场景开展系统化集成改造；推动省级专精特新中小企业、规模以上工业企业实施软硬件一体化改造，打造产品工艺仿真、设备预测运维、产线智能控制等场景样本，培育300家数字化转型标杆企业。（责任单位：省工业和信息化厅、省科技厅、省通信管理局）</w:t>
      </w:r>
    </w:p>
    <w:p w14:paraId="464DC25A">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4、加快中小企业数字化转型试点城市建设。</w:t>
      </w:r>
    </w:p>
    <w:p w14:paraId="2134E700">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加快石家庄、唐山等国家中小企业数字化转型试点城市建设，搭建中小企业数字化转型公共服务平台，推广一批“小快轻准”的数字化产品和解决方案，实施一批“微改造”项目。（责任单位：省工业和信息化厅、省财政厅、省科技厅）</w:t>
      </w:r>
    </w:p>
    <w:p w14:paraId="28ACD95B">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（三）园区数字化赋能升级工程。</w:t>
      </w:r>
    </w:p>
    <w:p w14:paraId="1F2BC750">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5、打造“共享智造”智慧集群。</w:t>
      </w:r>
    </w:p>
    <w:p w14:paraId="3423951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发展“平台+集群”融合创新模式，支持特色产业集群建设特色型工业互联网平台，实现“一群一平台”，推动研发、制造和服务资源柔性匹配、动态共享。加快培育特色产业集群“共享智造”领跑者企业，打造30个共享工厂（车间），形成一批智慧集群。（责任单位：省工业和信息化厅）</w:t>
      </w:r>
    </w:p>
    <w:p w14:paraId="0621D9D2">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6、实施数字园区创建行动。</w:t>
      </w:r>
    </w:p>
    <w:p w14:paraId="570E610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加快园区5G演进、边缘计算等数字基础设施建设。深化工业互联网平台在园区内部署和应用，实现“一园一平台”，畅通园区内数据链、创新链、产业链、供应链，打造30个省级先进数字园区，争创国家高标准数字园区。开展工业互联网一体化进园区“百城千园行”活动，推广安全生产、能源管控、减污降碳等监管系统。（责任单位：省工业和信息化厅、省通信管理局、省生态环境厅、省应急管理厅）</w:t>
      </w:r>
    </w:p>
    <w:p w14:paraId="033C18A7">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（四）产业链供应链数字化提档升级工程。</w:t>
      </w:r>
    </w:p>
    <w:p w14:paraId="10F98CB6">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7、实施“链网协同”数字化转型行动。</w:t>
      </w:r>
    </w:p>
    <w:p w14:paraId="4EE5C14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一链一策”推动重点产业链、供应链数字化改造升级，支持链主企业开放数字系统接口，引导供应链企业接入，带动产业链上下游企业实施标准统一的数字化改造，积极开展国家数字化供应链贯标试点。发展“平台+产业链+供应链”融合创新模式，打造10个以上重点产业链供应链数字化协同平台，助力中小企业实现链式数字化转型。（责任单位：省工业和信息化厅、省商务厅）</w:t>
      </w:r>
    </w:p>
    <w:p w14:paraId="1C834BD6">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8、推动“一链多场景”融合创新。</w:t>
      </w:r>
    </w:p>
    <w:p w14:paraId="7C8D2BC5">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在钢铁、石化、装备等行业开展数字化转型提档升级行动，制定链式数字化转型场景图谱，建立“一图四清单”，打造300个可复制可推广典型应用场景，推动研发设计云端化协同、生产过程智能转型、运维服务模式创新和经营管理流程优化，探索跨场景集成创新。（责任单位：省工业和信息化厅、省商务厅）</w:t>
      </w:r>
    </w:p>
    <w:p w14:paraId="5ECDFB75">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（五）智能装备和工业软件攻关工程。</w:t>
      </w:r>
    </w:p>
    <w:p w14:paraId="147EEB22">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9、加快智能装备创新赋能。</w:t>
      </w:r>
    </w:p>
    <w:p w14:paraId="029F1AF0">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积极实施产业基础再造工程，加快高分辨率视觉传感器、高精度伺服驱动系统、高性能减速器等零部件研发和产业化，加快建设京津冀集成电路国家先进制造业集群。加快发展基于5G、虚拟现实（VR）、增强现实（AR）、人工智能、北斗等新技术的新型智能装备，推动智能装备在生产制造、试验检测、安全生产等领域赋能应用。（责任单位：省科技厅、省发展改革委、省工业和信息化厅）</w:t>
      </w:r>
    </w:p>
    <w:p w14:paraId="1FBBFA88">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10、强化高端工业软件供给。</w:t>
      </w:r>
    </w:p>
    <w:p w14:paraId="79E302AA">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大力发展工业软件、虚拟仿真、数字孪生等产品和解决方案，定期发布推荐目录。培育重点工业软件开源项目，鼓励行业龙头企业开放应用开发平台。发展工业软件“云化”新业态，支持有条件的企业发展云原生产品。推动工业软件和工业操作系统更新换代。认定30项首版次软件产品，培育3-5个省级软件园区，争创国家软件名城和软件名园。（责任单位：省工业和信息化厅、省科技厅）</w:t>
      </w:r>
    </w:p>
    <w:p w14:paraId="757E5E5F">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（六）人工智能赋能工程。</w:t>
      </w:r>
    </w:p>
    <w:p w14:paraId="4B256A3E">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11、推动工业大模型培育孵化。</w:t>
      </w:r>
    </w:p>
    <w:p w14:paraId="5F7F1622">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面向钢铁、石化、医药等行业，加快垂直大模型开发；面向工艺仿真、产品检测、经济运行等具体应用场景，开发智能体、应用程序、模型即服务等场景级大模型产品。开展大模型赋能钢铁行业高质量发展专项行动，推动大模型在钢铁行业的普遍应用。（责任单位：省数据和政务服务局、省工业和信息化厅、省发展改革委、省科技厅）</w:t>
      </w:r>
    </w:p>
    <w:p w14:paraId="2CA94C40">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12、推进“人工智能+制造业”。</w:t>
      </w:r>
    </w:p>
    <w:p w14:paraId="585E0EA7">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实施人工智能赋能新型工业化行动，推动机器视觉、虚拟仿真、数字孪生等人工智能技术在制造业研发设计、生产制造、检验检测、供应链管理等环节创新应用，打造10个“人工智能+”工业优秀应用场景。（责任单位：省工业和信息化厅、省科技厅、省发展改革委、省数据和政务服务局）</w:t>
      </w:r>
    </w:p>
    <w:p w14:paraId="4F6CD67D">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13、激活数据要素潜能。</w:t>
      </w:r>
    </w:p>
    <w:p w14:paraId="0ECA7CC8">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推动制造业企业建立工业数据分类分级清单，加快数据管理能力成熟度评估贯标工作。鼓励龙头企业建设“数据湖”及高质量工业数据语料库，支撑工业大模型训练和应用。推进工业数据、知识图谱与智能算法的创新应用，挖掘一批工业数据场景。（责任单位：省工业和信息化厅、省数据和政务服务局）</w:t>
      </w:r>
    </w:p>
    <w:p w14:paraId="046A4018">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（七）工业互联网平台创新发展工程。</w:t>
      </w:r>
    </w:p>
    <w:p w14:paraId="2D60A1B8">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14、完善工业互联网平台体系。</w:t>
      </w:r>
    </w:p>
    <w:p w14:paraId="30C5628C">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深化特色型平台在钢铁、装备、绿色制造、安全生产等行业和领域应用，培育发展“平台+人工智能”“平台+数字孪生”等专业型平台。鼓励平台打造“云平台+低代码+大模型+云应用”一体化服务体系，为企业提供全流程服务，培育500个工业互联网平台，认定50个省级平台，积极争创国家级“双跨”平台。（责任单位：省工业和信息化厅、省通信管理局）</w:t>
      </w:r>
    </w:p>
    <w:p w14:paraId="7BBAB27B">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15、开展企业“上云用数赋智”行动。</w:t>
      </w:r>
    </w:p>
    <w:p w14:paraId="5280E57C">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扩大企业上云供给资源池规模，制定企业“上云上平台”产品目录。鼓励大中型企业基于云平台开展共享订单、集中采购、共享制造等新模式应用；推动中小微企业利用云化订阅式产品服务，提升企业经营水平。上云企业突破15万家，工业设备上云率达到50%以上。（责任单位：省工业和信息化厅、省发展改革委、省科技厅、省商务厅）</w:t>
      </w:r>
    </w:p>
    <w:p w14:paraId="55C5A0AA">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（八）数字基础设施能力优化工程。</w:t>
      </w:r>
    </w:p>
    <w:p w14:paraId="25007338">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16、实施“5G+工业互联网”升级行动。</w:t>
      </w:r>
    </w:p>
    <w:p w14:paraId="09320B35">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企业建设工业5G独立专网。加快推进工业光网、工业以太网等各类新型工业网络建设，全面推进6G、卫星互联网研发与产业化，建设500家5G工厂。加快“5G+工业互联网”典型应用场景推广，培育一批融合应用先导区，争创国家级先导区。实施工业互联网标识解析体系“立冀贯通”行动，建设全球数字标识根节点，标识解析二级节点达到10个，推进标识解析在钢铁、石化、装备、电子信息等行业规模化应用。（责任单位：省通信管理局、省工业和信息化厅）</w:t>
      </w:r>
    </w:p>
    <w:p w14:paraId="3600F8C0">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17、优化算力基础设施布局。</w:t>
      </w:r>
    </w:p>
    <w:p w14:paraId="0CE175C7">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加快全国一体化算力网络京津冀枢纽节点建设，搭建全省算力调度平台，打造智能算力、通用算力、边缘算力互为补充的一体化算力网络，推进算力资源跨地区、跨行业高效调度，算力总规模达到50EFLOPS。实施“算力+制造业”行动，推动算力赋能智能检测、人机协作等技术迭代。（责任单位：省发展改革委、省数据和政务服务局、省工业和信息化厅、省通信管理局）</w:t>
      </w:r>
    </w:p>
    <w:p w14:paraId="51409FC9">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（九）“产业大脑”培育工程。</w:t>
      </w:r>
    </w:p>
    <w:p w14:paraId="09270CFF">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18、构建“产业大脑”。</w:t>
      </w:r>
    </w:p>
    <w:p w14:paraId="5D50B8A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聚焦重点产业链和园区、特色产业集群，建设30个产业规模效益突出，数据资源体系完善，数据价值释放程度高的“产业大脑”，推动产业链、创新链、政策链、资金链、人才链融合，实现各类数据互通共享、综合集成和创新应用，提高政府治理数字化水平和产业资源协同配置效果。（责任单位：省工业和信息化厅）</w:t>
      </w:r>
    </w:p>
    <w:p w14:paraId="2D38B462">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19、健全数字化转型服务支撑体系。</w:t>
      </w:r>
    </w:p>
    <w:p w14:paraId="1C3ACE6E">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建设全省制造业数字化转型公共服务平台，加快京津冀数字化转型促进中心建设，培育10个区域型、行业型数字化转型促进中心，提供评估咨询、方案开发、生态营造等专业化服务。培育300家既懂行业又懂数字化的数字化转型服务商，建立服务商评价和动态调整机制。（责任单位：省工业和信息化厅）</w:t>
      </w:r>
    </w:p>
    <w:p w14:paraId="53C223E9">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20、实施企业数字化转型贯标达标行动。</w:t>
      </w:r>
    </w:p>
    <w:p w14:paraId="785F1AA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建立“建档立卡—诊断评估—定制方案—辅导实施—金融配套—优化评价”和“行业协（学）会+服务机构+专家学者”的闭环服务评价机制，“一企一档”建立企业数字化转型档案，推动规模以上制造业企业数字化转型诊断评估全覆盖。持续开展企业数字化转型标准宣贯，做好企业数字化转型贯标国家试点。（责任单位：省工业和信息化厅、省市场监管局）</w:t>
      </w:r>
    </w:p>
    <w:p w14:paraId="7384E87A">
      <w:pPr>
        <w:snapToGrid w:val="0"/>
        <w:spacing w:line="570" w:lineRule="exact"/>
        <w:ind w:firstLine="643" w:firstLineChars="200"/>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（十）工业信息安全“铸基”工程。</w:t>
      </w:r>
    </w:p>
    <w:p w14:paraId="720B8FBA">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21、完善安全制度机制。</w:t>
      </w:r>
    </w:p>
    <w:p w14:paraId="3626E7F7">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实施工业数据安全和网络安全分类分级管理，健全等级防护、评估评测、监测预警、信息通报等工作机制。开展“数安护航”专项行动，建立健全数据分类分级保护安全管理制度。（责任单位：省工业和信息化厅、省通信管理局）</w:t>
      </w:r>
    </w:p>
    <w:p w14:paraId="28CA6635">
      <w:pPr>
        <w:snapToGrid w:val="0"/>
        <w:spacing w:line="570" w:lineRule="exact"/>
        <w:ind w:firstLine="643" w:firstLineChars="200"/>
        <w:rPr>
          <w:rFonts w:ascii="Times New Roman" w:hAnsi="Times New Roman" w:eastAsia="方正仿宋简体"/>
          <w:b/>
          <w:bCs/>
          <w:sz w:val="32"/>
          <w:szCs w:val="32"/>
        </w:rPr>
      </w:pPr>
      <w:r>
        <w:rPr>
          <w:rFonts w:hint="eastAsia" w:ascii="Times New Roman" w:hAnsi="Times New Roman" w:eastAsia="方正仿宋简体"/>
          <w:b/>
          <w:bCs/>
          <w:sz w:val="32"/>
          <w:szCs w:val="32"/>
        </w:rPr>
        <w:t>22、增强安全保障能力。</w:t>
      </w:r>
    </w:p>
    <w:p w14:paraId="498C5E9B">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加快培育一批工业领域网络和数据安全服务机构。支持行业龙头企业建设安全技术公共服务平台。构建省、市两级的工业信息安全应急预案体系，定期开展“铸网”应急演练。大力发展网络安全产业，加快建设京津冀新一代信息技术应用创新国家先进制造业集群。（责任单位：省工业和信息化厅、省通信管理局）</w:t>
      </w:r>
    </w:p>
    <w:p w14:paraId="19D49D47">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三、保障措施</w:t>
      </w:r>
    </w:p>
    <w:p w14:paraId="1E3B601C">
      <w:pPr>
        <w:snapToGrid w:val="0"/>
        <w:spacing w:line="57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省制造强省建设领导小组及办公室要加强全省制造业数字化转型相关工作的统筹。建立省制造业数字化转型专家委员会，提供智库支撑服务。建立市、县制造业数字化转型评价指标体系，发布制造业数字化转型指数，纳入数字经济运行监测体系。支持龙头企业、科研院所、高等学校、行业协（学）会等主持或参与制造业数字化转型国家标准、行业标准制修订工作。制定全省中小企业、园区、特色产业集群数字化转型指引，编制重点行业数字化转型指南。用好国家产业基础再造、重大科技专项等政策，积极争取中央资金支持，落实国家软件和集成电路产业税收优惠政策。用好省级支持产业发展相关补助政策，探索首批次、首版次保险补偿机制。鼓励金融机构出台制造业数字化转型金融产品，引导产业基金支持制造业企业、数字化服务商上市和并购重组。鼓励建设制造业数字化转型人才培训基地，积极推广数字化转型典型模式、创新产品，营造数字化转型发展的良好氛围。</w:t>
      </w:r>
    </w:p>
    <w:p w14:paraId="1ACB9344">
      <w:pPr>
        <w:snapToGrid w:val="0"/>
        <w:spacing w:line="570" w:lineRule="exact"/>
        <w:ind w:firstLine="640" w:firstLineChars="200"/>
        <w:rPr>
          <w:rFonts w:ascii="Times New Roman" w:hAnsi="Times New Roman" w:eastAsia="方正仿宋简体"/>
          <w:sz w:val="32"/>
          <w:szCs w:val="32"/>
        </w:rPr>
      </w:pPr>
    </w:p>
    <w:p w14:paraId="29688BA2">
      <w:pPr>
        <w:snapToGrid w:val="0"/>
        <w:spacing w:line="570" w:lineRule="exact"/>
        <w:ind w:firstLine="640" w:firstLineChars="200"/>
        <w:rPr>
          <w:rFonts w:ascii="Times New Roman" w:hAnsi="Times New Roman" w:eastAsia="方正仿宋简体"/>
          <w:sz w:val="32"/>
          <w:szCs w:val="32"/>
        </w:rPr>
      </w:pPr>
    </w:p>
    <w:p w14:paraId="503D8675">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沧州市人民政府办公室关于印发沧州市推动低空经济高质量发展若干措施的通知</w:t>
      </w:r>
    </w:p>
    <w:p w14:paraId="587F1166">
      <w:pPr>
        <w:snapToGrid w:val="0"/>
        <w:spacing w:line="570" w:lineRule="exact"/>
        <w:rPr>
          <w:rFonts w:hint="eastAsia" w:ascii="Times New Roman" w:hAnsi="Times New Roman" w:eastAsia="方正楷体简体"/>
          <w:sz w:val="32"/>
          <w:szCs w:val="32"/>
        </w:rPr>
      </w:pPr>
      <w:r>
        <w:rPr>
          <w:rFonts w:hint="eastAsia" w:ascii="Times New Roman" w:hAnsi="Times New Roman" w:eastAsia="方正楷体简体"/>
          <w:sz w:val="32"/>
          <w:szCs w:val="32"/>
        </w:rPr>
        <w:t>沧州渤海新区管委会、黄骅市人民政府，各县（市、区）人民政府，沧州开发区、沧州高新区管委会，市政府有关部门，有关单位：</w:t>
      </w:r>
    </w:p>
    <w:p w14:paraId="0B3AD2D7">
      <w:pPr>
        <w:snapToGrid w:val="0"/>
        <w:spacing w:line="570" w:lineRule="exact"/>
        <w:ind w:firstLine="640" w:firstLineChars="200"/>
        <w:rPr>
          <w:rFonts w:hint="eastAsia" w:ascii="Times New Roman" w:hAnsi="Times New Roman" w:eastAsia="方正楷体简体"/>
          <w:sz w:val="32"/>
          <w:szCs w:val="32"/>
        </w:rPr>
      </w:pPr>
    </w:p>
    <w:p w14:paraId="45C13D80">
      <w:pPr>
        <w:snapToGrid w:val="0"/>
        <w:spacing w:line="570" w:lineRule="exact"/>
        <w:ind w:firstLine="640" w:firstLineChars="200"/>
        <w:rPr>
          <w:rFonts w:hint="eastAsia" w:ascii="Times New Roman" w:hAnsi="Times New Roman" w:eastAsia="方正楷体简体"/>
          <w:sz w:val="32"/>
          <w:szCs w:val="32"/>
        </w:rPr>
      </w:pPr>
      <w:r>
        <w:rPr>
          <w:rFonts w:hint="eastAsia" w:ascii="Times New Roman" w:hAnsi="Times New Roman" w:eastAsia="方正楷体简体"/>
          <w:sz w:val="32"/>
          <w:szCs w:val="32"/>
        </w:rPr>
        <w:t>《沧州市推动低空经济高质量发展若干措施》已经市政府同意，现印发给你们，请结合实际，认真抓好贯彻落实。</w:t>
      </w:r>
    </w:p>
    <w:p w14:paraId="2790ED83">
      <w:pPr>
        <w:snapToGrid w:val="0"/>
        <w:spacing w:line="570" w:lineRule="exact"/>
        <w:rPr>
          <w:rFonts w:hint="eastAsia" w:ascii="Times New Roman" w:hAnsi="Times New Roman" w:eastAsia="方正楷体简体"/>
          <w:sz w:val="32"/>
          <w:szCs w:val="32"/>
        </w:rPr>
      </w:pPr>
    </w:p>
    <w:p w14:paraId="009FC148">
      <w:pPr>
        <w:snapToGrid w:val="0"/>
        <w:spacing w:line="570" w:lineRule="exact"/>
        <w:ind w:firstLine="640" w:firstLineChars="200"/>
        <w:jc w:val="right"/>
        <w:rPr>
          <w:rFonts w:hint="eastAsia" w:ascii="Times New Roman" w:hAnsi="Times New Roman" w:eastAsia="方正楷体简体"/>
          <w:sz w:val="32"/>
          <w:szCs w:val="32"/>
        </w:rPr>
      </w:pPr>
      <w:r>
        <w:rPr>
          <w:rFonts w:hint="eastAsia" w:ascii="Times New Roman" w:hAnsi="Times New Roman" w:eastAsia="方正楷体简体"/>
          <w:sz w:val="32"/>
          <w:szCs w:val="32"/>
        </w:rPr>
        <w:t>沧州市人民政府办公室      </w:t>
      </w:r>
    </w:p>
    <w:p w14:paraId="41C5477F">
      <w:pPr>
        <w:snapToGrid w:val="0"/>
        <w:spacing w:line="570" w:lineRule="exact"/>
        <w:ind w:firstLine="640" w:firstLineChars="200"/>
        <w:jc w:val="right"/>
        <w:rPr>
          <w:rFonts w:hint="eastAsia" w:ascii="Times New Roman" w:hAnsi="Times New Roman" w:eastAsia="方正楷体简体"/>
          <w:sz w:val="32"/>
          <w:szCs w:val="32"/>
        </w:rPr>
      </w:pPr>
    </w:p>
    <w:p w14:paraId="7C3AD079">
      <w:pPr>
        <w:snapToGrid w:val="0"/>
        <w:spacing w:line="570" w:lineRule="exact"/>
        <w:ind w:firstLine="640" w:firstLineChars="200"/>
        <w:jc w:val="right"/>
        <w:rPr>
          <w:rFonts w:hint="eastAsia" w:ascii="Times New Roman" w:hAnsi="Times New Roman" w:eastAsia="方正楷体简体"/>
          <w:sz w:val="32"/>
          <w:szCs w:val="32"/>
        </w:rPr>
      </w:pPr>
      <w:r>
        <w:rPr>
          <w:rFonts w:hint="eastAsia" w:ascii="Times New Roman" w:hAnsi="Times New Roman" w:eastAsia="方正楷体简体"/>
          <w:sz w:val="32"/>
          <w:szCs w:val="32"/>
        </w:rPr>
        <w:t>2025年1月19日        </w:t>
      </w:r>
    </w:p>
    <w:p w14:paraId="0FC5BB56">
      <w:pPr>
        <w:snapToGrid w:val="0"/>
        <w:spacing w:line="570" w:lineRule="exact"/>
        <w:ind w:firstLine="640" w:firstLineChars="200"/>
        <w:jc w:val="right"/>
        <w:rPr>
          <w:rFonts w:ascii="Times New Roman" w:hAnsi="Times New Roman" w:eastAsia="方正仿宋简体"/>
          <w:sz w:val="32"/>
          <w:szCs w:val="32"/>
        </w:rPr>
      </w:pPr>
    </w:p>
    <w:p w14:paraId="69D49C39">
      <w:pPr>
        <w:snapToGrid w:val="0"/>
        <w:spacing w:line="570" w:lineRule="exact"/>
        <w:ind w:firstLine="643" w:firstLineChars="200"/>
        <w:jc w:val="center"/>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沧州市推动低空经济高质量发展若干措施</w:t>
      </w:r>
    </w:p>
    <w:p w14:paraId="7596A522">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为贯彻落实党的二十届二中、三中全会精神，推动《沧州市低空经济发展规划（2024-2030年）》落地实施，打造低空场景应用，加快培育壮大低空经济核心产业，持续完善低空基础设施和科技创新环境，促进全市低空经济高质量发展，结合我市实际，制定本措施。</w:t>
      </w:r>
    </w:p>
    <w:p w14:paraId="24136F6D">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一、拓展低空经济应用场景</w:t>
      </w:r>
    </w:p>
    <w:p w14:paraId="62517A1D">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（一）鼓励开设物流应用场景航线。</w:t>
      </w:r>
      <w:r>
        <w:rPr>
          <w:rFonts w:hint="eastAsia" w:ascii="Times New Roman" w:hAnsi="Times New Roman" w:eastAsia="方正仿宋简体"/>
          <w:sz w:val="32"/>
          <w:szCs w:val="32"/>
        </w:rPr>
        <w:t>开展低空物流应用场景试点，拓展低空货物多式联运创新场景，推动低空应急及医疗救援体系、无人机+智慧物流场景落地并常态化运营，支持引进快递总部企业发展低空服务业。对经批准在沧州开设低空无人机配送物流新航线〔起点或终点至少一个在沧州市域内，且小型无人机年度执行不少于3500架次（往返为一架次，下同）、中大型无人机年度执行不少于500架次〕的低空经济企业按照型号给予一次性补贴。〔责任单位：市发展改革委、市交通运输局、市邮政管理局、市商务局、市财政局，各县（市、区）人民政府、管委会，以下责任分工均涉及各县（市、区）人民政府、管委会，不再重复列出〕</w:t>
      </w:r>
    </w:p>
    <w:p w14:paraId="7AC112D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（二）鼓励扩大公共服务领域应用。</w:t>
      </w:r>
      <w:r>
        <w:rPr>
          <w:rFonts w:hint="eastAsia" w:ascii="Times New Roman" w:hAnsi="Times New Roman" w:eastAsia="方正仿宋简体"/>
          <w:sz w:val="32"/>
          <w:szCs w:val="32"/>
        </w:rPr>
        <w:t>发挥政府购买公共服务的引导作用，统筹本市各领域的低空飞行服务需求，支持拓展无人驾驶航空器在农林、巡检、物流、应急、文旅、城市管理、客运、安防等公共服务领域的应用。支持公安、消防等部门根据职能招录无人机操控岗位，培养无人机操控员。鼓励各县（市、区）和市直有关部门加大通用航空、无人机服务等采购力度，列入各单位财政预算，扩大采购规模，年度采购飞行服务小时数原则上只增不减。（责任单位：市机关事务保障中心、市财政局、市农业农村局、市公安局、市应急管理局、市文化广电和旅游局、市城市管理综合行政执法局、市委组织部、市人力资源社会保障局、消防救援支队）</w:t>
      </w:r>
    </w:p>
    <w:p w14:paraId="4AA43BC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（三）鼓励开设低空载客飞行航线。</w:t>
      </w:r>
      <w:r>
        <w:rPr>
          <w:rFonts w:hint="eastAsia" w:ascii="Times New Roman" w:hAnsi="Times New Roman" w:eastAsia="方正仿宋简体"/>
          <w:sz w:val="32"/>
          <w:szCs w:val="32"/>
        </w:rPr>
        <w:t>对经审批在本地新开设eVTOL（电动垂直起降飞行器）、飞行汽车、通用航空器（有人）载人航线并商业化运营（公开售票且年度执行不少于100架次）的低空经济企业给予补贴，其中：空中观光游览类补贴100元/架次，市内交通类补贴200元/架次，城际交通类补贴300元/架次。对经审批在本地新开设无人机跨境客运航线并商业化运营（公开售票）的低空经济企业，按照400元/架次给予补贴。单条航线年度最高补助100万元，单个企业年度补助不超过200万元。（责任单位：市交通运输局、市财政局、市文化广电和旅游局）</w:t>
      </w:r>
    </w:p>
    <w:p w14:paraId="629BF105">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（四）鼓励开展低空文旅体育活动。</w:t>
      </w:r>
      <w:r>
        <w:rPr>
          <w:rFonts w:hint="eastAsia" w:ascii="Times New Roman" w:hAnsi="Times New Roman" w:eastAsia="方正仿宋简体"/>
          <w:sz w:val="32"/>
          <w:szCs w:val="32"/>
        </w:rPr>
        <w:t>支持航空运营企业开发低空旅游和航空运动项目。鼓励有关部门发放低空旅游消费券，鼓励旅行社开展低空旅游业务，与各景区、通用机场合作开发观光旅游、主题游、体验游等业态和产品。依托景区建立飞行营地、垂直起降点，开展轻型固定翼、直升机、热气球等低空飞行体验活动，支持航空跳伞等航空体育运动发展。支持企事业单位、协会、高校等单位在沧举办各类低空赛事活动、展会，并在场地改善等必要的基础设施建设方面予以支持。（责任单位：市体育局、市文化广电和旅游局、市财政局）</w:t>
      </w:r>
    </w:p>
    <w:p w14:paraId="67A6CF7C">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二、壮大低空经济核心产业</w:t>
      </w:r>
    </w:p>
    <w:p w14:paraId="54148D56">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（五）推动低空经济产业集群建设。</w:t>
      </w:r>
      <w:r>
        <w:rPr>
          <w:rFonts w:hint="eastAsia" w:ascii="Times New Roman" w:hAnsi="Times New Roman" w:eastAsia="方正仿宋简体"/>
          <w:sz w:val="32"/>
          <w:szCs w:val="32"/>
        </w:rPr>
        <w:t>加快打造低空飞行器生产制造、泛低空人才教育培训、核心产业服务3大产业集群，落实符合条件的财政支持政策。鼓励有条件的地区对本地和新落户低空经济企业在空间保障、场地建设、设备购置、人才引进、办税绿色通道、政务服务等方面予以综合支持，推动形成规模化、特色化的低空经济产业集群。（责任单位：市发展改革委、市财政局、市工业和信息化局、市人力资源社会保障局）</w:t>
      </w:r>
    </w:p>
    <w:p w14:paraId="2199BE8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（六）着力打造低空飞行制造产业。</w:t>
      </w:r>
      <w:r>
        <w:rPr>
          <w:rFonts w:hint="eastAsia" w:ascii="Times New Roman" w:hAnsi="Times New Roman" w:eastAsia="方正仿宋简体"/>
          <w:sz w:val="32"/>
          <w:szCs w:val="32"/>
        </w:rPr>
        <w:t>聚焦eVTOL（电动垂直起降飞行器）、飞行汽车、通用航空器等飞行器整机制造，推动机身材料、关键零部件制造、装配、通导装备、飞控动力机载、飞行服务管理软件等关键环节，积极组织产业链上下游产需对接，加快构建以整机制造为核心的低空制造全产业链条。围绕低空飞行制造领域培育一批龙头企业、链主企业，壮大高新技术企业、专精特新企业等各类创新主体，对首次获得中国质量奖、中国质量奖提名奖、省政府质量奖组织奖、中国专利奖金奖、银奖、优秀奖、河北省专利奖一等奖、二等奖、三等奖和优秀奖的企业和单位，配合相关企业积极争取省级低空制造业补助资金。（责任单位：市工业和信息化局、市发展改革委、市科技局、市财政局）</w:t>
      </w:r>
    </w:p>
    <w:p w14:paraId="0D12B77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（七）发展教育培训和低空服务业。</w:t>
      </w:r>
      <w:r>
        <w:rPr>
          <w:rFonts w:hint="eastAsia" w:ascii="Times New Roman" w:hAnsi="Times New Roman" w:eastAsia="方正仿宋简体"/>
          <w:sz w:val="32"/>
          <w:szCs w:val="32"/>
        </w:rPr>
        <w:t>鼓励民办机构积极开展通用航空器驾驶员、维修技术员和无人机操控员、装调检修工等低空经济领域相关工种培训。支持企业、院校和社会培训评价组织申请备案低空飞行行业职业工种认定，并开展相应等级认定工作。推动打造泛低空产品交付体验中心、低空运营平台，对接低空领域专业数据运营机构，开放沧州全域低空飞行脱敏数据，推动数据挖掘、产品开发。（责任单位：市人力资源社会保障局、市数据局、市教育局）</w:t>
      </w:r>
    </w:p>
    <w:p w14:paraId="6AF8D77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（八）加快招引落地一批示范项目。</w:t>
      </w:r>
      <w:r>
        <w:rPr>
          <w:rFonts w:hint="eastAsia" w:ascii="Times New Roman" w:hAnsi="Times New Roman" w:eastAsia="方正仿宋简体"/>
          <w:sz w:val="32"/>
          <w:szCs w:val="32"/>
        </w:rPr>
        <w:t>鼓励本地龙头企业、行业协会商会充分发挥招商效能，依托国内外会展活动，瞄准低空经济产业链链上企业招引目录，加大招商引资力度。支持国内具有重要影响力的低空飞行器生产制造企业、关键系统研制重点企业、低空人才教育培训机构、商业化场景应用企业和新型研发机构到我市落地，推动形成低空经济产业聚集效应和规模效应。（责任单位：市商务局、市招商投资促进中心）</w:t>
      </w:r>
    </w:p>
    <w:p w14:paraId="006D4885">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三、完善低空基础设施建设</w:t>
      </w:r>
    </w:p>
    <w:p w14:paraId="0F9EEC4B">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（九）加快飞行服务保障平台建设。</w:t>
      </w:r>
      <w:r>
        <w:rPr>
          <w:rFonts w:hint="eastAsia" w:ascii="Times New Roman" w:hAnsi="Times New Roman" w:eastAsia="方正仿宋简体"/>
          <w:sz w:val="32"/>
          <w:szCs w:val="32"/>
        </w:rPr>
        <w:t>打造具有飞行空域管理、飞行动态监视、飞行活动管理、历史飞行记录管理、应用场景管理等功能的低空经济线上服务与管理平台，推动实现低空飞行活动审批“一窗受理、一网通办、全域服务”，对平台建设和运营公司按其投入给予一定资助。支持市公安局、市交发集团等建设低空智联感知网、沧州无人机综合监管平台、无人机综合应用服务平台等。（责任单位：市公安局、市交通运输局、市交发集团）</w:t>
      </w:r>
    </w:p>
    <w:p w14:paraId="4A9910EF">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（十）加快低空地面基础设施建设。</w:t>
      </w:r>
      <w:r>
        <w:rPr>
          <w:rFonts w:hint="eastAsia" w:ascii="Times New Roman" w:hAnsi="Times New Roman" w:eastAsia="方正仿宋简体"/>
          <w:sz w:val="32"/>
          <w:szCs w:val="32"/>
        </w:rPr>
        <w:t>规划建设适应低空飞行器航线需要的无人机试飞场地、无人机起降平台、无人机自动值守机库、充换电站、中转站、eVTOL起降场、直升机起降平台、低空智联网、气象监测站、5G-A基站、北斗地基增强站、ADS-B地面站、高端微波通信装置、监视雷达等。支持有条件的港口码头、高速公路服务区和快递分拨中心参与低空基础设施建设改造。支持符合条件的项目申报地方政府专项债、超长期国债等政策性金融工具。（责任单位：市交通运输局、市海洋和港航局、市发展改革委、市财政局、市住房城乡建设局、市自然资源规划局、市通信办、市气象局、市交发集团）</w:t>
      </w:r>
    </w:p>
    <w:p w14:paraId="1F5BD573">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四、加大低空科技创新力度</w:t>
      </w:r>
    </w:p>
    <w:p w14:paraId="33924D6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（十一）支持关键核心技术研发。</w:t>
      </w:r>
      <w:r>
        <w:rPr>
          <w:rFonts w:hint="eastAsia" w:ascii="Times New Roman" w:hAnsi="Times New Roman" w:eastAsia="方正仿宋简体"/>
          <w:sz w:val="32"/>
          <w:szCs w:val="32"/>
        </w:rPr>
        <w:t>鼓励本市科研机构及企业聚焦低空领域关键材料、重大装备、飞行软件等开展关键技术攻关，积极承接国家、省重大科技攻关任务。支持龙头企业联合产业链上下游中小企业、高校、科研院所组建创新联合体，组织实施一批市重大科技项目。（责任单位：市科技局）</w:t>
      </w:r>
    </w:p>
    <w:p w14:paraId="2B90D648">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（十二）支持企业申请适航审定。</w:t>
      </w:r>
      <w:r>
        <w:rPr>
          <w:rFonts w:hint="eastAsia" w:ascii="Times New Roman" w:hAnsi="Times New Roman" w:eastAsia="方正仿宋简体"/>
          <w:sz w:val="32"/>
          <w:szCs w:val="32"/>
        </w:rPr>
        <w:t>对在我市获得中国民用航空局颁发的eVTOL（电动垂直起降飞行器）、飞行汽车、通用航空器型号合格证（TC）和生产许可证（PC）并在本市经营的低空经济企业按照获批型号分别给予一定奖励。（责任单位：市交通运输局、市财政局）</w:t>
      </w:r>
    </w:p>
    <w:p w14:paraId="673D167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（十三）支持企业创新能力提升。</w:t>
      </w:r>
      <w:r>
        <w:rPr>
          <w:rFonts w:hint="eastAsia" w:ascii="Times New Roman" w:hAnsi="Times New Roman" w:eastAsia="方正仿宋简体"/>
          <w:sz w:val="32"/>
          <w:szCs w:val="32"/>
        </w:rPr>
        <w:t>鼓励企业建设低空经济领域科技创新平台，对新认定省级以上重点实验室、企业技术中心、工程研究中心、技术创新中心、制造业创新中心、工业设计研究院等科技创新平台，严格落实国家和省相关奖励政策。鼓励各类园区、高等院校、研究开发机构、行业龙头企业依托优质科技创新资源建设低空经济科技成果转化中试基地。（责任单位：市科技局、市公安局、市发展改革委、市工业和信息化局、市财政局）</w:t>
      </w:r>
    </w:p>
    <w:p w14:paraId="3142D161">
      <w:pPr>
        <w:snapToGrid w:val="0"/>
        <w:spacing w:line="570" w:lineRule="exact"/>
        <w:ind w:firstLine="640" w:firstLineChars="200"/>
        <w:rPr>
          <w:rFonts w:hint="eastAsia" w:ascii="Times New Roman" w:hAnsi="Times New Roman" w:eastAsia="方正黑体简体"/>
          <w:sz w:val="32"/>
          <w:szCs w:val="32"/>
        </w:rPr>
      </w:pPr>
      <w:r>
        <w:rPr>
          <w:rFonts w:hint="eastAsia" w:ascii="Times New Roman" w:hAnsi="Times New Roman" w:eastAsia="方正黑体简体"/>
          <w:sz w:val="32"/>
          <w:szCs w:val="32"/>
        </w:rPr>
        <w:t>五、强化各类要素支撑保障</w:t>
      </w:r>
    </w:p>
    <w:p w14:paraId="7130CAD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（十四）加大低空人才招引力度。</w:t>
      </w:r>
      <w:r>
        <w:rPr>
          <w:rFonts w:hint="eastAsia" w:ascii="Times New Roman" w:hAnsi="Times New Roman" w:eastAsia="方正仿宋简体"/>
          <w:sz w:val="32"/>
          <w:szCs w:val="32"/>
        </w:rPr>
        <w:t>严格落实《沧州市狮城人才服务卡管理办法（试行）》《沧州市企业实用人才引育支持办法》等支持政策，鼓励本市有条件的高校、职业技术学校积极开设低空相关专业、培养和输送行业人才。积极探索为民办航空类高职院校引进高层次人才提供编制保障工作，支持专业院校留住专业人才。加大对国内外低空领域高端人才和团队引进力度，鼓励培育低空经济重点方向高级技工人才，落实组织企业开展产业人才专场招聘。（责任单位：市委组织部、市委编办、市人力资源社会保障局、市教育局、市科技局）</w:t>
      </w:r>
    </w:p>
    <w:p w14:paraId="4FC6C04F">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（十五）加大投融资支持力度。</w:t>
      </w:r>
      <w:r>
        <w:rPr>
          <w:rFonts w:hint="eastAsia" w:ascii="Times New Roman" w:hAnsi="Times New Roman" w:eastAsia="方正仿宋简体"/>
          <w:sz w:val="32"/>
          <w:szCs w:val="32"/>
        </w:rPr>
        <w:t>支持沧州市新兴产业发展母基金出资引导社会资本共建低空经济基金。鼓励金融机构创新金融产品服务，组织精准、高效、便捷的融资对接服务，提高间接融资效率。加大对低空经济项目的投资力度，引导国有资本和社会资本更多投向低空经济领域。（责任单位：国家金融监管总局沧州监管分局、市金控公司、市发展改革委、市财政局、市国资委）</w:t>
      </w:r>
    </w:p>
    <w:p w14:paraId="4ED6E2ED">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（十六）加强土地要素保障。</w:t>
      </w:r>
      <w:r>
        <w:rPr>
          <w:rFonts w:hint="eastAsia" w:ascii="Times New Roman" w:hAnsi="Times New Roman" w:eastAsia="方正仿宋简体"/>
          <w:sz w:val="32"/>
          <w:szCs w:val="32"/>
        </w:rPr>
        <w:t>坚持规划引领，将低空经济涉及的机场设施、空管设施、低空新基建等项目用地纳入国土空间规划。支持符合条件的机场设施等单独选址项目积极申请纳入国家重大项目或省政府重大项目用地清单，使用国家用地计划指标予以保障，支持土地新增指标集中向低空经济领域重点区域、重点产业、重点项目倾斜。（责任单位：市自然资源规划局、市发展改革委）</w:t>
      </w:r>
    </w:p>
    <w:p w14:paraId="7194EC0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（十七）鼓励开展参与标准规章制订。</w:t>
      </w:r>
      <w:r>
        <w:rPr>
          <w:rFonts w:hint="eastAsia" w:ascii="Times New Roman" w:hAnsi="Times New Roman" w:eastAsia="方正仿宋简体"/>
          <w:sz w:val="32"/>
          <w:szCs w:val="32"/>
        </w:rPr>
        <w:t>鼓励本市低空经济企业或机构牵头或参与起草低空空域管理、低空运营管理、低空服务保障管理等方面的国际标准、国家标准、行业标准、地方标准和行业规章。对于主持国际标准国家标准行业标准制修订且已经正式批准发布的，积极争取省级标准化资助专项资金。（责任单位：市市场监管局、市交通运输局）</w:t>
      </w:r>
    </w:p>
    <w:p w14:paraId="6DB1E76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楷体简体"/>
          <w:b/>
          <w:bCs/>
          <w:sz w:val="32"/>
          <w:szCs w:val="32"/>
        </w:rPr>
        <w:t>（十八）鼓励开发低空经济保险产品。</w:t>
      </w:r>
      <w:r>
        <w:rPr>
          <w:rFonts w:hint="eastAsia" w:ascii="Times New Roman" w:hAnsi="Times New Roman" w:eastAsia="方正仿宋简体"/>
          <w:sz w:val="32"/>
          <w:szCs w:val="32"/>
        </w:rPr>
        <w:t>支持保险机构开发适用于低空航空器以及运载标的的专门险种，建立低空保险快速理赔服务绿色通道。鼓励有关企业、社会组织联合设立低空安全保障基金，因低空飞行器遭受人身、财产损失不能及时赔付的，由低空安全保障基金预先支付保障。（责任单位：国家金融监管总局沧州监管分局）</w:t>
      </w:r>
    </w:p>
    <w:p w14:paraId="130CFB23">
      <w:pPr>
        <w:snapToGrid w:val="0"/>
        <w:spacing w:line="57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本措施所称低空经济为以低空空域（垂直范围1000米以下、根据实际需要延伸至不超过3000米）为依托，以通用航空产业为基础，以无人机产业为主导，以低空飞行作业、低空服务保障、通用航空服务等多场景低空飞行活动为动力，辐射并推动生产制造、基建工程、数字化服务等相关产业融合发展的综合经济形态。</w:t>
      </w:r>
    </w:p>
    <w:p w14:paraId="272F33E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措施所称低空经济相关企业，是指具有独立法人资格，主营业务为通用航空、无人驾驶航空器整机及零部件制造、低空飞行、运营及保障等低空经济产业链条相关企业。所称小型、中型、大型无人驾驶航空器等概念与《无人驾驶航空器飞行管理暂行条例》保持一致。同一类型县（市、区）均有奖励措施并已享受政策的不重复奖励。</w:t>
      </w:r>
    </w:p>
    <w:p w14:paraId="14637230">
      <w:pPr>
        <w:snapToGrid w:val="0"/>
        <w:spacing w:line="57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本措施自印发之日起施行，有效期至2026年12月31日。</w:t>
      </w:r>
    </w:p>
    <w:p w14:paraId="05FB2477">
      <w:pPr>
        <w:snapToGrid w:val="0"/>
        <w:spacing w:line="570" w:lineRule="exact"/>
        <w:ind w:firstLine="640" w:firstLineChars="200"/>
        <w:rPr>
          <w:rFonts w:ascii="Times New Roman" w:hAnsi="Times New Roman" w:eastAsia="方正仿宋简体"/>
          <w:sz w:val="32"/>
          <w:szCs w:val="32"/>
        </w:rPr>
      </w:pPr>
    </w:p>
    <w:p w14:paraId="10C25580">
      <w:pPr>
        <w:snapToGrid w:val="0"/>
        <w:spacing w:line="570" w:lineRule="exact"/>
        <w:ind w:firstLine="640" w:firstLineChars="200"/>
        <w:rPr>
          <w:rFonts w:ascii="Times New Roman" w:hAnsi="Times New Roman" w:eastAsia="方正仿宋简体"/>
          <w:sz w:val="32"/>
          <w:szCs w:val="32"/>
        </w:rPr>
      </w:pPr>
    </w:p>
    <w:p w14:paraId="75442C49">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关于进一步加强招商引资的工作机制</w:t>
      </w:r>
    </w:p>
    <w:p w14:paraId="3FFC9F6E">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为进一步提升区域招商工作效率，增强招商活力，加快产业集聚，推动经济发展，破解当前产业大项目少，产出效益不明显，产业项目落地难、落地慢等突出问题，形成区级统筹、部门联动、属地为主的工作机制，具体如下：</w:t>
      </w:r>
    </w:p>
    <w:p w14:paraId="749E6332">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一、进一步落实招商重点专项工作体系</w:t>
      </w:r>
    </w:p>
    <w:p w14:paraId="3F01B28C">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进一步发挥“1+1+3+4+10+N”招商工作架构作用。即1个领导小组、1个牵头部门、3个驻外招商服务中心、4个主力园区、10个街道、各行业主管部门和重点经济部门。</w:t>
      </w:r>
    </w:p>
    <w:p w14:paraId="0BAD9DC8">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工作领导小组。由区委、区政府主要负责同志任组长，区级相关负责同志任副组长，领导小组办公室设在投资促进局。</w:t>
      </w:r>
    </w:p>
    <w:p w14:paraId="646D70FE">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投资促进局。牵头全区招商引资整体工作，全面贯彻落实市委、市政府决策部署和区委、区政府有关要求，研究制定我区投资促进重点工作任务，协调推进重点项目，解决投资促进中的重要问题。牵头新项目信息挖掘、洽谈、签约等环节，及时跟进各园区和驻外招商服务中心的招商工作进度，分析、研判、解决工作难题。负责制定招商考核标准和评价机制，对接行业协会、商会等渠道，组织赴外招商、考察，统筹全区招商干部培训等工作。</w:t>
      </w:r>
    </w:p>
    <w:p w14:paraId="10F60C58">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3个驻外招商服务中心。深入研究驻地产业发展情况、营商环境、招商政策等信息。组织开展招商推介会、洽谈会等活动，多平台宣传推介我区。强化与驻地经济部门、商协会、校友会等的联系，掌握第一手项目信息。</w:t>
      </w:r>
    </w:p>
    <w:p w14:paraId="73C3062D">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4个主力园区和10个街道。统筹属地招商引资谋划、洽谈、落地、推动、服务等工作。按照《东丽区工业布局规划（2022—2035年）》和《东丽区现代服务业“十四五”发展规划》的规划定位，围绕东丽区制造业、服务业“6+1”条产业链，聚焦主导产业方向，立足资源禀赋，结合发展实际，开展产业链招商。其中：</w:t>
      </w:r>
    </w:p>
    <w:p w14:paraId="3FFB9B40">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（1）新一代汽车（智能网联）和新能源：</w:t>
      </w:r>
    </w:p>
    <w:p w14:paraId="54F0FEDF">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聚焦智能网联汽车系统集成、新能源汽车关键零部件和传统燃油车核心零部件制造等细分领域，引进电子电控、电机、动力电池、控制系统、智能驾驶舱等领域企业。（责任单位：东丽经开区、金桥街）</w:t>
      </w:r>
    </w:p>
    <w:p w14:paraId="76DCEE77">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（2）生物医药：</w:t>
      </w:r>
    </w:p>
    <w:p w14:paraId="2A83A91F">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围绕医疗器械、体外诊断、检验检测、智慧医疗服务、智慧医疗大数据等细分领域，引进自动化制备、医疗装备、器件高值耗材、检测设备（PCR、POCT等）、检测试剂等生产型企业；聚集病理诊断、基因检测、数据分析等，引进医疗影像设备、可穿戴设备、核医学设备、干细胞应用等优质项目。（责任单位：华明高新区、东丽经开区、金桥街、金钟街）</w:t>
      </w:r>
    </w:p>
    <w:p w14:paraId="04F5C161">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（3）高端装备制造：</w:t>
      </w:r>
    </w:p>
    <w:p w14:paraId="6F3B6D53">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围绕轨道交通装备领域，引进成套装备、系统控制、精密仪表、智能监测等轨道交通关键系统部件和基础零部件企业；围绕电力控制系统、电力互感器、储能装备、电网监测等领域，引进电机、电控系统、车联网等配套企业；围绕工业机器人等，重点发展智能装备、高端关键零部件制造等领域；重点发展绿色装备制造、智能科技等领域。（责任单位：华明高新区、东丽经开区、东丽湖街、金桥街）</w:t>
      </w:r>
    </w:p>
    <w:p w14:paraId="63245ECB">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（4）航空航天：</w:t>
      </w:r>
    </w:p>
    <w:p w14:paraId="60BD5279">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重点发展以航空航天核心部件制造、航空新材料等为代表的航空研发制造产业；重点发展以运营物流、总部服务为代表的临空产业；重点发展以数字经济、供应链平台、信息服务为代表的智慧产业；重点发展以跨境电商、网络平台、现代物流、高端商贸为代表的现代服务业；依托金桥工业园，引进航天精工、中辰智能设备等重点企业的上下游配套企业。（责任单位：临空经济区、金桥街）</w:t>
      </w:r>
    </w:p>
    <w:p w14:paraId="59EEE5C2">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（5）新材料：</w:t>
      </w:r>
    </w:p>
    <w:p w14:paraId="2427523A">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聚焦先进焊接材料、高温合金材料、先进钢铁材料、高端装备用特种合金材料等新材料领域，引进高端金属材料、高性能纤维及复合材料、石墨烯、超导等前沿材料产业化项目；聚焦航空航天复合材料、稀土功能材料、国防军工材料、医疗金属材料等前沿新兴材料细分领域，引进包钢稀土、爱思达等龙头企业相关配套企业；聚焦钢铁、冶金类产业绿色化、智能化、数字化升级改造，引进下游相关配套企业。（责任单位：东丽经开区、华明高新区、无瑕街）</w:t>
      </w:r>
    </w:p>
    <w:p w14:paraId="33A75D56">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（6）轻工：</w:t>
      </w:r>
    </w:p>
    <w:p w14:paraId="0CC3A0CA">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围绕自行车等传统企业的绿色化、智能化改造，引进数字经济类项目；重点发展农产品冷链物流仓储产业，引进陆港冷链云仓类项目。（责任单位：东丽经开区、华明高新区、军粮城街）</w:t>
      </w:r>
    </w:p>
    <w:p w14:paraId="6DFED155">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（7）高端服务业：</w:t>
      </w:r>
    </w:p>
    <w:p w14:paraId="6A90C467">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聚焦数字经济领域，重点发展呼叫服务外包（ITO）、医药研发外包（CRO）、直播经济、金融服务、现代物流、新一代信息技术、数字创意等生产性服务业；重点发展高端商贸、文化旅游、智慧康养、现代医疗、职教培训、农业观光等生活性服务业；围绕“设计之都核心区”建设，重点发展企业总部、文创设计、数字医疗、科技金融、高端商业等领域。（责任单位：东丽湖街、万新街、华明街、金钟街）</w:t>
      </w:r>
    </w:p>
    <w:p w14:paraId="26E3437A">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N个职能部门。工信局、商务局等行业主管部门牵头本领域项目信息挖掘，协助投资促进局开展项目洽谈、评审等工作；发改委、统计局等重点经济部门牵头推动各街道园区重点项目的拿地、开工、建设、运营和升规纳统等工作。</w:t>
      </w:r>
    </w:p>
    <w:p w14:paraId="599842C7">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二、进一步强化招商重点专项工作机制</w:t>
      </w:r>
    </w:p>
    <w:p w14:paraId="4EEAF8C0">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（一）招商考核评价机制</w:t>
      </w:r>
    </w:p>
    <w:p w14:paraId="17756C9A">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聚焦高质量发展目标，立足东丽区情和产业定位，科学制定考核评价指标、评价标准、评价范围，明确责任部门及分工，搭建具有导向性、指引性、激励性的绩效考评体系，调动各街道园区、各相关部门招商引资工作积极性，吸引更多符合我区产业定位的高质量项目落户东丽。</w:t>
      </w:r>
    </w:p>
    <w:p w14:paraId="2A57A3A4">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投资促进局、各行业主管部门和相关职能部门、各街道园区</w:t>
      </w:r>
    </w:p>
    <w:p w14:paraId="5DD23ED6">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投资促进局牵头招商引资工作各项指标和工作成效的考核工作，出台招商引资绩效考核办法，明确目标，细化举措，科学赋分、多维考核，梳理各街道园区存量资源，依据不同资源分配任务，按阶段推动落实。通过招商例会制度，定期通报各街道园区招商指标完成情况，推动各街道园区高质量完成各项招商引资任务；依托高质量招商引资专项考核，深化对行业主管部门和重点经济部门等相关部门的绩效考核，推动有关职能部门做好招商服务工作；注重龙头企业的产业带动作用，加大500强、央企、总部企业、上市公司等投资规模大、产出效益好的高质量项目考核比重，形成优势产业集聚发展新局面。</w:t>
      </w:r>
    </w:p>
    <w:p w14:paraId="4624D163">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各街道园区压实属地责任，立足资源禀赋，最大化发挥各自招商优势，紧盯产业项目到位额、优质项目等重要招商指标完成情况，多措并举提升招商引资质量效益。工信局、商务局、发改委等各行业主管部门和重点经济部门等相关职能部门，落实行业、部门责任，主动靠前服务项目落地、开工、建设、运营等各环节。</w:t>
      </w:r>
    </w:p>
    <w:p w14:paraId="2E0B60CD">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（二）招商项目评审机制</w:t>
      </w:r>
    </w:p>
    <w:p w14:paraId="741C0F87">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对用地、入驻区属厂房、入驻区属办公楼宇的招商项目，通过前期评审的方式，确保项目符合国家法律法规、国民经济和社会发展规划，符合东丽区城市发展定位、产业发展规划以及土地利用规划等，符合安全环保等相关要求，符合投资强度、税收贡献等相关要求。</w:t>
      </w:r>
    </w:p>
    <w:p w14:paraId="74C3039D">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评审工作组（由分管经济运行工作的区领导、分管规划建设工作的区领导、分管外资商贸工作的区领导、分管招商引资工作的区领导和政府办、发改委、投资促进局、政务服务办、工信局、商务局、科技局、财政局、生态环境局、统计局、规资分局、应急管理局等部门组成，评审工作组办公室设在投资促进局）</w:t>
      </w:r>
    </w:p>
    <w:p w14:paraId="2801FFD2">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评审工作组按照《东丽区招商引资项目评审制度方案》流程，根据国家、天津市、东丽区的相关法律、法规、政策文件以及相关街道、园区提交的项目计划书和拟定的投资协议等材料对项目进行评审。评审通过的项目，由评审工作组办公室形成评审会议纪要报区政府备案。同时，将项目纳入区发改委的重点项目推动平台系统，确保项目引入、项目落地推动等环节无缝衔接。其他各有关部门在相关行政许可规定的时间内办理相关手续；评审未予通过的项目，由项目所在街道、园区终止项目或按照评审会意见与项目方再进行沟通洽谈。</w:t>
      </w:r>
    </w:p>
    <w:p w14:paraId="30EFEB02">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（三）招商引资要素保障机制</w:t>
      </w:r>
    </w:p>
    <w:p w14:paraId="17374551">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制定出台针对我区不同产业领域的差异化专项支持政策，丰富招商引资政策“工具箱”，提升招商政策吸引力；服务有用地或大面积载体需求的项目实现快速拿地、快速租赁，确保重大招商项目按时顺利落地、开工、建设、达产。</w:t>
      </w:r>
    </w:p>
    <w:p w14:paraId="55672AA0">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发改委、财政局、投资促进局、规资分局、城市化办、工信局、商务局、各街道园区等。</w:t>
      </w:r>
    </w:p>
    <w:p w14:paraId="59F7A5B5">
      <w:pPr>
        <w:snapToGrid w:val="0"/>
        <w:spacing w:line="570" w:lineRule="exact"/>
        <w:ind w:firstLine="643" w:firstLineChars="200"/>
        <w:jc w:val="left"/>
        <w:rPr>
          <w:rFonts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发改委等部门深入做好产业研究，加强产业分析，聚焦产业布局和发展现状，研究制定符合我区发展实际的差异化专项支持政策，在挂牌拿地、企业投资、载体租赁等方面给予政策支持，形成“一个产业一项政策”。</w:t>
      </w:r>
    </w:p>
    <w:p w14:paraId="1F9250F2">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发改委牵头规资分局、城市化办等职能部门，调度项目用地出让计划、整理时序、挂牌、出让等环节，跟进重大项目的征拆拿地、载体配套进程，重点对区内批而未供的建设用地进行梳理，制定年度存量用地盘活计划，明确规划并完善基础设施，尽快整合出成熟地块，打造项目落地先决条件。</w:t>
      </w:r>
    </w:p>
    <w:p w14:paraId="747460F0">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工信局、商务局分别协助街道园区及时跟进工业项目、商业和服务业项目动态，推动重点项目完成摘地、土地整理、载体承租等工作，尽快实现开工、建设、运营。</w:t>
      </w:r>
    </w:p>
    <w:p w14:paraId="6442D55C">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发改委和投资促进局共同牵头各街道园区开展全区可用于承接招商项目的厂房、楼宇类载体的梳理，摸清底数，登记造册，加大与街道园区的联动，及时推送合适项目信息，协助街道园区为重大项目匹配适配载体，推动项目落地和后续运营。</w:t>
      </w:r>
    </w:p>
    <w:p w14:paraId="181B61C9">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（四）招商项目信息统筹流转机制</w:t>
      </w:r>
    </w:p>
    <w:p w14:paraId="3410C18C">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加强全区招商项目统筹，构建全区上下“一盘棋”的大招商格局，打破各街道园区招商项目挖掘的区域界限，避免无序竞争，引导招商项目在市、区范围内合理流转，实现招商资源优化配置和招商成果共享。</w:t>
      </w:r>
    </w:p>
    <w:p w14:paraId="36B4F200">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发改委、工信局、商务局、财政局、投资促进局、各街道园区等</w:t>
      </w:r>
    </w:p>
    <w:p w14:paraId="21865289">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各街道园区洽谈对接的项目信息，如因产业规划、承载条件等原因不适合在属地投资建设的，应第一时间将项目信息备案至投资促进局，投资促进局结合项目情况匹配其他适合街道园区推进。在项目落地后，针对相关街道园区在项目推动中的参与贡献情况，由发改委、投资促进局会同各相关部门，与相关街道园区确定固投、产值、税收、批零额、内资等指标认定分配比例，鼓励项目在全区范围内有序流转。针对区内无法承接的高质量项目，由投资促进局牵头对接市投资促进局，在全市其他范围选址。</w:t>
      </w:r>
    </w:p>
    <w:p w14:paraId="212C327C">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（五）项目全生命周期管理与服务机制</w:t>
      </w:r>
    </w:p>
    <w:p w14:paraId="59FC21A2">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建立项目招引、评审、推动、落地、入库、升规纳统的全生命周期管理机制，推动项目及时完成固投入库、升规纳统，形成投资实物工作量；搭建“可视化”信息管理平台，及时准确掌握招商项目进展情况，实现项目全周期各阶段可看、可查、可管、可控。</w:t>
      </w:r>
    </w:p>
    <w:p w14:paraId="5367D162">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投资促进局、发改委、工信局、商务局、统计局、政务服务办、各街道园区等</w:t>
      </w:r>
    </w:p>
    <w:p w14:paraId="1FA2080F">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投资促进局负责日常维护“东丽区招商引资项目管理平台”，指导各街道园区和相关职能部门及时收集、录入全区新挖掘项目信息，定期更新在库项目最新动态。每月梳理已签约、已落地项目，并将重大项目（投资额5000万元以上）和有固投入库潜力的项目推送至发改委，工业项目推送至工信局，商业、服务业和外资项目推送至商务局。</w:t>
      </w:r>
    </w:p>
    <w:p w14:paraId="4D1BC509">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政务服务办牵头项目开工、建设的备案立项工作，优化流程、加快审批，备案信息共享至发改委。</w:t>
      </w:r>
    </w:p>
    <w:p w14:paraId="1A731D70">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发改委依托“天津市重大项目智慧管理平台”，及时收集、录入全区新增重大项目信息，定期更新在库项目的推动情况。定期推送固投备案表等企业投资备案信息至属地街道园区，推动完成固投入库等相关工作。</w:t>
      </w:r>
    </w:p>
    <w:p w14:paraId="7E9531D8">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统计局依托“国家统计联网直报平台”，指导各街道园区及时完成辖区内符合标准企业的固投入库和升规纳统，定期审核街道园区报送的相关材料，推动完成固投入库、新开业（投产）企业和“四上企业”的升规纳统工作。</w:t>
      </w:r>
    </w:p>
    <w:p w14:paraId="4F78F5ED">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工信局、商务局分别协助街道园区跟进工业项目的投产运营情况和商业、服务业项目经营情况，推动尽快完成投资入库和企业升规纳统，形成投资实物工作量。</w:t>
      </w:r>
    </w:p>
    <w:p w14:paraId="7E9BA6F4">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各街道园区安排专人负责招商项目全生命周期跟踪服务。及时将辖区内新挖掘项目信息收集、录入“东丽区招商引资项目管理平台”，及时更新项目最新进展；及时将辖区内新增重大项目信息推送至发改委，保持与发改委的信息共享与联动，及时更新项目推动情况；定期摸排属地企业，监测属地企业产值和营收状况，及时将辖区内符合固投入库和升规纳统标准的企业的相关信息报送至统计局。</w:t>
      </w:r>
    </w:p>
    <w:p w14:paraId="21B20F79">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（六）招商引资干部队伍建设保障机制</w:t>
      </w:r>
    </w:p>
    <w:p w14:paraId="359E4B63">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1、工作目标：</w:t>
      </w:r>
      <w:r>
        <w:rPr>
          <w:rFonts w:hint="eastAsia" w:ascii="Times New Roman" w:hAnsi="Times New Roman" w:eastAsia="方正仿宋简体"/>
          <w:sz w:val="32"/>
          <w:szCs w:val="32"/>
        </w:rPr>
        <w:t>健全招商引资干部队伍保障体系，强化队伍建设，提升招商干部工作的积极性、稳定性、专业性。</w:t>
      </w:r>
    </w:p>
    <w:p w14:paraId="0782521F">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2、相关单位：</w:t>
      </w:r>
      <w:r>
        <w:rPr>
          <w:rFonts w:hint="eastAsia" w:ascii="Times New Roman" w:hAnsi="Times New Roman" w:eastAsia="方正仿宋简体"/>
          <w:sz w:val="32"/>
          <w:szCs w:val="32"/>
        </w:rPr>
        <w:t>组织部、人社局、财政局、投资促进局、各街道园区等</w:t>
      </w:r>
    </w:p>
    <w:p w14:paraId="2977B654">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3、主要职责：</w:t>
      </w:r>
      <w:r>
        <w:rPr>
          <w:rFonts w:hint="eastAsia" w:ascii="Times New Roman" w:hAnsi="Times New Roman" w:eastAsia="方正仿宋简体"/>
          <w:sz w:val="32"/>
          <w:szCs w:val="32"/>
        </w:rPr>
        <w:t>组织部、人社局、财政局等研究出台招商干部服务保障机制，确保招商干部专人专用，保证招商干部队伍人员稳定性。形成有效激励机制，将招商引资工作成效与绩效考核等挂钩，对招商工作中表现突出、贡献较大的集体或者干部，在考核评优及干部的提拔任用中优先考虑，充分调动招商干部积极性。</w:t>
      </w:r>
    </w:p>
    <w:p w14:paraId="23B59629">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投资促进局负责全区招商干部的业务培训工作。通过线上课程培训、线下专题讲座、经验交流分享会等方式，定期开展业务培训，创新形式，精选内容，推广经验，补足短板，不断强化招商干部队伍人员的专业素质。每年组织“选树招商工作先进典型”活动，评选招商领域先进集体和先进个人，在年终考核中对所在单位给予适度加分，打造一支爱招商、懂招商、会招商、招成商的专业化干部队伍。</w:t>
      </w:r>
    </w:p>
    <w:p w14:paraId="53B711DB">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各街道园区组织人事部门要严格落实相关要求，安排专人专岗负责招商引资工作，保证招商队伍人员的稳定性；开展招商干部考核评价工作，对招商工作中表现突出的团队和个人，做好年度评优推荐；组织招商干部参加投资促进局举办的各类招商业务培训活动，定期举行单位内部招商业务培训和经验分享，提升招商干部专业素养和业务能力。</w:t>
      </w:r>
    </w:p>
    <w:p w14:paraId="18664BD2">
      <w:pPr>
        <w:snapToGrid w:val="0"/>
        <w:spacing w:line="570" w:lineRule="exact"/>
        <w:ind w:firstLine="640" w:firstLineChars="200"/>
        <w:jc w:val="left"/>
        <w:rPr>
          <w:rFonts w:ascii="Times New Roman" w:hAnsi="Times New Roman" w:eastAsia="方正仿宋简体"/>
          <w:sz w:val="32"/>
          <w:szCs w:val="32"/>
        </w:rPr>
      </w:pPr>
    </w:p>
    <w:p w14:paraId="31BD0727">
      <w:pPr>
        <w:snapToGrid w:val="0"/>
        <w:spacing w:line="570" w:lineRule="exact"/>
        <w:ind w:firstLine="640" w:firstLineChars="200"/>
        <w:jc w:val="left"/>
        <w:rPr>
          <w:rFonts w:ascii="Times New Roman" w:hAnsi="Times New Roman" w:eastAsia="方正仿宋简体"/>
          <w:sz w:val="32"/>
          <w:szCs w:val="32"/>
        </w:rPr>
      </w:pPr>
    </w:p>
    <w:p w14:paraId="47C8BE57">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关于加强文旅深度融合推动旅游业高质量发展的实施方案</w:t>
      </w:r>
    </w:p>
    <w:p w14:paraId="5E621817">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为深入贯彻习近平文化思想，认真落实习近平总书记关于旅游发展的重要论述和视察天津重要讲话精神，促进文化和旅游深度融合，推动旅游业高质量发展，制定本实施方案。</w:t>
      </w:r>
    </w:p>
    <w:p w14:paraId="3E6EAF26">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一、工作目标</w:t>
      </w:r>
    </w:p>
    <w:p w14:paraId="6A8F58A2">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坚持以文塑旅、以旅彰文，加强文化和旅游业态融合、产品融合、市场融合、服务融合，统筹政府与市场、供给与需求、保护与开发、国内与国际、发展与安全，大力发展人民满意、人民受益的旅游，着力完善现代旅游业体系，进一步提升旅游产品品质和服务质量，带动消费提质增效，加快建设特色鲜明的文化旅游目的地、国际消费中心城市。到2027年，全市接待游客数量达到3.2亿人次，旅游及相关产业增加值占全市地区生产总值比重力争达到4%，都市型、体验式、年轻态、人文韵的城市旅游发展取得明显成效；到2029年，旅游业作为战略性支柱产业和具有显著时代特征的民生产业、幸福产业的地位更加突出，在推动高质量发展中发挥更为重要的作用。</w:t>
      </w:r>
    </w:p>
    <w:p w14:paraId="706BFC80">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二、构建文旅发展新格局</w:t>
      </w:r>
    </w:p>
    <w:p w14:paraId="27168D07">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（一）实施京津冀文旅协同发展共建共赢行动。</w:t>
      </w:r>
    </w:p>
    <w:p w14:paraId="06794F71">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完善京津冀文旅协同发展工作机制，推进跨行政区域文旅资源整合利用，推动三地互动推广、互为市场、互送客源，合力建设京津冀旅游示范区。共同开发“轻旅游”“微度假”型自驾游、周末游产品，实施一体化文旅惠民服务，面向国内重点地区联合开展文旅宣传推介。完善信息互通、资源共享、监管联动、服务协同四位一体的文旅市场信用监管体系，促进京津冀文旅市场规范有序健康发展。</w:t>
      </w:r>
    </w:p>
    <w:p w14:paraId="65A93D88">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（二）实施新一轮高水平旅游规划引领行动。</w:t>
      </w:r>
    </w:p>
    <w:p w14:paraId="395162A3">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高标准编制“十五五”天津旅游业发展规划，构建“一核一带两园三区八组团”旅游发展空间布局，完善中心城区都市旅游核心区功能，提升海河文化旅游观光带品质，推进长城、大运河国家文化公园（天津段）建设，打造滨海文化休闲度假区、绿色生态屏障旅游区、蓟州山野名胜区，培育东丽生态旅游欢乐度假、西青崇文尚武生态田园、津南绿色生态休闲旅游、北辰运动休闲度假、武清京津时尚文化体验、宝坻都市休闲农业、静海“体育＋康养”、宁河乡土文化与湿地游憩等特色主题旅游组团，整体打造“上山下海、漫游津城、一核两翼、多点开花”的文旅新格局。</w:t>
      </w:r>
    </w:p>
    <w:p w14:paraId="6C02598F">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（三）实施“文旅+”“+文旅”扩容行动。</w:t>
      </w:r>
    </w:p>
    <w:p w14:paraId="0AFD4FD2">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持续挖掘天津文旅商资源，打造“文旅+商贸”新业态，推进文旅场景与消费市场深度融合，丰富沉浸式休闲式消费新体验，进一步激发文旅消费活力和潜能。围绕“夜购津货”“夜品津味”“夜游津门”“夜赏津曲”“夜嗨津城”等主题，大力发展夜间经济，建设国家级夜间文化和旅游消费集聚区。推出“文旅+信用”消费模式，丰富“海河分”信用出行、信用旅游、信用餐饮等惠民场景，促进旅游消费扩容升级。围绕水上、山地、冰雪、康养等主题推出高品质旅游产品，将天津马拉松等赛事培育成为“跟着赛事去旅行”知名品牌。推进旅游风景道、森林步道、休闲健康步道建设，打造自驾游、房车游营地，开发低空游览航线、推出低空游览项目。鼓励开展大学校园游、科研科普游等研学旅游，开展“我和我求学的城市”“读万卷书行万里路”等系列活动。加快发展工业旅游，依托工业遗产和老旧厂房等存量资源，建设工业旅游示范基地、创意产业园区，打造天津特色工业旅游产品。</w:t>
      </w:r>
    </w:p>
    <w:p w14:paraId="76DB22A2">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（四）实施文旅优质资源整合提升行动。</w:t>
      </w:r>
    </w:p>
    <w:p w14:paraId="240C4319">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保护和利用好历史文化街区，挖掘重点片区特色资源，全面提升鼓楼—古文化街、意式风情区、解放北路金融历史文化区、文化中心片区、利顺德片区等街区品质，打造国家级旅游休闲街区。推动天津国家海洋博物馆、天津泰达航母主题公园、五大道文化旅游区、杨柳青古镇、黄崖关长城争创国家5A级旅游景区。依托杨柳青大运河国家文化公园建设，引育演艺、美食、民宿、夜市、灯光秀、非遗体验等精品业态，打造丰富多元的文化带、草绿河清的生态带、活力缤纷的旅游带。串联长城国家文化公园（天津段）周边特色文化资源，打造景观道路体系，构建长城文化旅游乡村产业集群。发挥平津战役纪念馆、周恩来邓颖超纪念馆等爱国主义教育基地作用，发展红色旅游。在保护基础上探索合理利用绿色生态屏障、自然保护区、风景名胜区和森林、湿地、地质公园等资源，适度有序开发生态旅游产品。</w:t>
      </w:r>
    </w:p>
    <w:p w14:paraId="0EC0C60E">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三、打造文旅供给新体系</w:t>
      </w:r>
    </w:p>
    <w:p w14:paraId="1A5A0C3E">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（五）实施文旅新场景创建行动。</w:t>
      </w:r>
    </w:p>
    <w:p w14:paraId="1F745158">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举办五大道海棠花节、解放北路旅拍节等活动，丰富沉浸式城市漫步场景。举办天津音乐节、戏剧节、相声节、相声春晚等演出活动，推出“‘桥’见海河·邂逅浪漫”—桥边音乐汇、潮白河四季欢乐旅游节、广东会馆互动戏剧等系列沉浸式活动。开发“演艺+餐饮”“演艺+零售”“演艺+沉浸体验”等多元文娱模式，发展演唱会经济。开发“水上巴士”，增加相声船、演艺船等特色功能性游船。利用城市公园、草坪广场等开放空间打造创意市集、露营休闲区。建设文物资源数字展厅，构建智慧旅游沉浸式新空间。</w:t>
      </w:r>
    </w:p>
    <w:p w14:paraId="398A6C94">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（六）实施津派文艺精品创作行动。</w:t>
      </w:r>
    </w:p>
    <w:p w14:paraId="3899B2C7">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创排、复排一批优秀传统剧目，提升城市文化魅力，推动增强旅游吸引力。支持各类艺术院团和文旅企业围绕“洋楼故事”等开展文艺创作，打造一批“津味”十足的特色文旅演艺项目。探索整合津派文艺精品创作引导扶持项目经费。鼓励艺术院校开展校企合作，开发特色演艺项目进景区、进街区、进商圈。</w:t>
      </w:r>
    </w:p>
    <w:p w14:paraId="0A02F3EE">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（七）实施非遗与旅游融合发展行动。</w:t>
      </w:r>
    </w:p>
    <w:p w14:paraId="23B7BAF0">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鼓励将非遗产品或相关元素融入景区、度假区、休闲街区、乡村旅游重点村镇等旅游空间，融入机场、高铁站、高速公路服务区等相关基础设施建设，因地制宜打造非遗展示体验中心。建立形象授权、限量复制、加盟制造、联名打造、委托代理等产品开发新模式，引导开发生产集功能性、艺术性、文化内涵于一体的非遗文创产品。</w:t>
      </w:r>
    </w:p>
    <w:p w14:paraId="59EABE68">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（八）实施旅游线路优化提升行动。</w:t>
      </w:r>
    </w:p>
    <w:p w14:paraId="5866FB3D">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围绕都市、海洋、山水、红色、乡村、会展、体育、生态、文博、工业、港口等主题，整合生态景观、历史文化遗产、纪念设施、工业遗址、创意产业园区、公共文化设施和商贸综合体等资源，打造“当日往返游”“周末串门儿游”“长假深度游”三大系列精品文化旅游线路。丰富文物主题游径，推出一批具有鲜明非遗特色的旅游线路。</w:t>
      </w:r>
    </w:p>
    <w:p w14:paraId="337CCC70">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四、培育文旅产业新动能</w:t>
      </w:r>
    </w:p>
    <w:p w14:paraId="1D08341A">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（九）实施文创产业赋能行动。</w:t>
      </w:r>
    </w:p>
    <w:p w14:paraId="40A84EBE">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支持基础条件较好的区争创国家文化产业和旅游产业融合发展示范区。谋划建设动漫游戏文旅主题街区，推出“动漫+文旅”“游戏+文旅”“电竞+文旅”项目，探索举办具有天津特色的动漫活动、动漫演出和大型电竞赛事。积极举办工艺美术展览、交流等活动。</w:t>
      </w:r>
    </w:p>
    <w:p w14:paraId="4E848C98">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（十）实施海洋旅游赋能行动。</w:t>
      </w:r>
    </w:p>
    <w:p w14:paraId="264F72AB">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突出亲海品海旅游特色，丰富拓展盐田游、渔业游、近海出海游、海洋生态游等海洋旅游产品。积极发展邮轮旅游，加快天津国际邮轮母港配套设施建设，丰富邮轮航线，拓展“在津游”市场，鼓励邮轮入境游，打造北方国际邮轮旅游中心。</w:t>
      </w:r>
    </w:p>
    <w:p w14:paraId="35599FC4">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（十一）实施“展会带动”赋能行动。</w:t>
      </w:r>
    </w:p>
    <w:p w14:paraId="63BE3420">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完善国家会展中心（天津）、梅江会展中心周边文旅服务功能，提升参会参展人群消费意愿。坚持市场化办展方向，办好中国文化旅游产业博览会，带动文旅产业链供需对接。做强海河文化旅游节、海河国际消费季、京津冀消费季等活动，延伸会展和节事活动经济链条。</w:t>
      </w:r>
    </w:p>
    <w:p w14:paraId="6BAD3272">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（十二）实施乡村振兴赋能行动。</w:t>
      </w:r>
    </w:p>
    <w:p w14:paraId="7B03B889">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推动农文旅融合发展，高质量完成乡村旅游提级工程，打造12个乡村旅游重点片区，推出12条乡村旅游精品线路。鼓励具有自然禀赋和文化资源特色优势的乡村因地制宜发展小而精、小而美的乡村旅游项目。办好盘山开山节、农民丰收节等一批标志性、代表性农文旅节庆活动，打造城市人群乡村旅游目的地和“周末消费”新模式，培育在京津冀地区叫得响、在全国具有影响力的乡村旅游品牌，示范带动全市乡村旅游业态、产业、效益提升。</w:t>
      </w:r>
    </w:p>
    <w:p w14:paraId="32F44F71">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五、夯实文旅基础新支撑</w:t>
      </w:r>
    </w:p>
    <w:p w14:paraId="098CBDE6">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（十三）开展主体培育和大项目引育行动。</w:t>
      </w:r>
    </w:p>
    <w:p w14:paraId="02C4C321">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大力争取高端酒店、主题公园、旅游装备制造企业落户天津，积极对接引进文旅头部企业在津投资建设或参与运营文旅项目。支持打造文旅龙头企业，推动有条件的文旅企业上市。围绕民宿、露营、文娱、文创等新业态，着力培育中小型文旅企业。坚持同等质量标准，依法支持旅游企业参与政府采购和服务外包。新建、改造13座海河游船码头，串联海河沿岸历史文化资源、近代建筑景观与河道景观，推出海河沿线重点片区水岸灯光秀和实景演出等，拓展提升海河文化旅游带。</w:t>
      </w:r>
    </w:p>
    <w:p w14:paraId="6276B6FA">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（十四）推进旅游服务共享共惠行动。</w:t>
      </w:r>
    </w:p>
    <w:p w14:paraId="3F6B7C3C">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合理布局建设游客服务中心、旅游厕所等文旅服务设施，构建“主客共享”的文旅公共服务体系。推进索道缆车、游乐设备、演艺设备等文旅设备迭代更新。完善旅游标识系统。开通中心城区至滨海新区、蓟州区的“城海”“城山”文旅直通车，开通“三站一场”至市内重点景区的文旅专线。推进航空旅游融合发展，推动增加航线、航次，提高航空出行便利性。</w:t>
      </w:r>
    </w:p>
    <w:p w14:paraId="76498A68">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（十五）开展旅游市场护航行动。</w:t>
      </w:r>
    </w:p>
    <w:p w14:paraId="1381843B">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深化文娱领域综合治理、旅游市场专项整治，建立健全旅游诚信体系和信用承诺制度，营造良好旅游市场秩序和消费环境。建立健全会商研判、信息通报、预警发布等文旅市场运行调度机制，健全文旅领域事故隐患自查整改常态化机制，守牢旅游安全底线。健全旅游统计制度，客观反映旅游产业发展态势。</w:t>
      </w:r>
    </w:p>
    <w:p w14:paraId="4775C722">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（十六）推进智慧旅游发展行动。</w:t>
      </w:r>
    </w:p>
    <w:p w14:paraId="5D6BFB96">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加强技术开发应用，推进文旅资源库、项目库、专家库和工作统筹联动网“三库一网”信息化平台及景区监控平台建设。培育智慧旅游产品业态，推动龙头企业规划建设文旅服务商务平台、开发旅游景区数字地图、推出“一键式”在线文旅服务项目。支持4A级及以上旅游景区、海河游船等提升智慧化服务水平。创新智慧旅游营销方式，提升营销效能。</w:t>
      </w:r>
    </w:p>
    <w:p w14:paraId="4E23CF6F">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六、塑造城市文旅品牌新形象</w:t>
      </w:r>
    </w:p>
    <w:p w14:paraId="4DF5452F">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（十七）实施城市文旅品牌创建行动。</w:t>
      </w:r>
    </w:p>
    <w:p w14:paraId="15988DAD">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突出天津城市文化特</w:t>
      </w:r>
      <w:r>
        <w:rPr>
          <w:rFonts w:hint="eastAsia" w:ascii="Times New Roman" w:hAnsi="Times New Roman" w:eastAsia="方正仿宋简体"/>
          <w:sz w:val="32"/>
          <w:szCs w:val="32"/>
        </w:rPr>
        <w:t>点和精神气质，深度挖掘山、海、河、楼等特色资源，围绕“近代中国看天津”等主题，打造既有历史厚重感又有人间烟火气的城市旅游整体品牌。培育一批津品老字号、津味美食、津彩哏都、津韵风貌等城市美食品牌、文艺品牌。打造“天津礼物”，推出“国潮系列”“津派系列”文旅纪念品、伴手礼，打造一批旅游文创产品品牌。</w:t>
      </w:r>
    </w:p>
    <w:p w14:paraId="519F63FE">
      <w:pPr>
        <w:snapToGrid w:val="0"/>
        <w:spacing w:line="570" w:lineRule="exact"/>
        <w:ind w:firstLine="643" w:firstLineChars="200"/>
        <w:jc w:val="left"/>
        <w:rPr>
          <w:rFonts w:ascii="Times New Roman" w:hAnsi="Times New Roman" w:eastAsia="方正楷体简体"/>
          <w:b/>
          <w:bCs/>
          <w:sz w:val="32"/>
          <w:szCs w:val="32"/>
        </w:rPr>
      </w:pPr>
      <w:r>
        <w:rPr>
          <w:rFonts w:hint="eastAsia" w:ascii="Times New Roman" w:hAnsi="Times New Roman" w:eastAsia="方正楷体简体"/>
          <w:b/>
          <w:bCs/>
          <w:sz w:val="32"/>
          <w:szCs w:val="32"/>
        </w:rPr>
        <w:t>（十八）实施“引客入津”城市营销行动。</w:t>
      </w:r>
    </w:p>
    <w:p w14:paraId="0D69B6DE">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综合运用主流媒体、自媒体、新媒体、海外媒体，加大文旅宣传力度，创作具有天津特色的“文旅+”视频、图文信息，开展线上线下互动，扩大城市文旅品牌辨识度和影响力。对接互联网头部企业，围绕“文旅四季”主题活动，联合开展旅游目的地营销推介。</w:t>
      </w:r>
    </w:p>
    <w:p w14:paraId="31413C07">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（十九）实施入境旅游促进行动。</w:t>
      </w:r>
    </w:p>
    <w:p w14:paraId="52EE112F">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拓展入境旅游市场，深化与港澳地区、共建“一带一路”国家和地区的旅游合作。实施“外事+文旅”新模式，走进外国驻华大使馆，用好夏季达沃斯论坛、世界智能产业博览会等资源，加强对外宣传推介，增强城市吸引力。加大对外国旅游团乘坐邮轮入境免签、过境免签、国际航行船舶船员登陆换班等政策宣传力度。建设智慧口岸试点，提升通关效率。完善入境游客支付“大额刷卡、小额扫码、现金兜底”服务配套，提升入境游客支付便利性。推动一批商户成为退税商店，丰富退税商店商品种类。</w:t>
      </w:r>
    </w:p>
    <w:p w14:paraId="6385315E">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（二十）开展文明旅游风尚点亮行动。</w:t>
      </w:r>
    </w:p>
    <w:p w14:paraId="5B377470">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严格行业标准和服务规范，加强从业人员礼仪、业务等培训，提升个性化、定制化、规范化服务能力。健全旅游投诉快速响应处置机制，构建“放心游天津”服务质量监管体系。培育特色文旅服务志愿者团队，推动景区、饭店、旅行社、文博场馆等提高文明服务意识和服务水平，更好推进文明旅游。</w:t>
      </w:r>
    </w:p>
    <w:p w14:paraId="0E8F28CB">
      <w:pPr>
        <w:snapToGrid w:val="0"/>
        <w:spacing w:line="570" w:lineRule="exact"/>
        <w:ind w:firstLine="640" w:firstLineChars="200"/>
        <w:jc w:val="left"/>
        <w:rPr>
          <w:rFonts w:ascii="Times New Roman" w:hAnsi="Times New Roman" w:eastAsia="方正仿宋简体"/>
          <w:sz w:val="32"/>
          <w:szCs w:val="32"/>
        </w:rPr>
      </w:pPr>
      <w:r>
        <w:rPr>
          <w:rFonts w:hint="eastAsia" w:ascii="Times New Roman" w:hAnsi="Times New Roman" w:eastAsia="方正仿宋简体"/>
          <w:sz w:val="32"/>
          <w:szCs w:val="32"/>
        </w:rPr>
        <w:t>各级党委和政府要加强组织领导，文化和旅游部门主抓，财政、金融、规划资源、商务等有关部门积极配合，形成市、区联动工作机制，合力推动保障各项任务落实，原则上不制定配套文件。</w:t>
      </w:r>
    </w:p>
    <w:p w14:paraId="0F577A57">
      <w:pPr>
        <w:snapToGrid w:val="0"/>
        <w:spacing w:line="570" w:lineRule="exact"/>
        <w:ind w:firstLine="640" w:firstLineChars="200"/>
        <w:jc w:val="left"/>
        <w:rPr>
          <w:rFonts w:ascii="Times New Roman" w:hAnsi="Times New Roman" w:eastAsia="方正仿宋简体"/>
          <w:sz w:val="32"/>
          <w:szCs w:val="32"/>
        </w:rPr>
      </w:pPr>
    </w:p>
    <w:p w14:paraId="081D438C">
      <w:pPr>
        <w:snapToGrid w:val="0"/>
        <w:spacing w:line="570" w:lineRule="exact"/>
        <w:ind w:firstLine="640" w:firstLineChars="200"/>
        <w:jc w:val="left"/>
        <w:rPr>
          <w:rFonts w:hint="eastAsia" w:ascii="Times New Roman" w:hAnsi="Times New Roman" w:eastAsia="方正仿宋简体"/>
          <w:sz w:val="32"/>
          <w:szCs w:val="32"/>
        </w:rPr>
      </w:pPr>
    </w:p>
    <w:p w14:paraId="49656401">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东丽区2024年招商引资提质攻坚行动方案</w:t>
      </w:r>
    </w:p>
    <w:p w14:paraId="73868065">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为进一步加大招商引资工作力度，提升招商引资质量和效益，在全区深入开展招商引资提质攻坚行动，推动招商引资工作再上新台阶，制定如下实施方案。</w:t>
      </w:r>
    </w:p>
    <w:p w14:paraId="48AF0A5C">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一、攻坚目标</w:t>
      </w:r>
    </w:p>
    <w:p w14:paraId="67AFB38F">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2024年，继续坚持把招商引资作为第一要事，聚焦主导产业，以盘活存量、培育增量、提升质量为抓手，进一步优化招商顶层设计、精准招商举措、集聚要素资源，充分调动各级招商工作力量，加快引进一批技术含量高、市场前景广、辐射带动性强的大项目、好项目。全年实现产业项目到位额80亿元，引进优质项目800个以上。以实体项目招商为重点，引入制造业实体项目20个以上、服务业实体项目30个以上，推动出让产业用地5宗以上。精准承接北京非首都功能疏解，引进京冀优质项目160个，引入央企投资项目10个以上。大力开展科技型项目招商，引进国高新、专精特新、科技领军企业投资项目20个以上。</w:t>
      </w:r>
    </w:p>
    <w:p w14:paraId="074CCB6D">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二、重点任务</w:t>
      </w:r>
    </w:p>
    <w:p w14:paraId="6FE51B6D">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（一）顶层设计提优</w:t>
      </w:r>
    </w:p>
    <w:p w14:paraId="1F1D9F02">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1、健全招商引资工作机制。</w:t>
      </w:r>
      <w:r>
        <w:rPr>
          <w:rFonts w:hint="eastAsia" w:ascii="Times New Roman" w:hAnsi="Times New Roman" w:eastAsia="方正仿宋简体"/>
          <w:sz w:val="32"/>
          <w:szCs w:val="32"/>
        </w:rPr>
        <w:t>进一步明确“1+1+3+4+10+N”招商工作架构中各层级、各单位招商职能，充分发挥各单位的招商积极性和主动性，全力构建全区上下“一盘棋”的大招商格局。围绕我区制造业、现代服务业提质升级，农商文旅体融合规划，临空经济培育壮大、产业园扩能提级等发展定位，以四大园区为招商主战场，各街道为招商分阵地，细化优化各区域招商主攻方向，形成差异化发展和优势资源共享的招商格局。（责任单位：投资促进局、各街道园区）</w:t>
      </w:r>
    </w:p>
    <w:p w14:paraId="04B099A8">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2、建立标准化招商工作体系。</w:t>
      </w:r>
      <w:r>
        <w:rPr>
          <w:rFonts w:hint="eastAsia" w:ascii="Times New Roman" w:hAnsi="Times New Roman" w:eastAsia="方正仿宋简体"/>
          <w:sz w:val="32"/>
          <w:szCs w:val="32"/>
        </w:rPr>
        <w:t>优化招商引资考核评价体系，结合市级指标考核认定标准和《中华人民共和国公司法》修改意见，做好招商考核统筹，从企业投资方类别、经营业务板块、是否实地经营、资本实缴额度、拟投资体量等多维度研判项目质量，建立更科学合理的考评体系。更新完善全区统一的宣传手册、推广视频、招商引资明白纸等宣传素材，搭建项目解决方案模板，形成标准化招商宣传模式。（责任单位：投资促进局、各街道园区）</w:t>
      </w:r>
    </w:p>
    <w:p w14:paraId="267867D0">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3、全方位提升企业投资服务。</w:t>
      </w:r>
      <w:r>
        <w:rPr>
          <w:rFonts w:hint="eastAsia" w:ascii="Times New Roman" w:hAnsi="Times New Roman" w:eastAsia="方正仿宋简体"/>
          <w:sz w:val="32"/>
          <w:szCs w:val="32"/>
        </w:rPr>
        <w:t>各街道园区做好重点项目专班专人跟进，围绕招商项目洽谈、推动、落地、投产、运营、发展各环节，用好“东丽区招商引资项目管理平台”和“重大项目智慧管理平台”，确保招商项目信息全流程管理和重大项目进程持续调度。明确各职能部门服务职能，做好各环节服务衔接，确保在谈项目推签约、签约项目促落地、落地项目助运营、运营项目跟效益，提高项目招商质效。（责任单位：发改委、工信局、商务局、统计局、投资促进局、政务服务办、各街道园区）</w:t>
      </w:r>
    </w:p>
    <w:p w14:paraId="16C8C84F">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（二）招商举措提效</w:t>
      </w:r>
    </w:p>
    <w:p w14:paraId="3D2775D8">
      <w:pPr>
        <w:snapToGrid w:val="0"/>
        <w:spacing w:line="570" w:lineRule="exact"/>
        <w:ind w:firstLine="640" w:firstLineChars="200"/>
        <w:jc w:val="left"/>
        <w:rPr>
          <w:rFonts w:ascii="Times New Roman" w:hAnsi="Times New Roman" w:eastAsia="方正仿宋简体"/>
          <w:sz w:val="32"/>
          <w:szCs w:val="32"/>
        </w:rPr>
      </w:pPr>
    </w:p>
    <w:p w14:paraId="3DD3022D">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1、继续深耕重点区域招商。</w:t>
      </w:r>
      <w:r>
        <w:rPr>
          <w:rFonts w:hint="eastAsia" w:ascii="Times New Roman" w:hAnsi="Times New Roman" w:eastAsia="方正仿宋简体"/>
          <w:sz w:val="32"/>
          <w:szCs w:val="32"/>
        </w:rPr>
        <w:t>以北京、长三角、粤港澳、成渝地区为重点，主动抢抓先进地区产业转移机遇，加大招商走访频率，挖掘项目信息，提高项目跟踪服务力度。用足用好市级产业对接会、产业洽谈会、各地区产业大会等平台机遇，组织东丽区招商推介活动。主动对接创新平台、孵化单位，将重点区域的科技创新资源赋能东丽区传统企业发展。紧抓与北京经开区签约合作机会，在新一代汽车技术、生物医药及医疗器械等领域密切联系、互通资源。与京津冀产业合作平台、专业运营商洽谈合作，以市场化合作方式批量导入项目，实现存量载体高效能利用及招商项目落地双目标。（责任单位：投资促进局、工信局、科技局、各街道园区）</w:t>
      </w:r>
    </w:p>
    <w:p w14:paraId="7BF6E0E4">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2、链接存量龙头企业招商。</w:t>
      </w:r>
      <w:r>
        <w:rPr>
          <w:rFonts w:hint="eastAsia" w:ascii="Times New Roman" w:hAnsi="Times New Roman" w:eastAsia="方正仿宋简体"/>
          <w:sz w:val="32"/>
          <w:szCs w:val="32"/>
        </w:rPr>
        <w:t>强化“服务好现有企业就是最大招商引资”理念，用好存量要素、争取增量资源。瞄准区内龙头链主企业，继续加强与中汽中心、国网、平高、爱思达、执信医疗、中车唐车等企业招商互动，同步对接中国通号、一重集团、天钢、天管等龙头企业，一对一联系服务，结合企业智能化改造、提质升级、行业合作、订单释放等需求，研究确定上下游目标配套企业名录，量身制定企业招商方案，开展补链延链强链招商，引导链上企业集聚，做大“龙身”。（责任单位：投资促进局、工信局、科技局、各街道园区）</w:t>
      </w:r>
    </w:p>
    <w:p w14:paraId="622BB689">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3、瞄准主导制造产业招商。</w:t>
      </w:r>
      <w:r>
        <w:rPr>
          <w:rFonts w:hint="eastAsia" w:ascii="Times New Roman" w:hAnsi="Times New Roman" w:eastAsia="方正仿宋简体"/>
          <w:sz w:val="32"/>
          <w:szCs w:val="32"/>
        </w:rPr>
        <w:t>围绕我区6条主导产业链，深入研究产业链集聚现状，明确产业链发展需求，细化招商图谱，延伸产业链条，着眼制造业高端化、智能化、绿色化发展方向，围绕高端装备、新材料、新一代汽车技术、生物医药和医疗器械等优势产业，紧盯国内外500强企业、上市公司、行业龙头企业、链主型企业等，明确产业招商重点，分析目标企业。全年引进制造业项目20个以上。（责任单位：工信局、投资促进局、各街道园区）</w:t>
      </w:r>
    </w:p>
    <w:p w14:paraId="02E58F67">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4、提质升级服务业项目招商。</w:t>
      </w:r>
      <w:r>
        <w:rPr>
          <w:rFonts w:hint="eastAsia" w:ascii="Times New Roman" w:hAnsi="Times New Roman" w:eastAsia="方正仿宋简体"/>
          <w:sz w:val="32"/>
          <w:szCs w:val="32"/>
        </w:rPr>
        <w:t>依托区内高标楼宇载体，培育发展总部经济、平台经济、流量经济；用好滨海国际机场优势，大力引进跨境电商、数字贸易、外贸综合服务龙头企业；发挥自然资源优势，引入新型文旅、消费经济，推动生活性服务业向高品质转型；聚焦生产性服务业的配套需求递增趋势，瞄准检测认证、科技研发、生态服务、服务外包等生产性服务业缺口，拓展招商业态，助力现代服务业提档升级。用好天津市平台经济支持政策，建立审慎包容的监管模式，培植我区平台经济发展的有利环境。引进高端服务业项目30个以上。（责任单位：商务局、投资促进局、工信局、税务局、市场监管局、各街道园区）</w:t>
      </w:r>
    </w:p>
    <w:p w14:paraId="246BA022">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5、实施科技金融赋能招商。</w:t>
      </w:r>
      <w:r>
        <w:rPr>
          <w:rFonts w:hint="eastAsia" w:ascii="Times New Roman" w:hAnsi="Times New Roman" w:eastAsia="方正仿宋简体"/>
          <w:sz w:val="32"/>
          <w:szCs w:val="32"/>
        </w:rPr>
        <w:t>加大科技领域招商，推动院所资源对接合作，通过科技成果转化衍生高技术领域创新型企业。主动对接先进运营孵化平台，筛选目标对接名单。关注存量企业智能化、绿色化、数字化改造动向，引进科技创新技术资源或合作项目。强化招商项目的金融支撑，发挥海河、中丽、陆石、海银前哨等基金引导作用，借力资本撬动，引进高成长型项目。最大限度激发产业基金招商潜能，依托基金对高质量项目的牵引能力，以中丽基金、陆石基金、恒盛基金为重点，针对性挖掘其投资企业资源，引导投资项目向东丽区转移转化。（责任单位：科技局、财政局、工信局、投资促进局、各街道园区）</w:t>
      </w:r>
    </w:p>
    <w:p w14:paraId="48B906FD">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6、激活市场化招商动能。</w:t>
      </w:r>
      <w:r>
        <w:rPr>
          <w:rFonts w:hint="eastAsia" w:ascii="Times New Roman" w:hAnsi="Times New Roman" w:eastAsia="方正仿宋简体"/>
          <w:sz w:val="32"/>
          <w:szCs w:val="32"/>
        </w:rPr>
        <w:t>与国内外各类商会、行业协会、产业联盟加强沟通联系，发挥其资源带动作用、行业影响力，扩大招商网络，推广“东丽名片”。加强与载体运营商市场化合作，以产权清晰的楼宇、厂房载体为承接重点，大力度对接优质市场化载体运营平台、孵化器平台。加快推进坤鼎大健康产业园、垠坤智能制造和京津制造产业园、联东智能科技产业园、英诺美迪国际医疗器械产业园建设及运营，跟踪问效各产业园内招商情况，提高运营效率。（责任单位：投资促进局、工信局、商务局、各街道园区）</w:t>
      </w:r>
    </w:p>
    <w:p w14:paraId="46AA821E">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（三）招商要素提升</w:t>
      </w:r>
    </w:p>
    <w:p w14:paraId="7602FDCC">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1、深挖职能部门招商潜力。</w:t>
      </w:r>
      <w:r>
        <w:rPr>
          <w:rFonts w:hint="eastAsia" w:ascii="Times New Roman" w:hAnsi="Times New Roman" w:eastAsia="方正仿宋简体"/>
          <w:sz w:val="32"/>
          <w:szCs w:val="32"/>
        </w:rPr>
        <w:t>各职能部门与市级对口部门做好统筹衔接，摸清“上情”，紧密结合东丽区实际，争取政策资源支持。借助市发展改革委重大项目推动专班、市投资促进局、天津市轨道交通协会、高校科研院所等力量，把握中汽中心创新港、天开高教科技园建设契机，利用好世界智能大会、消费博览会、“设计之都”论坛等活动，主动争取资源倾斜。各职能部门每月梳理报送项目资源清单，为东丽招商提级赋能。（责任单位：发改委、工信局、科技局、商务局、投资促进局、万新街）</w:t>
      </w:r>
    </w:p>
    <w:p w14:paraId="594A947F">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2、整合优势招商资源要素。</w:t>
      </w:r>
      <w:r>
        <w:rPr>
          <w:rFonts w:hint="eastAsia" w:ascii="Times New Roman" w:hAnsi="Times New Roman" w:eastAsia="方正仿宋简体"/>
          <w:sz w:val="32"/>
          <w:szCs w:val="32"/>
        </w:rPr>
        <w:t>切实发挥各行业管理部门优势，组织产业链对接活动，推动6条重点产业链提升能级，增强项目吸附力。围绕市政建设、网络配套、能源指标、停车场运营、充电桩设置、节水应用等领域，探索区内资源市场与招商引资连接的契合点，开放应用场景，吸引相关企业来我区投资落户，实现资源承接和项目引进的“双驱并进”。（责任单位：发改委、工信局、商务局、科技局、城管委、卫健委、运管局、教育局、文化旅游体育局、水务局、人力社保局、东方财信、城投公司）</w:t>
      </w:r>
    </w:p>
    <w:p w14:paraId="0226EEE0">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3、强化项目承接载体支撑。</w:t>
      </w:r>
      <w:r>
        <w:rPr>
          <w:rFonts w:hint="eastAsia" w:ascii="Times New Roman" w:hAnsi="Times New Roman" w:eastAsia="方正仿宋简体"/>
          <w:sz w:val="32"/>
          <w:szCs w:val="32"/>
        </w:rPr>
        <w:t>以6宗成熟工业用地为招商重点，加大项目推介，推动地块尽快出让和资金快速回笼。加快土地资源开发速度，充分利用华明高新区、军粮城工业园扩园契机，做好产业项目土地储备。做好可供招商厂房、楼宇载体的清单化、动态化、精细化管理，为项目洽谈和落地提供准确信息。加强对街道、园区国有资产盘活的指导，通过灵活的载体资源利用形式，引导载体盘活与招商引资理念相适应，兼顾经济效益与社会效益。推动丽健园、空港国际总部基地等未竣工载体尽快竣工验收，满足项目导入的先决条件。（责任单位：发改委、国资委、住建委、规资分局、工信局、城市化办、投资促进局、东方财信、各街道园区）</w:t>
      </w:r>
    </w:p>
    <w:p w14:paraId="6E44622F">
      <w:pPr>
        <w:snapToGrid w:val="0"/>
        <w:spacing w:line="570" w:lineRule="exact"/>
        <w:ind w:firstLine="643" w:firstLineChars="200"/>
        <w:jc w:val="left"/>
        <w:rPr>
          <w:rFonts w:hint="eastAsia" w:ascii="Times New Roman" w:hAnsi="Times New Roman" w:eastAsia="方正仿宋简体"/>
          <w:sz w:val="32"/>
          <w:szCs w:val="32"/>
        </w:rPr>
      </w:pPr>
      <w:r>
        <w:rPr>
          <w:rFonts w:hint="eastAsia" w:ascii="Times New Roman" w:hAnsi="Times New Roman" w:eastAsia="方正仿宋简体"/>
          <w:b/>
          <w:bCs/>
          <w:sz w:val="32"/>
          <w:szCs w:val="32"/>
        </w:rPr>
        <w:t>4、形成招商政策支持体系。</w:t>
      </w:r>
      <w:r>
        <w:rPr>
          <w:rFonts w:hint="eastAsia" w:ascii="Times New Roman" w:hAnsi="Times New Roman" w:eastAsia="方正仿宋简体"/>
          <w:sz w:val="32"/>
          <w:szCs w:val="32"/>
        </w:rPr>
        <w:t>用好政策工具，全面落实促进民营经济发展壮大政策措施，积极争取自贸试验区有关政策措施落地。围绕项目招商、企业发展，积极争取市级政策支持。做好政策解读、指导，聚焦载体租金减免、扶持资金拨付等企业关注重点，明确合法化、合理化路径，确保招商相关政策可操作、可执行。各街道园区针对各自区域功能、产业定位，研究适合本辖区的个性化产业扶持、企业支持政策，形成差异化引导，推动产业集聚。（责任单位：发改委、工信局、数据局、科技局、财政局、商务局、各街道园区）</w:t>
      </w:r>
    </w:p>
    <w:p w14:paraId="65751475">
      <w:pPr>
        <w:snapToGrid w:val="0"/>
        <w:spacing w:line="570" w:lineRule="exact"/>
        <w:ind w:firstLine="640" w:firstLineChars="200"/>
        <w:jc w:val="left"/>
        <w:rPr>
          <w:rFonts w:hint="eastAsia" w:ascii="Times New Roman" w:hAnsi="Times New Roman" w:eastAsia="方正黑体简体"/>
          <w:sz w:val="32"/>
          <w:szCs w:val="32"/>
        </w:rPr>
      </w:pPr>
      <w:r>
        <w:rPr>
          <w:rFonts w:hint="eastAsia" w:ascii="Times New Roman" w:hAnsi="Times New Roman" w:eastAsia="方正黑体简体"/>
          <w:sz w:val="32"/>
          <w:szCs w:val="32"/>
        </w:rPr>
        <w:t>三、保障措施</w:t>
      </w:r>
    </w:p>
    <w:p w14:paraId="0388B9FD">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（一）加强招商队伍保障</w:t>
      </w:r>
    </w:p>
    <w:p w14:paraId="75789498">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各街道园区“一把手”要树立招商主责意识，重点项目亲自过问、亲自协调、亲自督办；明确1名分管领导，随时协调解决招商项目落地过程中出现的各类问题；配齐配强本单位招商队伍，保持招商人员的稳定性。定期组织招商培训会，提升招商干部专业能力和业务素质。</w:t>
      </w:r>
    </w:p>
    <w:p w14:paraId="0D96BDD2">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（二）加强资金支持保障</w:t>
      </w:r>
    </w:p>
    <w:p w14:paraId="2D901B32">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区财政部门积极统筹全区招商经费，努力克服资金压力，保障区域招商工作的必要支出。各街道园区要做好招商资金管理，保障必要的招商接待、出访等活动，推动扶持政策落实落地。</w:t>
      </w:r>
    </w:p>
    <w:p w14:paraId="08F067B0">
      <w:pPr>
        <w:snapToGrid w:val="0"/>
        <w:spacing w:line="570" w:lineRule="exact"/>
        <w:ind w:firstLine="643" w:firstLineChars="200"/>
        <w:jc w:val="left"/>
        <w:rPr>
          <w:rFonts w:hint="eastAsia" w:ascii="Times New Roman" w:hAnsi="Times New Roman" w:eastAsia="方正楷体简体"/>
          <w:b/>
          <w:bCs/>
          <w:sz w:val="32"/>
          <w:szCs w:val="32"/>
        </w:rPr>
      </w:pPr>
      <w:r>
        <w:rPr>
          <w:rFonts w:hint="eastAsia" w:ascii="Times New Roman" w:hAnsi="Times New Roman" w:eastAsia="方正楷体简体"/>
          <w:b/>
          <w:bCs/>
          <w:sz w:val="32"/>
          <w:szCs w:val="32"/>
        </w:rPr>
        <w:t>（三）加强工作机制保障</w:t>
      </w:r>
    </w:p>
    <w:p w14:paraId="27DB2FCF">
      <w:pPr>
        <w:snapToGrid w:val="0"/>
        <w:spacing w:line="570" w:lineRule="exact"/>
        <w:ind w:firstLine="640" w:firstLineChars="200"/>
        <w:jc w:val="left"/>
        <w:rPr>
          <w:rFonts w:hint="eastAsia" w:ascii="Times New Roman" w:hAnsi="Times New Roman" w:eastAsia="方正仿宋简体"/>
          <w:sz w:val="32"/>
          <w:szCs w:val="32"/>
        </w:rPr>
      </w:pPr>
      <w:r>
        <w:rPr>
          <w:rFonts w:hint="eastAsia" w:ascii="Times New Roman" w:hAnsi="Times New Roman" w:eastAsia="方正仿宋简体"/>
          <w:sz w:val="32"/>
          <w:szCs w:val="32"/>
        </w:rPr>
        <w:t>各街道园区要落实项目走访跟进机制，每月梳理向投资促进局招商出访计划和企业回访进度，第一时间报送需全区统筹或重点推进的项目，由投资促进局协调推进并及时邀请区领导高位推动，提高项目洽谈效率。各街道园区做好重点项目分级分类管理，根据预判周期，落实专班专员跟进。强化项目调度，落实重点项目旬更新、月调度工作机制，确保重点项目跟住、跟紧、跟实。</w:t>
      </w:r>
    </w:p>
    <w:p w14:paraId="33D2EB7E">
      <w:pPr>
        <w:snapToGrid w:val="0"/>
        <w:spacing w:line="570" w:lineRule="exact"/>
        <w:ind w:firstLine="640" w:firstLineChars="200"/>
        <w:jc w:val="left"/>
        <w:rPr>
          <w:rFonts w:hint="eastAsia" w:ascii="Times New Roman" w:hAnsi="Times New Roman" w:eastAsia="方正仿宋简体"/>
          <w:sz w:val="32"/>
          <w:szCs w:val="32"/>
        </w:rPr>
      </w:pPr>
    </w:p>
    <w:p w14:paraId="3CC77929">
      <w:pPr>
        <w:snapToGrid w:val="0"/>
        <w:spacing w:line="570" w:lineRule="exact"/>
        <w:ind w:firstLine="640" w:firstLineChars="200"/>
        <w:jc w:val="left"/>
        <w:rPr>
          <w:rFonts w:hint="eastAsia" w:ascii="Times New Roman" w:hAnsi="Times New Roman" w:eastAsia="方正仿宋简体"/>
          <w:sz w:val="32"/>
          <w:szCs w:val="32"/>
        </w:rPr>
      </w:pPr>
    </w:p>
    <w:p w14:paraId="59C76BEF">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济南市人民政府办公厅关于印发济南市促进物流产业高质量发展三年行动计划(2024-2026年)的通知</w:t>
      </w:r>
    </w:p>
    <w:p w14:paraId="4CD445C9">
      <w:pPr>
        <w:snapToGrid w:val="0"/>
        <w:spacing w:after="0" w:line="570" w:lineRule="exact"/>
        <w:jc w:val="lef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各区县人民政府,市政府各部门(单位):</w:t>
      </w:r>
    </w:p>
    <w:p w14:paraId="7C5553FF">
      <w:pPr>
        <w:snapToGrid w:val="0"/>
        <w:spacing w:after="0" w:line="570" w:lineRule="exact"/>
        <w:jc w:val="left"/>
        <w:rPr>
          <w:rFonts w:hint="eastAsia" w:ascii="Times New Roman" w:hAnsi="Times New Roman" w:eastAsia="方正仿宋简体" w:cs="方正仿宋简体"/>
          <w:color w:val="000000"/>
          <w:sz w:val="32"/>
          <w:szCs w:val="32"/>
        </w:rPr>
      </w:pPr>
    </w:p>
    <w:p w14:paraId="0DADD682">
      <w:pPr>
        <w:snapToGrid w:val="0"/>
        <w:spacing w:after="0" w:line="570" w:lineRule="exact"/>
        <w:ind w:firstLine="7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《济南市促进物流产业高质量发展三年行动计划(2024-2026年)》已经市政府同意,现印发给你们,请认真组织实施。</w:t>
      </w:r>
    </w:p>
    <w:p w14:paraId="720DF3E3">
      <w:pPr>
        <w:snapToGrid w:val="0"/>
        <w:spacing w:after="0" w:line="570" w:lineRule="exact"/>
        <w:ind w:firstLine="720"/>
        <w:jc w:val="both"/>
        <w:rPr>
          <w:rFonts w:hint="eastAsia" w:ascii="Times New Roman" w:hAnsi="Times New Roman" w:eastAsia="方正仿宋简体" w:cs="方正仿宋简体"/>
          <w:color w:val="000000"/>
          <w:sz w:val="32"/>
          <w:szCs w:val="32"/>
        </w:rPr>
      </w:pPr>
    </w:p>
    <w:p w14:paraId="5302DE6D">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济南市人民政府办公厅</w:t>
      </w:r>
    </w:p>
    <w:p w14:paraId="2EEAC7E2">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535F0866">
      <w:pPr>
        <w:tabs>
          <w:tab w:val="left" w:pos="2348"/>
        </w:tabs>
        <w:spacing w:after="0" w:line="240" w:lineRule="auto"/>
        <w:jc w:val="right"/>
        <w:rPr>
          <w:rFonts w:ascii="Times New Roman" w:hAnsi="Times New Roman" w:eastAsia="方正仿宋简体" w:cs="Times New Roman"/>
          <w:color w:val="000000"/>
          <w:sz w:val="32"/>
          <w:szCs w:val="32"/>
        </w:rPr>
      </w:pPr>
      <w:r>
        <w:rPr>
          <w:rFonts w:ascii="Times New Roman" w:hAnsi="Times New Roman" w:eastAsia="方正仿宋简体" w:cs="Times New Roman"/>
          <w:color w:val="000000"/>
          <w:sz w:val="32"/>
          <w:szCs w:val="32"/>
        </w:rPr>
        <w:t>2024年7月30日</w:t>
      </w:r>
    </w:p>
    <w:p w14:paraId="6FA5480B">
      <w:pPr>
        <w:tabs>
          <w:tab w:val="left" w:pos="2348"/>
        </w:tabs>
        <w:spacing w:after="0" w:line="240" w:lineRule="auto"/>
        <w:jc w:val="right"/>
        <w:rPr>
          <w:rFonts w:ascii="Times New Roman" w:hAnsi="Times New Roman" w:eastAsia="方正仿宋简体" w:cs="Times New Roman"/>
          <w:color w:val="000000"/>
          <w:sz w:val="32"/>
          <w:szCs w:val="32"/>
        </w:rPr>
      </w:pPr>
    </w:p>
    <w:p w14:paraId="4CFCE197">
      <w:pPr>
        <w:snapToGrid w:val="0"/>
        <w:spacing w:after="0" w:line="570" w:lineRule="exact"/>
        <w:jc w:val="center"/>
        <w:rPr>
          <w:rFonts w:hint="eastAsia" w:ascii="Times New Roman" w:hAnsi="Times New Roman" w:eastAsia="方正小标宋简体" w:cs="方正小标宋简体"/>
          <w:color w:val="000000"/>
          <w:sz w:val="44"/>
          <w:szCs w:val="44"/>
        </w:rPr>
      </w:pPr>
      <w:r>
        <w:rPr>
          <w:rFonts w:hint="eastAsia" w:ascii="Times New Roman" w:hAnsi="Times New Roman" w:eastAsia="方正小标宋简体" w:cs="方正小标宋简体"/>
          <w:color w:val="000000"/>
          <w:sz w:val="44"/>
          <w:szCs w:val="44"/>
        </w:rPr>
        <w:t>济南市促进物流产业高质量发展三年行动计划</w:t>
      </w:r>
    </w:p>
    <w:p w14:paraId="67B69839">
      <w:pPr>
        <w:snapToGrid w:val="0"/>
        <w:spacing w:after="0" w:line="570" w:lineRule="exact"/>
        <w:jc w:val="center"/>
        <w:rPr>
          <w:rFonts w:hint="eastAsia" w:ascii="Times New Roman" w:hAnsi="Times New Roman" w:eastAsia="方正小标宋简体" w:cs="方正小标宋简体"/>
          <w:color w:val="000000"/>
          <w:sz w:val="44"/>
          <w:szCs w:val="44"/>
        </w:rPr>
      </w:pPr>
      <w:r>
        <w:rPr>
          <w:rFonts w:hint="eastAsia" w:ascii="Times New Roman" w:hAnsi="Times New Roman" w:eastAsia="方正小标宋简体" w:cs="方正小标宋简体"/>
          <w:color w:val="000000"/>
          <w:sz w:val="44"/>
          <w:szCs w:val="44"/>
        </w:rPr>
        <w:t>(2024—2026年)</w:t>
      </w:r>
    </w:p>
    <w:p w14:paraId="2B0266A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为促进全市物流产业高质量发展,加快打造全国重要的区域性物流中心,持续推进现代物流降本提质增效,做好“通道服务物流、物流促进贸易、贸易带动产业、产业助力发展”文章,结合我市实际,制定本行动计划。</w:t>
      </w:r>
    </w:p>
    <w:p w14:paraId="03EA58F5">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一、发展目标</w:t>
      </w:r>
    </w:p>
    <w:p w14:paraId="08BE56C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到2026年,全市“通道+枢纽+网络”现代物流运行体系更加健全,多式联运组织效率、干支衔接水平、绿色低碳和智能化水平明显提升,国内国际辐射带动能力显著增强,社会物流成本稳步降低,建成全国重要的区域性物流中心,努力打造畅通国内国际双循环的重要节点。</w:t>
      </w:r>
    </w:p>
    <w:p w14:paraId="6E89845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(一)枢纽能级大幅提升。</w:t>
      </w:r>
      <w:r>
        <w:rPr>
          <w:rFonts w:hint="eastAsia" w:ascii="Times New Roman" w:hAnsi="Times New Roman" w:eastAsia="方正仿宋简体" w:cs="方正仿宋简体"/>
          <w:color w:val="000000"/>
          <w:sz w:val="32"/>
          <w:szCs w:val="32"/>
        </w:rPr>
        <w:t>建成全国综合性流通支点城市、国家综合货运枢纽补链强链城市、国家绿色货运配送示范城市、中国快递示范城市,商贸服务型国家物流枢纽、国家骨干冷链物流基地投产投用,获批建设陆港型国家物流枢纽、全国中欧班列集结中心。</w:t>
      </w:r>
    </w:p>
    <w:p w14:paraId="5F17107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(二)设施网络日益完善。</w:t>
      </w:r>
      <w:r>
        <w:rPr>
          <w:rFonts w:hint="eastAsia" w:ascii="Times New Roman" w:hAnsi="Times New Roman" w:eastAsia="方正仿宋简体" w:cs="方正仿宋简体"/>
          <w:color w:val="000000"/>
          <w:sz w:val="32"/>
          <w:szCs w:val="32"/>
        </w:rPr>
        <w:t>建成规范化物流园区25个;现代物流网基础设施项目竣工40个以上,完成投资260亿元;新增冷链设施库容100万立方米以上;主城区建成快递集聚区8个以上,提升镇、村快递综合服务站1000个,新设智能快递箱1000组以上,末端配送点覆盖率达100%。</w:t>
      </w:r>
    </w:p>
    <w:p w14:paraId="286F826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(三)物流通道更加畅通。</w:t>
      </w:r>
      <w:r>
        <w:rPr>
          <w:rFonts w:hint="eastAsia" w:ascii="Times New Roman" w:hAnsi="Times New Roman" w:eastAsia="方正仿宋简体" w:cs="方正仿宋简体"/>
          <w:color w:val="000000"/>
          <w:sz w:val="32"/>
          <w:szCs w:val="32"/>
        </w:rPr>
        <w:t>济南机场国际(地区)客货运航线累计65条以上;中欧班列运行线路达16条,年开行量稳定在1000列以上,年均增幅8%以上;陆(河)海联运集装箱吞吐量累计超过5万标箱;国内班列重点线路达到6条,全市铁路集装箱年货运量超过50万标箱。</w:t>
      </w:r>
    </w:p>
    <w:p w14:paraId="3654F63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(四)产业规模持续壮大。</w:t>
      </w:r>
      <w:r>
        <w:rPr>
          <w:rFonts w:hint="eastAsia" w:ascii="Times New Roman" w:hAnsi="Times New Roman" w:eastAsia="方正仿宋简体" w:cs="方正仿宋简体"/>
          <w:color w:val="000000"/>
          <w:sz w:val="32"/>
          <w:szCs w:val="32"/>
        </w:rPr>
        <w:t>全市规模以上交通运输、仓储和邮政业(剔除客运)年营业收入突破1140亿元;国家5A级物流企业达19家以上,新招引物流头部企业和总部(含区域)企业数量10家,培育壮大15个以上物流业制造业融合创新发展应用场景。年快递业务量突破11亿件,年均增长10%以上,年快递业务量超1亿件的品牌企业达到5家。</w:t>
      </w:r>
    </w:p>
    <w:p w14:paraId="390A8CE5">
      <w:pPr>
        <w:snapToGrid w:val="0"/>
        <w:spacing w:after="0" w:line="570" w:lineRule="exact"/>
        <w:ind w:firstLine="643" w:firstLineChars="20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(五)发展质量显著提高。</w:t>
      </w:r>
      <w:r>
        <w:rPr>
          <w:rFonts w:hint="eastAsia" w:ascii="Times New Roman" w:hAnsi="Times New Roman" w:eastAsia="方正仿宋简体" w:cs="方正仿宋简体"/>
          <w:color w:val="000000"/>
          <w:sz w:val="32"/>
          <w:szCs w:val="32"/>
        </w:rPr>
        <w:t>建成济南市智慧口岸物流平台,入驻平台企业数量达450家;仓储结构逐步优化,高端标准仓库、智能立体仓库快速发展,培育打造5家智慧园区、10家智慧立体仓储基地;新能源或清洁能源车辆在城市内快递服务运输车辆中的占比超过80%;4家以上快递企业实施光伏电站、储能、充电场站等绿色设施建设。</w:t>
      </w:r>
    </w:p>
    <w:p w14:paraId="0816BBC3">
      <w:pPr>
        <w:snapToGrid w:val="0"/>
        <w:spacing w:after="0" w:line="570" w:lineRule="exact"/>
        <w:ind w:firstLine="640" w:firstLineChars="200"/>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济南市物流产业主要发展指标分解表（2024—2026年）</w:t>
      </w:r>
    </w:p>
    <w:tbl>
      <w:tblPr>
        <w:tblStyle w:val="11"/>
        <w:tblW w:w="8842" w:type="dxa"/>
        <w:tblInd w:w="2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45"/>
        <w:gridCol w:w="1115"/>
        <w:gridCol w:w="2409"/>
        <w:gridCol w:w="1111"/>
        <w:gridCol w:w="1183"/>
        <w:gridCol w:w="1212"/>
        <w:gridCol w:w="1267"/>
      </w:tblGrid>
      <w:tr w14:paraId="4CEC8E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tcBorders>
              <w:bottom w:val="single" w:color="000000" w:sz="4" w:space="0"/>
              <w:right w:val="single" w:color="000000" w:sz="4" w:space="0"/>
            </w:tcBorders>
            <w:noWrap w:val="0"/>
            <w:vAlign w:val="top"/>
          </w:tcPr>
          <w:p w14:paraId="1B477AA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类别</w:t>
            </w:r>
          </w:p>
        </w:tc>
        <w:tc>
          <w:tcPr>
            <w:tcW w:w="3524" w:type="dxa"/>
            <w:gridSpan w:val="2"/>
            <w:tcBorders>
              <w:left w:val="single" w:color="000000" w:sz="4" w:space="0"/>
              <w:bottom w:val="single" w:color="000000" w:sz="4" w:space="0"/>
              <w:right w:val="single" w:color="000000" w:sz="4" w:space="0"/>
            </w:tcBorders>
            <w:noWrap w:val="0"/>
            <w:vAlign w:val="top"/>
          </w:tcPr>
          <w:p w14:paraId="50A0227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指标</w:t>
            </w:r>
          </w:p>
        </w:tc>
        <w:tc>
          <w:tcPr>
            <w:tcW w:w="1111" w:type="dxa"/>
            <w:tcBorders>
              <w:left w:val="single" w:color="000000" w:sz="4" w:space="0"/>
              <w:bottom w:val="single" w:color="000000" w:sz="4" w:space="0"/>
              <w:right w:val="single" w:color="000000" w:sz="4" w:space="0"/>
            </w:tcBorders>
            <w:noWrap w:val="0"/>
            <w:vAlign w:val="top"/>
          </w:tcPr>
          <w:p w14:paraId="7B37931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2023年</w:t>
            </w:r>
          </w:p>
        </w:tc>
        <w:tc>
          <w:tcPr>
            <w:tcW w:w="1183" w:type="dxa"/>
            <w:tcBorders>
              <w:left w:val="single" w:color="000000" w:sz="4" w:space="0"/>
              <w:bottom w:val="single" w:color="000000" w:sz="4" w:space="0"/>
              <w:right w:val="single" w:color="000000" w:sz="4" w:space="0"/>
            </w:tcBorders>
            <w:noWrap w:val="0"/>
            <w:vAlign w:val="top"/>
          </w:tcPr>
          <w:p w14:paraId="0DA3FA0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2024年</w:t>
            </w:r>
          </w:p>
        </w:tc>
        <w:tc>
          <w:tcPr>
            <w:tcW w:w="1212" w:type="dxa"/>
            <w:tcBorders>
              <w:left w:val="single" w:color="000000" w:sz="4" w:space="0"/>
              <w:bottom w:val="single" w:color="000000" w:sz="4" w:space="0"/>
              <w:right w:val="single" w:color="000000" w:sz="4" w:space="0"/>
            </w:tcBorders>
            <w:noWrap w:val="0"/>
            <w:vAlign w:val="top"/>
          </w:tcPr>
          <w:p w14:paraId="29E8D6B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2025年</w:t>
            </w:r>
          </w:p>
        </w:tc>
        <w:tc>
          <w:tcPr>
            <w:tcW w:w="1267" w:type="dxa"/>
            <w:tcBorders>
              <w:left w:val="single" w:color="000000" w:sz="4" w:space="0"/>
              <w:bottom w:val="single" w:color="000000" w:sz="4" w:space="0"/>
            </w:tcBorders>
            <w:noWrap w:val="0"/>
            <w:vAlign w:val="top"/>
          </w:tcPr>
          <w:p w14:paraId="5A87BE7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2026年</w:t>
            </w:r>
          </w:p>
        </w:tc>
      </w:tr>
      <w:tr w14:paraId="6934AB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restart"/>
            <w:tcBorders>
              <w:top w:val="single" w:color="000000" w:sz="4" w:space="0"/>
              <w:bottom w:val="single" w:color="000000" w:sz="4" w:space="0"/>
              <w:right w:val="single" w:color="000000" w:sz="4" w:space="0"/>
            </w:tcBorders>
            <w:noWrap w:val="0"/>
            <w:vAlign w:val="top"/>
          </w:tcPr>
          <w:p w14:paraId="344497BB">
            <w:pPr>
              <w:snapToGrid w:val="0"/>
              <w:spacing w:after="0" w:line="570" w:lineRule="exact"/>
              <w:jc w:val="center"/>
              <w:rPr>
                <w:rFonts w:hint="eastAsia" w:ascii="Times New Roman" w:hAnsi="Times New Roman" w:eastAsia="方正仿宋简体" w:cs="方正仿宋简体"/>
                <w:color w:val="000000"/>
                <w:sz w:val="32"/>
                <w:szCs w:val="32"/>
              </w:rPr>
            </w:pPr>
          </w:p>
          <w:p w14:paraId="335A3961">
            <w:pPr>
              <w:snapToGrid w:val="0"/>
              <w:spacing w:after="0" w:line="570" w:lineRule="exact"/>
              <w:jc w:val="center"/>
              <w:rPr>
                <w:rFonts w:hint="eastAsia" w:ascii="Times New Roman" w:hAnsi="Times New Roman" w:eastAsia="方正仿宋简体" w:cs="方正仿宋简体"/>
                <w:color w:val="000000"/>
                <w:sz w:val="32"/>
                <w:szCs w:val="32"/>
              </w:rPr>
            </w:pPr>
          </w:p>
          <w:p w14:paraId="3ED2983F">
            <w:pPr>
              <w:snapToGrid w:val="0"/>
              <w:spacing w:after="0" w:line="570" w:lineRule="exact"/>
              <w:jc w:val="center"/>
              <w:rPr>
                <w:rFonts w:hint="eastAsia" w:ascii="Times New Roman" w:hAnsi="Times New Roman" w:eastAsia="方正仿宋简体" w:cs="方正仿宋简体"/>
                <w:color w:val="000000"/>
                <w:sz w:val="32"/>
                <w:szCs w:val="32"/>
              </w:rPr>
            </w:pPr>
          </w:p>
          <w:p w14:paraId="43D2750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设施网络</w:t>
            </w: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6BB7605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规范化物流园区</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469BDED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20个</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1C0FEE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22个</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78DF6ED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24个</w:t>
            </w:r>
          </w:p>
        </w:tc>
        <w:tc>
          <w:tcPr>
            <w:tcW w:w="1267" w:type="dxa"/>
            <w:tcBorders>
              <w:top w:val="single" w:color="000000" w:sz="4" w:space="0"/>
              <w:left w:val="single" w:color="000000" w:sz="4" w:space="0"/>
              <w:bottom w:val="single" w:color="000000" w:sz="4" w:space="0"/>
            </w:tcBorders>
            <w:noWrap w:val="0"/>
            <w:vAlign w:val="top"/>
          </w:tcPr>
          <w:p w14:paraId="5BF4C3E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25个</w:t>
            </w:r>
          </w:p>
        </w:tc>
      </w:tr>
      <w:tr w14:paraId="42DAE4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41E185F5">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restart"/>
            <w:tcBorders>
              <w:top w:val="single" w:color="000000" w:sz="4" w:space="0"/>
              <w:left w:val="single" w:color="000000" w:sz="4" w:space="0"/>
              <w:bottom w:val="single" w:color="000000" w:sz="4" w:space="0"/>
              <w:right w:val="single" w:color="000000" w:sz="4" w:space="0"/>
            </w:tcBorders>
            <w:noWrap w:val="0"/>
            <w:vAlign w:val="top"/>
          </w:tcPr>
          <w:p w14:paraId="2EADF10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现代物流网项目</w:t>
            </w: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27A291A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累计竣工数量</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5677BE6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20个</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24D37A7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28个</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1F91943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35个</w:t>
            </w:r>
          </w:p>
        </w:tc>
        <w:tc>
          <w:tcPr>
            <w:tcW w:w="1267" w:type="dxa"/>
            <w:tcBorders>
              <w:top w:val="single" w:color="000000" w:sz="4" w:space="0"/>
              <w:left w:val="single" w:color="000000" w:sz="4" w:space="0"/>
              <w:bottom w:val="single" w:color="000000" w:sz="4" w:space="0"/>
            </w:tcBorders>
            <w:noWrap w:val="0"/>
            <w:vAlign w:val="top"/>
          </w:tcPr>
          <w:p w14:paraId="6A53366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40个</w:t>
            </w:r>
          </w:p>
        </w:tc>
      </w:tr>
      <w:tr w14:paraId="5D50F3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vMerge w:val="continue"/>
            <w:tcBorders>
              <w:top w:val="nil"/>
              <w:bottom w:val="single" w:color="000000" w:sz="4" w:space="0"/>
              <w:right w:val="single" w:color="000000" w:sz="4" w:space="0"/>
            </w:tcBorders>
            <w:noWrap w:val="0"/>
            <w:vAlign w:val="top"/>
          </w:tcPr>
          <w:p w14:paraId="6BD847FE">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continue"/>
            <w:tcBorders>
              <w:top w:val="nil"/>
              <w:left w:val="single" w:color="000000" w:sz="4" w:space="0"/>
              <w:bottom w:val="single" w:color="000000" w:sz="4" w:space="0"/>
              <w:right w:val="single" w:color="000000" w:sz="4" w:space="0"/>
            </w:tcBorders>
            <w:noWrap w:val="0"/>
            <w:vAlign w:val="top"/>
          </w:tcPr>
          <w:p w14:paraId="693A59B9">
            <w:pPr>
              <w:snapToGrid w:val="0"/>
              <w:spacing w:after="0" w:line="570" w:lineRule="exact"/>
              <w:jc w:val="center"/>
              <w:rPr>
                <w:rFonts w:hint="eastAsia" w:ascii="Times New Roman" w:hAnsi="Times New Roman" w:eastAsia="方正仿宋简体" w:cs="方正仿宋简体"/>
                <w:color w:val="000000"/>
                <w:sz w:val="32"/>
                <w:szCs w:val="32"/>
              </w:rPr>
            </w:pP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38E7E4E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累计投资额(元）</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2F650E8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140亿</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0DD8B80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180亿</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19E407B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220亿</w:t>
            </w:r>
          </w:p>
        </w:tc>
        <w:tc>
          <w:tcPr>
            <w:tcW w:w="1267" w:type="dxa"/>
            <w:tcBorders>
              <w:top w:val="single" w:color="000000" w:sz="4" w:space="0"/>
              <w:left w:val="single" w:color="000000" w:sz="4" w:space="0"/>
              <w:bottom w:val="single" w:color="000000" w:sz="4" w:space="0"/>
            </w:tcBorders>
            <w:noWrap w:val="0"/>
            <w:vAlign w:val="top"/>
          </w:tcPr>
          <w:p w14:paraId="216B9F7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260亿</w:t>
            </w:r>
          </w:p>
        </w:tc>
      </w:tr>
      <w:tr w14:paraId="428786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20989D5F">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3B40176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新增冷链设施库容(立方米）</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388C7B4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5189957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30万</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5D00114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40万</w:t>
            </w:r>
          </w:p>
        </w:tc>
        <w:tc>
          <w:tcPr>
            <w:tcW w:w="1267" w:type="dxa"/>
            <w:tcBorders>
              <w:top w:val="single" w:color="000000" w:sz="4" w:space="0"/>
              <w:left w:val="single" w:color="000000" w:sz="4" w:space="0"/>
              <w:bottom w:val="single" w:color="000000" w:sz="4" w:space="0"/>
            </w:tcBorders>
            <w:noWrap w:val="0"/>
            <w:vAlign w:val="top"/>
          </w:tcPr>
          <w:p w14:paraId="0B6236F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30万</w:t>
            </w:r>
          </w:p>
        </w:tc>
      </w:tr>
      <w:tr w14:paraId="7FA82F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0CD4C4E6">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0E15C3E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主城区累计建成快递集聚区</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4C90A63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6个</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BAC193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6个</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215C2AA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7个</w:t>
            </w:r>
          </w:p>
        </w:tc>
        <w:tc>
          <w:tcPr>
            <w:tcW w:w="1267" w:type="dxa"/>
            <w:tcBorders>
              <w:top w:val="single" w:color="000000" w:sz="4" w:space="0"/>
              <w:left w:val="single" w:color="000000" w:sz="4" w:space="0"/>
              <w:bottom w:val="single" w:color="000000" w:sz="4" w:space="0"/>
            </w:tcBorders>
            <w:noWrap w:val="0"/>
            <w:vAlign w:val="top"/>
          </w:tcPr>
          <w:p w14:paraId="214F755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8个</w:t>
            </w:r>
          </w:p>
        </w:tc>
      </w:tr>
      <w:tr w14:paraId="6C393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vMerge w:val="continue"/>
            <w:tcBorders>
              <w:top w:val="nil"/>
              <w:bottom w:val="single" w:color="000000" w:sz="4" w:space="0"/>
              <w:right w:val="single" w:color="000000" w:sz="4" w:space="0"/>
            </w:tcBorders>
            <w:noWrap w:val="0"/>
            <w:vAlign w:val="top"/>
          </w:tcPr>
          <w:p w14:paraId="54C26720">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04234FD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提升镇、村快递综合服务站</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7A349DF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0A8C8D4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400个</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2F4EE7C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300个</w:t>
            </w:r>
          </w:p>
        </w:tc>
        <w:tc>
          <w:tcPr>
            <w:tcW w:w="1267" w:type="dxa"/>
            <w:tcBorders>
              <w:top w:val="single" w:color="000000" w:sz="4" w:space="0"/>
              <w:left w:val="single" w:color="000000" w:sz="4" w:space="0"/>
              <w:bottom w:val="single" w:color="000000" w:sz="4" w:space="0"/>
            </w:tcBorders>
            <w:noWrap w:val="0"/>
            <w:vAlign w:val="top"/>
          </w:tcPr>
          <w:p w14:paraId="4D50B71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300个</w:t>
            </w:r>
          </w:p>
        </w:tc>
      </w:tr>
      <w:tr w14:paraId="3A8989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1A26716B">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6BCB6DA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新设智能快递箱</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23275F7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58FC553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400组</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0E0EC07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300组</w:t>
            </w:r>
          </w:p>
        </w:tc>
        <w:tc>
          <w:tcPr>
            <w:tcW w:w="1267" w:type="dxa"/>
            <w:tcBorders>
              <w:top w:val="single" w:color="000000" w:sz="4" w:space="0"/>
              <w:left w:val="single" w:color="000000" w:sz="4" w:space="0"/>
              <w:bottom w:val="single" w:color="000000" w:sz="4" w:space="0"/>
            </w:tcBorders>
            <w:noWrap w:val="0"/>
            <w:vAlign w:val="top"/>
          </w:tcPr>
          <w:p w14:paraId="2714F24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300组</w:t>
            </w:r>
          </w:p>
        </w:tc>
      </w:tr>
      <w:tr w14:paraId="1F2268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restart"/>
            <w:tcBorders>
              <w:top w:val="single" w:color="000000" w:sz="4" w:space="0"/>
              <w:bottom w:val="single" w:color="000000" w:sz="4" w:space="0"/>
              <w:right w:val="single" w:color="000000" w:sz="4" w:space="0"/>
            </w:tcBorders>
            <w:noWrap w:val="0"/>
            <w:vAlign w:val="top"/>
          </w:tcPr>
          <w:p w14:paraId="127ABECB">
            <w:pPr>
              <w:snapToGrid w:val="0"/>
              <w:spacing w:after="0" w:line="570" w:lineRule="exact"/>
              <w:jc w:val="center"/>
              <w:rPr>
                <w:rFonts w:hint="eastAsia" w:ascii="Times New Roman" w:hAnsi="Times New Roman" w:eastAsia="方正仿宋简体" w:cs="方正仿宋简体"/>
                <w:color w:val="000000"/>
                <w:sz w:val="32"/>
                <w:szCs w:val="32"/>
              </w:rPr>
            </w:pPr>
          </w:p>
          <w:p w14:paraId="7F9D5A17">
            <w:pPr>
              <w:snapToGrid w:val="0"/>
              <w:spacing w:after="0" w:line="570" w:lineRule="exact"/>
              <w:jc w:val="center"/>
              <w:rPr>
                <w:rFonts w:hint="eastAsia" w:ascii="Times New Roman" w:hAnsi="Times New Roman" w:eastAsia="方正仿宋简体" w:cs="方正仿宋简体"/>
                <w:color w:val="000000"/>
                <w:sz w:val="32"/>
                <w:szCs w:val="32"/>
              </w:rPr>
            </w:pPr>
          </w:p>
          <w:p w14:paraId="52EE784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物流通道</w:t>
            </w: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0123FC7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国际(地区）客货运航线</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1E3A7E20">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51条</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33ED883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≥56条</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4E16416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≥65条</w:t>
            </w:r>
          </w:p>
        </w:tc>
        <w:tc>
          <w:tcPr>
            <w:tcW w:w="1267" w:type="dxa"/>
            <w:tcBorders>
              <w:top w:val="single" w:color="000000" w:sz="4" w:space="0"/>
              <w:left w:val="single" w:color="000000" w:sz="4" w:space="0"/>
              <w:bottom w:val="single" w:color="000000" w:sz="4" w:space="0"/>
            </w:tcBorders>
            <w:noWrap w:val="0"/>
            <w:vAlign w:val="top"/>
          </w:tcPr>
          <w:p w14:paraId="580C4F5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≥65条</w:t>
            </w:r>
          </w:p>
        </w:tc>
      </w:tr>
      <w:tr w14:paraId="2FC63C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vMerge w:val="continue"/>
            <w:tcBorders>
              <w:top w:val="nil"/>
              <w:bottom w:val="single" w:color="000000" w:sz="4" w:space="0"/>
              <w:right w:val="single" w:color="000000" w:sz="4" w:space="0"/>
            </w:tcBorders>
            <w:noWrap w:val="0"/>
            <w:vAlign w:val="top"/>
          </w:tcPr>
          <w:p w14:paraId="16D584DA">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restart"/>
            <w:tcBorders>
              <w:top w:val="single" w:color="000000" w:sz="4" w:space="0"/>
              <w:left w:val="single" w:color="000000" w:sz="4" w:space="0"/>
              <w:bottom w:val="single" w:color="000000" w:sz="4" w:space="0"/>
              <w:right w:val="single" w:color="000000" w:sz="4" w:space="0"/>
            </w:tcBorders>
            <w:noWrap w:val="0"/>
            <w:vAlign w:val="top"/>
          </w:tcPr>
          <w:p w14:paraId="42D1754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中欧班列</w:t>
            </w: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586ADDA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运行线路</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36F62C3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14条</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288F61A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15条</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1823119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15条</w:t>
            </w:r>
          </w:p>
        </w:tc>
        <w:tc>
          <w:tcPr>
            <w:tcW w:w="1267" w:type="dxa"/>
            <w:tcBorders>
              <w:top w:val="single" w:color="000000" w:sz="4" w:space="0"/>
              <w:left w:val="single" w:color="000000" w:sz="4" w:space="0"/>
              <w:bottom w:val="single" w:color="000000" w:sz="4" w:space="0"/>
            </w:tcBorders>
            <w:noWrap w:val="0"/>
            <w:vAlign w:val="top"/>
          </w:tcPr>
          <w:p w14:paraId="20D4B6D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≥16条</w:t>
            </w:r>
          </w:p>
        </w:tc>
      </w:tr>
      <w:tr w14:paraId="529D53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2691785C">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continue"/>
            <w:tcBorders>
              <w:top w:val="nil"/>
              <w:left w:val="single" w:color="000000" w:sz="4" w:space="0"/>
              <w:bottom w:val="single" w:color="000000" w:sz="4" w:space="0"/>
              <w:right w:val="single" w:color="000000" w:sz="4" w:space="0"/>
            </w:tcBorders>
            <w:noWrap w:val="0"/>
            <w:vAlign w:val="top"/>
          </w:tcPr>
          <w:p w14:paraId="389808F2">
            <w:pPr>
              <w:snapToGrid w:val="0"/>
              <w:spacing w:after="0" w:line="570" w:lineRule="exact"/>
              <w:jc w:val="center"/>
              <w:rPr>
                <w:rFonts w:hint="eastAsia" w:ascii="Times New Roman" w:hAnsi="Times New Roman" w:eastAsia="方正仿宋简体" w:cs="方正仿宋简体"/>
                <w:color w:val="000000"/>
                <w:sz w:val="32"/>
                <w:szCs w:val="32"/>
              </w:rPr>
            </w:pP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0E6CDC6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年开行量</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5F308BF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1006列</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CCE52B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1100列</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4CD7BA7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1300列</w:t>
            </w:r>
          </w:p>
        </w:tc>
        <w:tc>
          <w:tcPr>
            <w:tcW w:w="1267" w:type="dxa"/>
            <w:tcBorders>
              <w:top w:val="single" w:color="000000" w:sz="4" w:space="0"/>
              <w:left w:val="single" w:color="000000" w:sz="4" w:space="0"/>
              <w:bottom w:val="single" w:color="000000" w:sz="4" w:space="0"/>
            </w:tcBorders>
            <w:noWrap w:val="0"/>
            <w:vAlign w:val="top"/>
          </w:tcPr>
          <w:p w14:paraId="45190ED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1400列</w:t>
            </w:r>
          </w:p>
        </w:tc>
      </w:tr>
      <w:tr w14:paraId="270F46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5BD14592">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13D46A10">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陆(河）海联运集装箱货运量(标箱）</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7A8E340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0.9万</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529EB91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1万</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227F82D0">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1.2万</w:t>
            </w:r>
          </w:p>
        </w:tc>
        <w:tc>
          <w:tcPr>
            <w:tcW w:w="1267" w:type="dxa"/>
            <w:tcBorders>
              <w:top w:val="single" w:color="000000" w:sz="4" w:space="0"/>
              <w:left w:val="single" w:color="000000" w:sz="4" w:space="0"/>
              <w:bottom w:val="single" w:color="000000" w:sz="4" w:space="0"/>
            </w:tcBorders>
            <w:noWrap w:val="0"/>
            <w:vAlign w:val="top"/>
          </w:tcPr>
          <w:p w14:paraId="69908DE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1.5万</w:t>
            </w:r>
          </w:p>
        </w:tc>
      </w:tr>
      <w:tr w14:paraId="376A8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vMerge w:val="continue"/>
            <w:tcBorders>
              <w:top w:val="nil"/>
              <w:bottom w:val="single" w:color="000000" w:sz="4" w:space="0"/>
              <w:right w:val="single" w:color="000000" w:sz="4" w:space="0"/>
            </w:tcBorders>
            <w:noWrap w:val="0"/>
            <w:vAlign w:val="top"/>
          </w:tcPr>
          <w:p w14:paraId="707DECA2">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36E8D39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国内班列重点线路</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2DC6B17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4条</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310CB7F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4条</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6FE65F5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5条</w:t>
            </w:r>
          </w:p>
        </w:tc>
        <w:tc>
          <w:tcPr>
            <w:tcW w:w="1267" w:type="dxa"/>
            <w:tcBorders>
              <w:top w:val="single" w:color="000000" w:sz="4" w:space="0"/>
              <w:left w:val="single" w:color="000000" w:sz="4" w:space="0"/>
              <w:bottom w:val="single" w:color="000000" w:sz="4" w:space="0"/>
            </w:tcBorders>
            <w:noWrap w:val="0"/>
            <w:vAlign w:val="top"/>
          </w:tcPr>
          <w:p w14:paraId="1721B79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≥6条</w:t>
            </w:r>
          </w:p>
        </w:tc>
      </w:tr>
      <w:tr w14:paraId="3B6EC5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2D1036FF">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048475B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铁路集装箱年货运量(标箱）</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5D4385E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38万</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4B7B9F0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42万</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799A2E1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45万</w:t>
            </w:r>
          </w:p>
        </w:tc>
        <w:tc>
          <w:tcPr>
            <w:tcW w:w="1267" w:type="dxa"/>
            <w:tcBorders>
              <w:top w:val="single" w:color="000000" w:sz="4" w:space="0"/>
              <w:left w:val="single" w:color="000000" w:sz="4" w:space="0"/>
              <w:bottom w:val="single" w:color="000000" w:sz="4" w:space="0"/>
            </w:tcBorders>
            <w:noWrap w:val="0"/>
            <w:vAlign w:val="top"/>
          </w:tcPr>
          <w:p w14:paraId="3069985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≥50万</w:t>
            </w:r>
          </w:p>
        </w:tc>
      </w:tr>
      <w:tr w14:paraId="7F8CC6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3" w:hRule="atLeast"/>
        </w:trPr>
        <w:tc>
          <w:tcPr>
            <w:tcW w:w="545" w:type="dxa"/>
            <w:vMerge w:val="restart"/>
            <w:tcBorders>
              <w:top w:val="single" w:color="000000" w:sz="4" w:space="0"/>
              <w:bottom w:val="single" w:color="000000" w:sz="4" w:space="0"/>
              <w:right w:val="single" w:color="000000" w:sz="4" w:space="0"/>
            </w:tcBorders>
            <w:noWrap w:val="0"/>
            <w:vAlign w:val="top"/>
          </w:tcPr>
          <w:p w14:paraId="14015231">
            <w:pPr>
              <w:snapToGrid w:val="0"/>
              <w:spacing w:after="0" w:line="570" w:lineRule="exact"/>
              <w:jc w:val="center"/>
              <w:rPr>
                <w:rFonts w:hint="eastAsia" w:ascii="Times New Roman" w:hAnsi="Times New Roman" w:eastAsia="方正仿宋简体" w:cs="方正仿宋简体"/>
                <w:color w:val="000000"/>
                <w:sz w:val="32"/>
                <w:szCs w:val="32"/>
              </w:rPr>
            </w:pPr>
          </w:p>
          <w:p w14:paraId="6287A408">
            <w:pPr>
              <w:snapToGrid w:val="0"/>
              <w:spacing w:after="0" w:line="570" w:lineRule="exact"/>
              <w:jc w:val="center"/>
              <w:rPr>
                <w:rFonts w:hint="eastAsia" w:ascii="Times New Roman" w:hAnsi="Times New Roman" w:eastAsia="方正仿宋简体" w:cs="方正仿宋简体"/>
                <w:color w:val="000000"/>
                <w:sz w:val="32"/>
                <w:szCs w:val="32"/>
              </w:rPr>
            </w:pPr>
          </w:p>
          <w:p w14:paraId="61479409">
            <w:pPr>
              <w:snapToGrid w:val="0"/>
              <w:spacing w:after="0" w:line="570" w:lineRule="exact"/>
              <w:jc w:val="center"/>
              <w:rPr>
                <w:rFonts w:hint="eastAsia" w:ascii="Times New Roman" w:hAnsi="Times New Roman" w:eastAsia="方正仿宋简体" w:cs="方正仿宋简体"/>
                <w:color w:val="000000"/>
                <w:sz w:val="32"/>
                <w:szCs w:val="32"/>
              </w:rPr>
            </w:pPr>
          </w:p>
          <w:p w14:paraId="4B0EA78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产业规模</w:t>
            </w: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172B9A5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规模以上交通运输、仓储和邮政业</w:t>
            </w:r>
          </w:p>
          <w:p w14:paraId="0B71154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(剔除客运）年营业收入(元）</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491A1F4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957亿</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534868A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1020亿</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05D8793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1080亿</w:t>
            </w:r>
          </w:p>
        </w:tc>
        <w:tc>
          <w:tcPr>
            <w:tcW w:w="1267" w:type="dxa"/>
            <w:tcBorders>
              <w:top w:val="single" w:color="000000" w:sz="4" w:space="0"/>
              <w:left w:val="single" w:color="000000" w:sz="4" w:space="0"/>
              <w:bottom w:val="single" w:color="000000" w:sz="4" w:space="0"/>
            </w:tcBorders>
            <w:noWrap w:val="0"/>
            <w:vAlign w:val="top"/>
          </w:tcPr>
          <w:p w14:paraId="48ABF21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1140亿</w:t>
            </w:r>
          </w:p>
        </w:tc>
      </w:tr>
      <w:tr w14:paraId="06A4D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545" w:type="dxa"/>
            <w:vMerge w:val="continue"/>
            <w:tcBorders>
              <w:top w:val="nil"/>
              <w:bottom w:val="single" w:color="000000" w:sz="4" w:space="0"/>
              <w:right w:val="single" w:color="000000" w:sz="4" w:space="0"/>
            </w:tcBorders>
            <w:noWrap w:val="0"/>
            <w:vAlign w:val="top"/>
          </w:tcPr>
          <w:p w14:paraId="5FC583BD">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32BE31B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国家5A级物流企业总数</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5E4D5C2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17家</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5710F9C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18家</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6C8D49E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19家</w:t>
            </w:r>
          </w:p>
        </w:tc>
        <w:tc>
          <w:tcPr>
            <w:tcW w:w="1267" w:type="dxa"/>
            <w:tcBorders>
              <w:top w:val="single" w:color="000000" w:sz="4" w:space="0"/>
              <w:left w:val="single" w:color="000000" w:sz="4" w:space="0"/>
              <w:bottom w:val="single" w:color="000000" w:sz="4" w:space="0"/>
            </w:tcBorders>
            <w:noWrap w:val="0"/>
            <w:vAlign w:val="top"/>
          </w:tcPr>
          <w:p w14:paraId="6A1893C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≥19家</w:t>
            </w:r>
          </w:p>
        </w:tc>
      </w:tr>
      <w:tr w14:paraId="469F7C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3" w:hRule="atLeast"/>
        </w:trPr>
        <w:tc>
          <w:tcPr>
            <w:tcW w:w="545" w:type="dxa"/>
            <w:vMerge w:val="continue"/>
            <w:tcBorders>
              <w:top w:val="nil"/>
              <w:bottom w:val="single" w:color="000000" w:sz="4" w:space="0"/>
              <w:right w:val="single" w:color="000000" w:sz="4" w:space="0"/>
            </w:tcBorders>
            <w:noWrap w:val="0"/>
            <w:vAlign w:val="top"/>
          </w:tcPr>
          <w:p w14:paraId="02BB52E9">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2149993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培育物流业制造业融合</w:t>
            </w:r>
          </w:p>
          <w:p w14:paraId="5605DB3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创新发展应用场景</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2F7A949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4463B8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5个</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1D503B2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5个</w:t>
            </w:r>
          </w:p>
        </w:tc>
        <w:tc>
          <w:tcPr>
            <w:tcW w:w="1267" w:type="dxa"/>
            <w:tcBorders>
              <w:top w:val="single" w:color="000000" w:sz="4" w:space="0"/>
              <w:left w:val="single" w:color="000000" w:sz="4" w:space="0"/>
              <w:bottom w:val="single" w:color="000000" w:sz="4" w:space="0"/>
            </w:tcBorders>
            <w:noWrap w:val="0"/>
            <w:vAlign w:val="top"/>
          </w:tcPr>
          <w:p w14:paraId="0242705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5个</w:t>
            </w:r>
          </w:p>
        </w:tc>
      </w:tr>
      <w:tr w14:paraId="18E09A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3" w:hRule="atLeast"/>
        </w:trPr>
        <w:tc>
          <w:tcPr>
            <w:tcW w:w="545" w:type="dxa"/>
            <w:vMerge w:val="continue"/>
            <w:tcBorders>
              <w:top w:val="nil"/>
              <w:bottom w:val="single" w:color="000000" w:sz="4" w:space="0"/>
              <w:right w:val="single" w:color="000000" w:sz="4" w:space="0"/>
            </w:tcBorders>
            <w:noWrap w:val="0"/>
            <w:vAlign w:val="top"/>
          </w:tcPr>
          <w:p w14:paraId="3940B8E2">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20C5E3D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新招引物流头部企业和总部</w:t>
            </w:r>
          </w:p>
          <w:p w14:paraId="6F33E00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(含区域）企业数量</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47CE99D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27563C9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3家</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0BC5A02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3家</w:t>
            </w:r>
          </w:p>
        </w:tc>
        <w:tc>
          <w:tcPr>
            <w:tcW w:w="1267" w:type="dxa"/>
            <w:tcBorders>
              <w:top w:val="single" w:color="000000" w:sz="4" w:space="0"/>
              <w:left w:val="single" w:color="000000" w:sz="4" w:space="0"/>
              <w:bottom w:val="single" w:color="000000" w:sz="4" w:space="0"/>
            </w:tcBorders>
            <w:noWrap w:val="0"/>
            <w:vAlign w:val="top"/>
          </w:tcPr>
          <w:p w14:paraId="4F5F940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4家</w:t>
            </w:r>
          </w:p>
        </w:tc>
      </w:tr>
      <w:tr w14:paraId="0FA487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37C52618">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restart"/>
            <w:tcBorders>
              <w:top w:val="single" w:color="000000" w:sz="4" w:space="0"/>
              <w:left w:val="single" w:color="000000" w:sz="4" w:space="0"/>
              <w:bottom w:val="single" w:color="000000" w:sz="4" w:space="0"/>
              <w:right w:val="single" w:color="000000" w:sz="4" w:space="0"/>
            </w:tcBorders>
            <w:noWrap w:val="0"/>
            <w:vAlign w:val="top"/>
          </w:tcPr>
          <w:p w14:paraId="1A3CDF7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快递业务</w:t>
            </w: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05BCD36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年业务量(件）</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3015E77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8.4亿</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72FA6D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9.2亿</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61F05F1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10亿</w:t>
            </w:r>
          </w:p>
        </w:tc>
        <w:tc>
          <w:tcPr>
            <w:tcW w:w="1267" w:type="dxa"/>
            <w:tcBorders>
              <w:top w:val="single" w:color="000000" w:sz="4" w:space="0"/>
              <w:left w:val="single" w:color="000000" w:sz="4" w:space="0"/>
              <w:bottom w:val="single" w:color="000000" w:sz="4" w:space="0"/>
            </w:tcBorders>
            <w:noWrap w:val="0"/>
            <w:vAlign w:val="top"/>
          </w:tcPr>
          <w:p w14:paraId="5D09D96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≥11亿</w:t>
            </w:r>
          </w:p>
        </w:tc>
      </w:tr>
      <w:tr w14:paraId="58F1DA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5" w:hRule="atLeast"/>
        </w:trPr>
        <w:tc>
          <w:tcPr>
            <w:tcW w:w="545" w:type="dxa"/>
            <w:vMerge w:val="continue"/>
            <w:tcBorders>
              <w:top w:val="nil"/>
              <w:bottom w:val="single" w:color="000000" w:sz="4" w:space="0"/>
              <w:right w:val="single" w:color="000000" w:sz="4" w:space="0"/>
            </w:tcBorders>
            <w:noWrap w:val="0"/>
            <w:vAlign w:val="top"/>
          </w:tcPr>
          <w:p w14:paraId="3151F5D5">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continue"/>
            <w:tcBorders>
              <w:top w:val="nil"/>
              <w:left w:val="single" w:color="000000" w:sz="4" w:space="0"/>
              <w:bottom w:val="single" w:color="000000" w:sz="4" w:space="0"/>
              <w:right w:val="single" w:color="000000" w:sz="4" w:space="0"/>
            </w:tcBorders>
            <w:noWrap w:val="0"/>
            <w:vAlign w:val="top"/>
          </w:tcPr>
          <w:p w14:paraId="171C6402">
            <w:pPr>
              <w:snapToGrid w:val="0"/>
              <w:spacing w:after="0" w:line="570" w:lineRule="exact"/>
              <w:jc w:val="center"/>
              <w:rPr>
                <w:rFonts w:hint="eastAsia" w:ascii="Times New Roman" w:hAnsi="Times New Roman" w:eastAsia="方正仿宋简体" w:cs="方正仿宋简体"/>
                <w:color w:val="000000"/>
                <w:sz w:val="32"/>
                <w:szCs w:val="32"/>
              </w:rPr>
            </w:pP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36E1C54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年均增长</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076AD79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639501F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0B63DE7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w:t>
            </w:r>
          </w:p>
        </w:tc>
        <w:tc>
          <w:tcPr>
            <w:tcW w:w="1267" w:type="dxa"/>
            <w:tcBorders>
              <w:top w:val="single" w:color="000000" w:sz="4" w:space="0"/>
              <w:left w:val="single" w:color="000000" w:sz="4" w:space="0"/>
              <w:bottom w:val="single" w:color="000000" w:sz="4" w:space="0"/>
            </w:tcBorders>
            <w:noWrap w:val="0"/>
            <w:vAlign w:val="top"/>
          </w:tcPr>
          <w:p w14:paraId="28CD168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w:t>
            </w:r>
          </w:p>
        </w:tc>
      </w:tr>
      <w:tr w14:paraId="0F5BBB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3" w:hRule="atLeast"/>
        </w:trPr>
        <w:tc>
          <w:tcPr>
            <w:tcW w:w="545" w:type="dxa"/>
            <w:vMerge w:val="continue"/>
            <w:tcBorders>
              <w:top w:val="nil"/>
              <w:bottom w:val="single" w:color="000000" w:sz="4" w:space="0"/>
              <w:right w:val="single" w:color="000000" w:sz="4" w:space="0"/>
            </w:tcBorders>
            <w:noWrap w:val="0"/>
            <w:vAlign w:val="top"/>
          </w:tcPr>
          <w:p w14:paraId="2CB5557F">
            <w:pPr>
              <w:snapToGrid w:val="0"/>
              <w:spacing w:after="0" w:line="570" w:lineRule="exact"/>
              <w:jc w:val="center"/>
              <w:rPr>
                <w:rFonts w:hint="eastAsia" w:ascii="Times New Roman" w:hAnsi="Times New Roman" w:eastAsia="方正仿宋简体" w:cs="方正仿宋简体"/>
                <w:color w:val="000000"/>
                <w:sz w:val="32"/>
                <w:szCs w:val="32"/>
              </w:rPr>
            </w:pPr>
          </w:p>
        </w:tc>
        <w:tc>
          <w:tcPr>
            <w:tcW w:w="1115" w:type="dxa"/>
            <w:vMerge w:val="continue"/>
            <w:tcBorders>
              <w:top w:val="nil"/>
              <w:left w:val="single" w:color="000000" w:sz="4" w:space="0"/>
              <w:bottom w:val="single" w:color="000000" w:sz="4" w:space="0"/>
              <w:right w:val="single" w:color="000000" w:sz="4" w:space="0"/>
            </w:tcBorders>
            <w:noWrap w:val="0"/>
            <w:vAlign w:val="top"/>
          </w:tcPr>
          <w:p w14:paraId="5A54B7F4">
            <w:pPr>
              <w:snapToGrid w:val="0"/>
              <w:spacing w:after="0" w:line="570" w:lineRule="exact"/>
              <w:jc w:val="center"/>
              <w:rPr>
                <w:rFonts w:hint="eastAsia" w:ascii="Times New Roman" w:hAnsi="Times New Roman" w:eastAsia="方正仿宋简体" w:cs="方正仿宋简体"/>
                <w:color w:val="000000"/>
                <w:sz w:val="32"/>
                <w:szCs w:val="32"/>
              </w:rPr>
            </w:pPr>
          </w:p>
        </w:tc>
        <w:tc>
          <w:tcPr>
            <w:tcW w:w="2409" w:type="dxa"/>
            <w:tcBorders>
              <w:top w:val="single" w:color="000000" w:sz="4" w:space="0"/>
              <w:left w:val="single" w:color="000000" w:sz="4" w:space="0"/>
              <w:bottom w:val="single" w:color="000000" w:sz="4" w:space="0"/>
              <w:right w:val="single" w:color="000000" w:sz="4" w:space="0"/>
            </w:tcBorders>
            <w:noWrap w:val="0"/>
            <w:vAlign w:val="top"/>
          </w:tcPr>
          <w:p w14:paraId="29C218F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年超1亿件品牌企业总数</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33FF9AF8">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4家</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60F8962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4家</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0AB130D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5家</w:t>
            </w:r>
          </w:p>
        </w:tc>
        <w:tc>
          <w:tcPr>
            <w:tcW w:w="1267" w:type="dxa"/>
            <w:tcBorders>
              <w:top w:val="single" w:color="000000" w:sz="4" w:space="0"/>
              <w:left w:val="single" w:color="000000" w:sz="4" w:space="0"/>
              <w:bottom w:val="single" w:color="000000" w:sz="4" w:space="0"/>
            </w:tcBorders>
            <w:noWrap w:val="0"/>
            <w:vAlign w:val="top"/>
          </w:tcPr>
          <w:p w14:paraId="7B1AC1A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5家</w:t>
            </w:r>
          </w:p>
        </w:tc>
      </w:tr>
      <w:tr w14:paraId="7808F2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545" w:type="dxa"/>
            <w:vMerge w:val="restart"/>
            <w:tcBorders>
              <w:top w:val="single" w:color="000000" w:sz="4" w:space="0"/>
              <w:right w:val="single" w:color="000000" w:sz="4" w:space="0"/>
            </w:tcBorders>
            <w:noWrap w:val="0"/>
            <w:vAlign w:val="top"/>
          </w:tcPr>
          <w:p w14:paraId="5E93F6DE">
            <w:pPr>
              <w:snapToGrid w:val="0"/>
              <w:spacing w:after="0" w:line="570" w:lineRule="exact"/>
              <w:jc w:val="center"/>
              <w:rPr>
                <w:rFonts w:hint="eastAsia" w:ascii="Times New Roman" w:hAnsi="Times New Roman" w:eastAsia="方正仿宋简体" w:cs="方正仿宋简体"/>
                <w:color w:val="000000"/>
                <w:sz w:val="32"/>
                <w:szCs w:val="32"/>
              </w:rPr>
            </w:pPr>
          </w:p>
          <w:p w14:paraId="00EEE44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发展质量</w:t>
            </w: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557DBFBE">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智慧物流园区总数</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02E58713">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16C0B27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2家</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1BF5F64F">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4家</w:t>
            </w:r>
          </w:p>
        </w:tc>
        <w:tc>
          <w:tcPr>
            <w:tcW w:w="1267" w:type="dxa"/>
            <w:tcBorders>
              <w:top w:val="single" w:color="000000" w:sz="4" w:space="0"/>
              <w:left w:val="single" w:color="000000" w:sz="4" w:space="0"/>
              <w:bottom w:val="single" w:color="000000" w:sz="4" w:space="0"/>
            </w:tcBorders>
            <w:noWrap w:val="0"/>
            <w:vAlign w:val="top"/>
          </w:tcPr>
          <w:p w14:paraId="68EC9F4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5家</w:t>
            </w:r>
          </w:p>
        </w:tc>
      </w:tr>
      <w:tr w14:paraId="69D47D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6" w:hRule="atLeast"/>
        </w:trPr>
        <w:tc>
          <w:tcPr>
            <w:tcW w:w="545" w:type="dxa"/>
            <w:vMerge w:val="continue"/>
            <w:tcBorders>
              <w:top w:val="nil"/>
              <w:right w:val="single" w:color="000000" w:sz="4" w:space="0"/>
            </w:tcBorders>
            <w:noWrap w:val="0"/>
            <w:vAlign w:val="top"/>
          </w:tcPr>
          <w:p w14:paraId="7E952BC4">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45B6D3D7">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智慧立体仓储基地总数</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6028CAE1">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4E48E51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3家</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295CC535">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7家</w:t>
            </w:r>
          </w:p>
        </w:tc>
        <w:tc>
          <w:tcPr>
            <w:tcW w:w="1267" w:type="dxa"/>
            <w:tcBorders>
              <w:top w:val="single" w:color="000000" w:sz="4" w:space="0"/>
              <w:left w:val="single" w:color="000000" w:sz="4" w:space="0"/>
              <w:bottom w:val="single" w:color="000000" w:sz="4" w:space="0"/>
            </w:tcBorders>
            <w:noWrap w:val="0"/>
            <w:vAlign w:val="top"/>
          </w:tcPr>
          <w:p w14:paraId="6765531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10家</w:t>
            </w:r>
          </w:p>
        </w:tc>
      </w:tr>
      <w:tr w14:paraId="7915D5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1" w:hRule="atLeast"/>
        </w:trPr>
        <w:tc>
          <w:tcPr>
            <w:tcW w:w="545" w:type="dxa"/>
            <w:vMerge w:val="continue"/>
            <w:tcBorders>
              <w:top w:val="nil"/>
              <w:right w:val="single" w:color="000000" w:sz="4" w:space="0"/>
            </w:tcBorders>
            <w:noWrap w:val="0"/>
            <w:vAlign w:val="top"/>
          </w:tcPr>
          <w:p w14:paraId="07897E88">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bottom w:val="single" w:color="000000" w:sz="4" w:space="0"/>
              <w:right w:val="single" w:color="000000" w:sz="4" w:space="0"/>
            </w:tcBorders>
            <w:noWrap w:val="0"/>
            <w:vAlign w:val="top"/>
          </w:tcPr>
          <w:p w14:paraId="03828164">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新能源或清洁能源车辆在城市内快递</w:t>
            </w:r>
          </w:p>
          <w:p w14:paraId="0982C37C">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服务运输车辆中的占比</w:t>
            </w:r>
          </w:p>
        </w:tc>
        <w:tc>
          <w:tcPr>
            <w:tcW w:w="1111" w:type="dxa"/>
            <w:tcBorders>
              <w:top w:val="single" w:color="000000" w:sz="4" w:space="0"/>
              <w:left w:val="single" w:color="000000" w:sz="4" w:space="0"/>
              <w:bottom w:val="single" w:color="000000" w:sz="4" w:space="0"/>
              <w:right w:val="single" w:color="000000" w:sz="4" w:space="0"/>
            </w:tcBorders>
            <w:noWrap w:val="0"/>
            <w:vAlign w:val="top"/>
          </w:tcPr>
          <w:p w14:paraId="632B4E5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73%</w:t>
            </w:r>
          </w:p>
        </w:tc>
        <w:tc>
          <w:tcPr>
            <w:tcW w:w="1183" w:type="dxa"/>
            <w:tcBorders>
              <w:top w:val="single" w:color="000000" w:sz="4" w:space="0"/>
              <w:left w:val="single" w:color="000000" w:sz="4" w:space="0"/>
              <w:bottom w:val="single" w:color="000000" w:sz="4" w:space="0"/>
              <w:right w:val="single" w:color="000000" w:sz="4" w:space="0"/>
            </w:tcBorders>
            <w:noWrap w:val="0"/>
            <w:vAlign w:val="top"/>
          </w:tcPr>
          <w:p w14:paraId="783C017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75%</w:t>
            </w:r>
          </w:p>
        </w:tc>
        <w:tc>
          <w:tcPr>
            <w:tcW w:w="1212" w:type="dxa"/>
            <w:tcBorders>
              <w:top w:val="single" w:color="000000" w:sz="4" w:space="0"/>
              <w:left w:val="single" w:color="000000" w:sz="4" w:space="0"/>
              <w:bottom w:val="single" w:color="000000" w:sz="4" w:space="0"/>
              <w:right w:val="single" w:color="000000" w:sz="4" w:space="0"/>
            </w:tcBorders>
            <w:noWrap w:val="0"/>
            <w:vAlign w:val="top"/>
          </w:tcPr>
          <w:p w14:paraId="31A2AADD">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80%</w:t>
            </w:r>
          </w:p>
        </w:tc>
        <w:tc>
          <w:tcPr>
            <w:tcW w:w="1267" w:type="dxa"/>
            <w:tcBorders>
              <w:top w:val="single" w:color="000000" w:sz="4" w:space="0"/>
              <w:left w:val="single" w:color="000000" w:sz="4" w:space="0"/>
              <w:bottom w:val="single" w:color="000000" w:sz="4" w:space="0"/>
            </w:tcBorders>
            <w:noWrap w:val="0"/>
            <w:vAlign w:val="top"/>
          </w:tcPr>
          <w:p w14:paraId="665EC35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&gt;80%</w:t>
            </w:r>
          </w:p>
        </w:tc>
      </w:tr>
      <w:tr w14:paraId="06F77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545" w:type="dxa"/>
            <w:vMerge w:val="continue"/>
            <w:tcBorders>
              <w:top w:val="nil"/>
              <w:right w:val="single" w:color="000000" w:sz="4" w:space="0"/>
            </w:tcBorders>
            <w:noWrap w:val="0"/>
            <w:vAlign w:val="top"/>
          </w:tcPr>
          <w:p w14:paraId="1CA68995">
            <w:pPr>
              <w:snapToGrid w:val="0"/>
              <w:spacing w:after="0" w:line="570" w:lineRule="exact"/>
              <w:jc w:val="center"/>
              <w:rPr>
                <w:rFonts w:hint="eastAsia" w:ascii="Times New Roman" w:hAnsi="Times New Roman" w:eastAsia="方正仿宋简体" w:cs="方正仿宋简体"/>
                <w:color w:val="000000"/>
                <w:sz w:val="32"/>
                <w:szCs w:val="32"/>
              </w:rPr>
            </w:pPr>
          </w:p>
        </w:tc>
        <w:tc>
          <w:tcPr>
            <w:tcW w:w="3524" w:type="dxa"/>
            <w:gridSpan w:val="2"/>
            <w:tcBorders>
              <w:top w:val="single" w:color="000000" w:sz="4" w:space="0"/>
              <w:left w:val="single" w:color="000000" w:sz="4" w:space="0"/>
              <w:right w:val="single" w:color="000000" w:sz="4" w:space="0"/>
            </w:tcBorders>
            <w:noWrap w:val="0"/>
            <w:vAlign w:val="top"/>
          </w:tcPr>
          <w:p w14:paraId="1E406DC6">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实施光伏电站、储能、充电场站等</w:t>
            </w:r>
          </w:p>
          <w:p w14:paraId="7D38520A">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绿色设施建设的快递企业总数</w:t>
            </w:r>
          </w:p>
        </w:tc>
        <w:tc>
          <w:tcPr>
            <w:tcW w:w="1111" w:type="dxa"/>
            <w:tcBorders>
              <w:top w:val="single" w:color="000000" w:sz="4" w:space="0"/>
              <w:left w:val="single" w:color="000000" w:sz="4" w:space="0"/>
              <w:right w:val="single" w:color="000000" w:sz="4" w:space="0"/>
            </w:tcBorders>
            <w:noWrap w:val="0"/>
            <w:vAlign w:val="top"/>
          </w:tcPr>
          <w:p w14:paraId="21CD0F22">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2家</w:t>
            </w:r>
          </w:p>
        </w:tc>
        <w:tc>
          <w:tcPr>
            <w:tcW w:w="1183" w:type="dxa"/>
            <w:tcBorders>
              <w:top w:val="single" w:color="000000" w:sz="4" w:space="0"/>
              <w:left w:val="single" w:color="000000" w:sz="4" w:space="0"/>
              <w:right w:val="single" w:color="000000" w:sz="4" w:space="0"/>
            </w:tcBorders>
            <w:noWrap w:val="0"/>
            <w:vAlign w:val="top"/>
          </w:tcPr>
          <w:p w14:paraId="0801581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2家</w:t>
            </w:r>
          </w:p>
        </w:tc>
        <w:tc>
          <w:tcPr>
            <w:tcW w:w="1212" w:type="dxa"/>
            <w:tcBorders>
              <w:top w:val="single" w:color="000000" w:sz="4" w:space="0"/>
              <w:left w:val="single" w:color="000000" w:sz="4" w:space="0"/>
              <w:right w:val="single" w:color="000000" w:sz="4" w:space="0"/>
            </w:tcBorders>
            <w:noWrap w:val="0"/>
            <w:vAlign w:val="top"/>
          </w:tcPr>
          <w:p w14:paraId="73D2DB39">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3家</w:t>
            </w:r>
          </w:p>
        </w:tc>
        <w:tc>
          <w:tcPr>
            <w:tcW w:w="1267" w:type="dxa"/>
            <w:tcBorders>
              <w:top w:val="single" w:color="000000" w:sz="4" w:space="0"/>
              <w:left w:val="single" w:color="000000" w:sz="4" w:space="0"/>
            </w:tcBorders>
            <w:noWrap w:val="0"/>
            <w:vAlign w:val="top"/>
          </w:tcPr>
          <w:p w14:paraId="2375C6EB">
            <w:pPr>
              <w:snapToGrid w:val="0"/>
              <w:spacing w:after="0" w:line="570" w:lineRule="exact"/>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4家</w:t>
            </w:r>
          </w:p>
        </w:tc>
      </w:tr>
    </w:tbl>
    <w:p w14:paraId="7E6863BB">
      <w:pPr>
        <w:keepNext/>
        <w:keepLines/>
        <w:widowControl/>
        <w:spacing w:after="0" w:line="240" w:lineRule="auto"/>
        <w:ind w:firstLine="720"/>
        <w:jc w:val="left"/>
        <w:outlineLvl w:val="0"/>
        <w:rPr>
          <w:rFonts w:hint="eastAsia" w:ascii="Times New Roman" w:hAnsi="Times New Roman" w:eastAsia="方正黑体简体" w:cs="方正黑体简体"/>
          <w:bCs/>
          <w:color w:val="000000"/>
          <w:sz w:val="32"/>
          <w:szCs w:val="32"/>
        </w:rPr>
      </w:pPr>
      <w:r>
        <w:rPr>
          <w:rFonts w:hint="eastAsia" w:ascii="Times New Roman" w:hAnsi="Times New Roman" w:eastAsia="方正黑体简体" w:cs="Times New Roman"/>
          <w:color w:val="000000"/>
          <w:kern w:val="44"/>
          <w:sz w:val="32"/>
        </w:rPr>
        <w:t>二、重点任务</w:t>
      </w:r>
    </w:p>
    <w:p w14:paraId="70AC8212">
      <w:pPr>
        <w:keepNext/>
        <w:keepLines/>
        <w:widowControl/>
        <w:spacing w:after="0" w:line="240" w:lineRule="auto"/>
        <w:ind w:firstLine="643" w:firstLineChars="200"/>
        <w:jc w:val="left"/>
        <w:outlineLvl w:val="1"/>
        <w:rPr>
          <w:rFonts w:hint="eastAsia" w:ascii="Times New Roman" w:hAnsi="Times New Roman" w:eastAsia="方正楷体简体" w:cs="方正楷体简体"/>
          <w:b/>
          <w:bCs/>
          <w:color w:val="000000"/>
          <w:sz w:val="32"/>
          <w:szCs w:val="32"/>
        </w:rPr>
      </w:pPr>
      <w:r>
        <w:rPr>
          <w:rFonts w:hint="eastAsia" w:ascii="Times New Roman" w:hAnsi="Times New Roman" w:eastAsia="方正楷体简字" w:cs="Times New Roman"/>
          <w:b/>
          <w:color w:val="000000"/>
          <w:kern w:val="0"/>
          <w:sz w:val="32"/>
        </w:rPr>
        <w:t>(一)实施布局优化行动。</w:t>
      </w:r>
    </w:p>
    <w:p w14:paraId="3DE6B4D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1.优化物流空间布局。</w:t>
      </w:r>
      <w:r>
        <w:rPr>
          <w:rFonts w:hint="eastAsia" w:ascii="Times New Roman" w:hAnsi="Times New Roman" w:eastAsia="方正仿宋简体" w:cs="方正仿宋简体"/>
          <w:color w:val="000000"/>
          <w:sz w:val="32"/>
          <w:szCs w:val="32"/>
        </w:rPr>
        <w:t>编制《济南市物流专项规划》,合理布局物流基础设施,建设供需适配的物流体系,大力发展临空经济、临港经济。加快推动“一核一带七园”建设,到2026年,国际陆港片区核心引领功能更加突出,济南国际机场二期改扩建工程加快实施,董家铁路货运枢纽功能日益增强,小清河济南港集疏运成效初显。加快建设莱芜、商河等多式联运枢纽,推动逐步形成全市物流副中心。全市建成规范化物流园区25个,主城区建成快递集聚区8个以上。(责任单位:市口岸物流办、市交通运输局、市自然资源和规划局、市邮政管理局,相关区县政府及功能区管委会;以下将区县政府及功能区管委会统称区县政府)</w:t>
      </w:r>
    </w:p>
    <w:p w14:paraId="3D5A3CB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2.提升物流用地效率。</w:t>
      </w:r>
      <w:r>
        <w:rPr>
          <w:rFonts w:hint="eastAsia" w:ascii="Times New Roman" w:hAnsi="Times New Roman" w:eastAsia="方正仿宋简体" w:cs="方正仿宋简体"/>
          <w:color w:val="000000"/>
          <w:sz w:val="32"/>
          <w:szCs w:val="32"/>
        </w:rPr>
        <w:t>加强全市物流用地统筹,开展现有物流用地摸底评估,科学提出分类处置意见。优化设置物流用地绩效考核指标,适当调整现代物流类项目亩均投资等考核标准。探索新型物流用地供应保障模式,在符合相关规划的前提下,鼓励利用有效载体和多种渠道整合盘活存量空闲土地资源用于物流产业。有序推动传统物流园区提档升级,鼓励引导物流企业进区入园、集聚发展。(责任单位:市口岸物流办、市自然资源和规划局,相关区县政府)</w:t>
      </w:r>
    </w:p>
    <w:p w14:paraId="707296B3">
      <w:pPr>
        <w:snapToGrid w:val="0"/>
        <w:spacing w:after="0" w:line="570" w:lineRule="exact"/>
        <w:ind w:firstLine="643" w:firstLineChars="200"/>
        <w:jc w:val="both"/>
        <w:rPr>
          <w:rFonts w:hint="eastAsia" w:ascii="Times New Roman" w:hAnsi="Times New Roman" w:eastAsia="方正楷体简体" w:cs="方正楷体简体"/>
          <w:b/>
          <w:bCs/>
          <w:color w:val="000000"/>
          <w:sz w:val="32"/>
          <w:szCs w:val="32"/>
        </w:rPr>
      </w:pPr>
      <w:r>
        <w:rPr>
          <w:rFonts w:hint="eastAsia" w:ascii="Times New Roman" w:hAnsi="Times New Roman" w:eastAsia="方正楷体简体" w:cs="方正楷体简体"/>
          <w:b/>
          <w:bCs/>
          <w:color w:val="000000"/>
          <w:sz w:val="32"/>
          <w:szCs w:val="32"/>
        </w:rPr>
        <w:t>(二)实施区域协作行动。</w:t>
      </w:r>
    </w:p>
    <w:p w14:paraId="601D3264">
      <w:pPr>
        <w:widowControl/>
        <w:spacing w:after="0" w:line="570" w:lineRule="exact"/>
        <w:ind w:firstLine="643" w:firstLineChars="200"/>
        <w:jc w:val="lef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3.推动构建全省物流合作机制。</w:t>
      </w:r>
      <w:r>
        <w:rPr>
          <w:rFonts w:hint="eastAsia" w:ascii="Times New Roman" w:hAnsi="Times New Roman" w:eastAsia="方正仿宋简体" w:cs="方正仿宋简体"/>
          <w:color w:val="000000"/>
          <w:sz w:val="32"/>
          <w:szCs w:val="32"/>
        </w:rPr>
        <w:t>积极争取省级支持,推动建立济青双牵头的全省物流发展合作机制,以济南、青岛为支点,与省内其他城市轴辐贯通,在设施联通、网络共建、资源共享、标准统一、政策互通、运营互动等方面加强合作,形成“一枢纽、两支点、轴辐联动”的全省物流发展格局。(责任单位:市口岸物流办、市发展改革委、市交通运输局、市商务局、市邮政管理局)</w:t>
      </w:r>
    </w:p>
    <w:p w14:paraId="053169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4.深化黄河流域物流协同发展机制。</w:t>
      </w:r>
      <w:r>
        <w:rPr>
          <w:rFonts w:hint="eastAsia" w:ascii="Times New Roman" w:hAnsi="Times New Roman" w:eastAsia="方正仿宋简体" w:cs="方正仿宋简体"/>
          <w:color w:val="000000"/>
          <w:sz w:val="32"/>
          <w:szCs w:val="32"/>
        </w:rPr>
        <w:t>强化政产学研合作,推进沿黄中心城市绿色智慧物流协同创新中心(联盟)建设,联动郑州、西安等黄河流域中心城市,探索建立设施共建、业务共担、利益共享模式,协同开展干线运输、跨境物流、区域分拨、铁水联运、河海联运等业务,构建跨区域物流通道网络和分工协作体系。(责任单位:市口岸物流办)</w:t>
      </w:r>
    </w:p>
    <w:p w14:paraId="6CB1F4DC">
      <w:pPr>
        <w:snapToGrid w:val="0"/>
        <w:spacing w:after="0" w:line="570" w:lineRule="exact"/>
        <w:ind w:firstLine="720"/>
        <w:jc w:val="both"/>
        <w:rPr>
          <w:rFonts w:hint="eastAsia" w:ascii="Times New Roman" w:hAnsi="Times New Roman" w:eastAsia="方正楷体简体" w:cs="方正楷体简体"/>
          <w:b/>
          <w:bCs/>
          <w:color w:val="000000"/>
          <w:sz w:val="32"/>
          <w:szCs w:val="32"/>
        </w:rPr>
      </w:pPr>
      <w:r>
        <w:rPr>
          <w:rFonts w:hint="eastAsia" w:ascii="Times New Roman" w:hAnsi="Times New Roman" w:eastAsia="方正楷体简体" w:cs="方正楷体简体"/>
          <w:b/>
          <w:bCs/>
          <w:color w:val="000000"/>
          <w:sz w:val="32"/>
          <w:szCs w:val="32"/>
        </w:rPr>
        <w:t>(三)实施网络联通行动。</w:t>
      </w:r>
    </w:p>
    <w:p w14:paraId="628554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5.打造综合立体交通网。</w:t>
      </w:r>
      <w:r>
        <w:rPr>
          <w:rFonts w:hint="eastAsia" w:ascii="Times New Roman" w:hAnsi="Times New Roman" w:eastAsia="方正仿宋简体" w:cs="方正仿宋简体"/>
          <w:color w:val="000000"/>
          <w:sz w:val="32"/>
          <w:szCs w:val="32"/>
        </w:rPr>
        <w:t>加快构建“一轴二廊三通道”的综合交通主骨架,融入国家京津冀—长三角主轴、京哈走廊和京藏走廊及省内“一轴两廊十通道”综合运输大通道。积极拓展国内航空货运航线,加快发展小清河内河航运物流运输。(责任单位:市交通运输局、市口岸物流办、市邮政管理局,相关区县政府)</w:t>
      </w:r>
    </w:p>
    <w:p w14:paraId="6F39376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6.拓展国际航空物流通道。</w:t>
      </w:r>
      <w:r>
        <w:rPr>
          <w:rFonts w:hint="eastAsia" w:ascii="Times New Roman" w:hAnsi="Times New Roman" w:eastAsia="方正仿宋简体" w:cs="方正仿宋简体"/>
          <w:color w:val="000000"/>
          <w:sz w:val="32"/>
          <w:szCs w:val="32"/>
        </w:rPr>
        <w:t>坚持客货并举,重点加密或开通至亚洲、欧洲、美洲航线,布局至“一带一路”沿线国家航线。拓展“空空+空地”货物集疏模式,发展全货机航线,提高客机腹舱运力利用率,增加卡车航班线路和密度。到2026年,济南机场开通国际(地区)客货运航线累计65条以上。(责任单位:市口岸物流办、市交通运输局、济南机场海关)</w:t>
      </w:r>
    </w:p>
    <w:p w14:paraId="406D3FE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7.丰富国际陆路物流通道。</w:t>
      </w:r>
      <w:r>
        <w:rPr>
          <w:rFonts w:hint="eastAsia" w:ascii="Times New Roman" w:hAnsi="Times New Roman" w:eastAsia="方正仿宋简体" w:cs="方正仿宋简体"/>
          <w:color w:val="000000"/>
          <w:sz w:val="32"/>
          <w:szCs w:val="32"/>
        </w:rPr>
        <w:t>加快提升中欧班列集结能力,充分发挥辐射带动作用,积极申建全国中欧班列集结中心,持续拓展中欧班列通道,接入跨里海国际运输走廊,形成覆盖欧洲、中亚、东南亚等地区的网络体系。探索推进TIR国际道路运输。到2026年,中欧班列(济南)运行线路达16条,年开行量稳定在1000列以上,年均增幅8%以上。(责任单位:市口岸物流办、市交通运输局、市商务局、泉城海关)</w:t>
      </w:r>
    </w:p>
    <w:p w14:paraId="089B299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8.畅通铁海联运物流通道。</w:t>
      </w:r>
      <w:r>
        <w:rPr>
          <w:rFonts w:hint="eastAsia" w:ascii="Times New Roman" w:hAnsi="Times New Roman" w:eastAsia="方正仿宋简体" w:cs="方正仿宋简体"/>
          <w:color w:val="000000"/>
          <w:sz w:val="32"/>
          <w:szCs w:val="32"/>
        </w:rPr>
        <w:t>开辟济南至青岛、天津、连云港等铁海联运班列线路,探索开行省际合作班列,力争形成高频次、高时效稳定运行的铁海联运网络。加强与沿海港口无缝对接,优化铁海联运通关模式。到2026年,陆(河)海联运集装箱吞吐量累计达5万标箱。(责任单位:市口岸物流办、市交通运输局、泉城海关,相关区县政府)</w:t>
      </w:r>
    </w:p>
    <w:p w14:paraId="45EE1FE6">
      <w:pPr>
        <w:keepNext/>
        <w:keepLines/>
        <w:widowControl/>
        <w:spacing w:after="0" w:line="240" w:lineRule="auto"/>
        <w:ind w:firstLine="720"/>
        <w:jc w:val="left"/>
        <w:outlineLvl w:val="1"/>
        <w:rPr>
          <w:rFonts w:hint="eastAsia" w:ascii="Times New Roman" w:hAnsi="Times New Roman" w:eastAsia="方正楷体简体" w:cs="方正楷体简体"/>
          <w:b/>
          <w:bCs/>
          <w:color w:val="000000"/>
          <w:sz w:val="32"/>
          <w:szCs w:val="32"/>
        </w:rPr>
      </w:pPr>
      <w:r>
        <w:rPr>
          <w:rFonts w:hint="eastAsia" w:ascii="Times New Roman" w:hAnsi="Times New Roman" w:eastAsia="方正楷体简体" w:cs="方正楷体简体"/>
          <w:b/>
          <w:bCs/>
          <w:color w:val="000000"/>
          <w:sz w:val="32"/>
          <w:szCs w:val="32"/>
        </w:rPr>
        <w:t>(四)实施降本增效行动</w:t>
      </w:r>
    </w:p>
    <w:p w14:paraId="72E4459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9.加快推动运输结构调整。</w:t>
      </w:r>
      <w:r>
        <w:rPr>
          <w:rFonts w:hint="eastAsia" w:ascii="Times New Roman" w:hAnsi="Times New Roman" w:eastAsia="方正仿宋简体" w:cs="方正仿宋简体"/>
          <w:color w:val="000000"/>
          <w:sz w:val="32"/>
          <w:szCs w:val="32"/>
        </w:rPr>
        <w:t>加快建设将山、济北等多式联运项目。推进铁路专用线进港区、连园区、接厂区,建成郭大铁路专用线,启动山东宝鼎铁路专用线等项目建设。谋划推进董家铁路货运中心二期工程、小清河港专用线建设。大力发展多式联运“一单制”“一箱制”。鼓励发展集拼集运、模块化运输、“散改集”等组织模式,合理有序推进“公转铁”“公转水”,降低物流运输成本。到2026年,国内班列重点线路达到6条,全市铁路集装箱年货运量达到50万标箱以上。(责任单位:市交通运输局、市口岸物流办,相关区县政府)</w:t>
      </w:r>
    </w:p>
    <w:p w14:paraId="13C9DF6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10.加快建设新型基础设施。</w:t>
      </w:r>
      <w:r>
        <w:rPr>
          <w:rFonts w:hint="eastAsia" w:ascii="Times New Roman" w:hAnsi="Times New Roman" w:eastAsia="方正仿宋简体" w:cs="方正仿宋简体"/>
          <w:color w:val="000000"/>
          <w:sz w:val="32"/>
          <w:szCs w:val="32"/>
        </w:rPr>
        <w:t>推动传统物流基础设施加快实施数字化改造升级,重点建设智慧物流园区、智慧立体仓储基地、智能快递分拨中心等新型物流基础设施。加快建设国家智慧口岸试点项目,提升空港口岸数字化、信息化水平。推进城郊大型仓储基地建设,增强城市物流体系“平急转换”水平。鼓励发展与低空经济结合的物流新模式。到2026年,现代物流网基础设施项目竣工40个以上,累计完投资260亿元;培育打造5家智慧物流园区、10家智慧立体仓储基地、5家智能快递分拨中心。(责任单位:市口岸物流办、市交通运输局、市发展改革委、市邮政管理局,相关区县政府)</w:t>
      </w:r>
    </w:p>
    <w:p w14:paraId="61F26B1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11.加快发展平台经济。</w:t>
      </w:r>
      <w:r>
        <w:rPr>
          <w:rFonts w:hint="eastAsia" w:ascii="Times New Roman" w:hAnsi="Times New Roman" w:eastAsia="方正仿宋简体" w:cs="方正仿宋简体"/>
          <w:color w:val="000000"/>
          <w:sz w:val="32"/>
          <w:szCs w:val="32"/>
        </w:rPr>
        <w:t>鼓励具备条件的企业建设供应链一体化、大宗商品交易和多式联运等信息服务平台。积极推动货运行业数字化转型发展,鼓励发展网络货运平台,对零散运力、货源实施集约化整合。加快搭建山东中欧班列数字化综合服务平台。建成投用济南市智慧口岸物流平台,提高用户粘性和交互性,推动公共数据、行业数据和社会数据资源融合互通。到2026年,入驻济南市智慧口岸物流平台企业数量达450家。(责任单位:市口岸物流办、市交通运输局、市大数据局,相关区县政府)</w:t>
      </w:r>
    </w:p>
    <w:p w14:paraId="7B3AE03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12.加快与制造业融合发展。</w:t>
      </w:r>
      <w:r>
        <w:rPr>
          <w:rFonts w:hint="eastAsia" w:ascii="Times New Roman" w:hAnsi="Times New Roman" w:eastAsia="方正仿宋简体" w:cs="方正仿宋简体"/>
          <w:color w:val="000000"/>
          <w:sz w:val="32"/>
          <w:szCs w:val="32"/>
        </w:rPr>
        <w:t>聚焦全市四大主导产业、十大标志性产业链群,开展先进制造业和现代物流业深度融合发展试点工作,重点支持物流业制造业市场主体融合发展、设施设备联动、业务流程协同、标准规范衔接、信息资源共享。到2026年,培育壮大物流业制造业融合创新发展应用场景15个以上。(责任单位:市口岸物流办、市工业和信息化局、市邮政管理局,相关区县政府)</w:t>
      </w:r>
    </w:p>
    <w:p w14:paraId="5B82B44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13.加快发展绿色物流。</w:t>
      </w:r>
      <w:r>
        <w:rPr>
          <w:rFonts w:hint="eastAsia" w:ascii="Times New Roman" w:hAnsi="Times New Roman" w:eastAsia="方正仿宋简体" w:cs="方正仿宋简体"/>
          <w:color w:val="000000"/>
          <w:sz w:val="32"/>
          <w:szCs w:val="32"/>
        </w:rPr>
        <w:t>推进货物包装和物流器具绿色化、减量化,鼓励企业研发使用可循环的绿色包装和可降解绿色包材。推动建立托盘等标准化装载器具循环共用体系,减少企业重复投入。加快“换新+回收”物流体系和新模式发展,促进大规模回收循环利用。到2026年,电商快件不再二次包装比例保持在90%以上,年均使用可循环快递包装快件超过1200万件,年均回收复用质量完好的瓦楞纸箱1000万个。(责任单位:市口岸物流办、市邮政管理局,相关区县政府)</w:t>
      </w:r>
    </w:p>
    <w:p w14:paraId="0082D7D5">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(五)实施动力培育行动。</w:t>
      </w:r>
    </w:p>
    <w:p w14:paraId="7EDCECB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14.实施精准“招大引强”。</w:t>
      </w:r>
      <w:r>
        <w:rPr>
          <w:rFonts w:hint="eastAsia" w:ascii="Times New Roman" w:hAnsi="Times New Roman" w:eastAsia="方正仿宋简体" w:cs="方正仿宋简体"/>
          <w:color w:val="000000"/>
          <w:sz w:val="32"/>
          <w:szCs w:val="32"/>
        </w:rPr>
        <w:t>制定精准招商目录,瞄准</w:t>
      </w:r>
    </w:p>
    <w:p w14:paraId="2B4E45C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世界物流100强、中国物流50强、货代物流100强等企业,争取引进一批区域性、功能性总部和运营结算中心。重点围绕智慧供应链、网络货运平台等领域的科技型、成长型平台企业开展精准招商,打造立足山东半岛城市群、联动国内国际重点区域的物流供应链服务中心。到2026年,新招引物流头部企业和总部(含区域)企业数量达10家。(责任单位:市口岸物流办、市投资促进局,相关区县政府)</w:t>
      </w:r>
    </w:p>
    <w:p w14:paraId="5E47687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15.盘活存量做大做强。</w:t>
      </w:r>
      <w:r>
        <w:rPr>
          <w:rFonts w:hint="eastAsia" w:ascii="Times New Roman" w:hAnsi="Times New Roman" w:eastAsia="方正仿宋简体" w:cs="方正仿宋简体"/>
          <w:color w:val="000000"/>
          <w:sz w:val="32"/>
          <w:szCs w:val="32"/>
        </w:rPr>
        <w:t>鼓励龙头物流企业实施市场化兼并重组,加快向综合物流服务商、供应链一体化服务商转型,提高综合服务能力和国际竞争力。鼓励中小企业聚焦细分市场,加快向专业化、特色化、定制化服务商转型。到2026年,全市规模以上交通运输、仓储和邮政业(剔除客运)年营业收入突破1140亿元,5A级物流企业数量达19家以上。(责任单位:市口岸物流办,相关区县政府)</w:t>
      </w:r>
    </w:p>
    <w:p w14:paraId="1990B33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16.壮大冷链物流产业集群。</w:t>
      </w:r>
      <w:r>
        <w:rPr>
          <w:rFonts w:hint="eastAsia" w:ascii="Times New Roman" w:hAnsi="Times New Roman" w:eastAsia="方正仿宋简体" w:cs="方正仿宋简体"/>
          <w:color w:val="000000"/>
          <w:sz w:val="32"/>
          <w:szCs w:val="32"/>
        </w:rPr>
        <w:t>加快塑造“枢鲜泉城”渠道品牌,优化布局“4个集散基地+11个集配中心+N个采供网点”三级节点网络体系。持续完善农产品产地冷藏保鲜设施、城市生鲜配送末端网点,严格实施冷链食品药品安全监管。到2026年,新增冷链设施库容100万立方米以上,基本建成国家肉类水产品冷链物流集散贸易中心、全国重要的医药产品冷链物流集散基地。(责任单位:市口岸物流办、市农业农村局、市商务局、市市场监管局,相关区县政府)</w:t>
      </w:r>
    </w:p>
    <w:p w14:paraId="5668316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(六)实施品牌塑造行动。</w:t>
      </w:r>
    </w:p>
    <w:p w14:paraId="21B7032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17.加快建设国家物流枢纽(基地)。</w:t>
      </w:r>
      <w:r>
        <w:rPr>
          <w:rFonts w:hint="eastAsia" w:ascii="Times New Roman" w:hAnsi="Times New Roman" w:eastAsia="方正仿宋简体" w:cs="方正仿宋简体"/>
          <w:color w:val="000000"/>
          <w:sz w:val="32"/>
          <w:szCs w:val="32"/>
        </w:rPr>
        <w:t>加快商贸服务型国家物流枢纽、国家骨干冷链物流基地项目建设,推动尽快融入全国枢纽(基地)互联互通网络。积极申报陆港型国家物流枢纽。到2026年,国家骨干冷链物流基地、商贸服务型国家物流枢纽增量补短板项目建成投用。(责任单位:市口岸物流办、市自然资源和规划局、市发展改革委、市商务局、历城区政府)</w:t>
      </w:r>
    </w:p>
    <w:p w14:paraId="04A9CB9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18.加快建设国家综合货运枢纽补链强链城市。</w:t>
      </w:r>
      <w:r>
        <w:rPr>
          <w:rFonts w:hint="eastAsia" w:ascii="Times New Roman" w:hAnsi="Times New Roman" w:eastAsia="方正仿宋简体" w:cs="方正仿宋简体"/>
          <w:color w:val="000000"/>
          <w:sz w:val="32"/>
          <w:szCs w:val="32"/>
        </w:rPr>
        <w:t>高标准建设济临核心城市群多式联运综合货运枢纽,推动济南和临沂对口合作工作走深走实,积极总结在设施联通、标准衔接和政策机制协同等方面取得的成功经验,并在山东半岛城市群复制推广。(责任单位:市交通运输局、市口岸物流办,相关区县政府)</w:t>
      </w:r>
    </w:p>
    <w:p w14:paraId="12A78AF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19.加快建设国家绿色货运配送示范城市。</w:t>
      </w:r>
      <w:r>
        <w:rPr>
          <w:rFonts w:hint="eastAsia" w:ascii="Times New Roman" w:hAnsi="Times New Roman" w:eastAsia="方正仿宋简体" w:cs="方正仿宋简体"/>
          <w:color w:val="000000"/>
          <w:sz w:val="32"/>
          <w:szCs w:val="32"/>
        </w:rPr>
        <w:t>推动分拨中心、大型商超、菜鸟驿站等配套设施改造提升。加快新能源及符合国六排放标准等要求的货运车辆在城市配送领域应用,促进新能源叉车在仓储领域应用,优化新能源货车通行便利措施。到2026年,新能源或清洁能源车辆在城市内快递服务运输车辆中的占比超过80%,4家以上快递企业实施光伏电站、储能、充电场站、换电站等绿色设施建设。(责任单位:市交通运输局、市发展改革委、市口岸物流办、市农业农村局、市公安局、市商务局、市邮政管理局,相关区县政府)</w:t>
      </w:r>
    </w:p>
    <w:p w14:paraId="3256397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20.加快建设中国快递示范城市。</w:t>
      </w:r>
      <w:r>
        <w:rPr>
          <w:rFonts w:hint="eastAsia" w:ascii="Times New Roman" w:hAnsi="Times New Roman" w:eastAsia="方正仿宋简体" w:cs="方正仿宋简体"/>
          <w:color w:val="000000"/>
          <w:sz w:val="32"/>
          <w:szCs w:val="32"/>
        </w:rPr>
        <w:t>支持开通济南至全球城市的跨境(快)件国际货运航线,探索开展济南中欧班列邮政跨境包裹运输业务,打造全省邮政包裹跨境运输集散地。推广“客货邮融合”“快快合作”“交快合作”等模式,加快构建区县、镇、村三级寄递物流体系。到2026年,年快递业务量突破11亿件,年均增长10%以上,年快递业务量超1亿件品牌企业达到5家,跨境快递实现三年翻番增长,新增就业岗位3000个以上;提升镇、村快递综合服务站1000个,新设智能快递箱1000组以上。(责任单位:市邮政管理局、市口岸物流办)</w:t>
      </w:r>
    </w:p>
    <w:p w14:paraId="69C31EDF">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三、保障措施</w:t>
      </w:r>
    </w:p>
    <w:p w14:paraId="7770956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(一)加强组织领导。</w:t>
      </w:r>
      <w:r>
        <w:rPr>
          <w:rFonts w:hint="eastAsia" w:ascii="Times New Roman" w:hAnsi="Times New Roman" w:eastAsia="方正仿宋简体" w:cs="方正仿宋简体"/>
          <w:color w:val="000000"/>
          <w:sz w:val="32"/>
          <w:szCs w:val="32"/>
        </w:rPr>
        <w:t>充分发挥济南市物流产业高质量发展联席会议作用,深化各部门分工协作,统筹研究重大问题、协调重大事项、推进重点工作。各区县政府要结合自身实际,建立健全物流业发展协调调度机制,确保各项任务落实到位。(责任单位:济南市物流产业高质量发展联席会议成员单位,各区县政府)</w:t>
      </w:r>
    </w:p>
    <w:p w14:paraId="5DB57E8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(二)强化要素保障。</w:t>
      </w:r>
      <w:r>
        <w:rPr>
          <w:rFonts w:hint="eastAsia" w:ascii="Times New Roman" w:hAnsi="Times New Roman" w:eastAsia="方正仿宋简体" w:cs="方正仿宋简体"/>
          <w:color w:val="000000"/>
          <w:sz w:val="32"/>
          <w:szCs w:val="32"/>
        </w:rPr>
        <w:t>推动将物流用地纳入国土空间规划、综合交通体系规划,为物流产业高质量发展留足发展空间。积极鼓励符合条件的社会资本发起成立物流产业相关投资基金。加大对骨干物流企业和中小物流企业的信贷支持力度,拓宽企业兼并重组融资渠道。(责任单位:市口岸物流办、市自然资源和规划局、市财政局、市委金融办、市交通运输局,各区县政府)</w:t>
      </w:r>
    </w:p>
    <w:p w14:paraId="2FE0FCF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(三)优化营商环境。</w:t>
      </w:r>
      <w:r>
        <w:rPr>
          <w:rFonts w:hint="eastAsia" w:ascii="Times New Roman" w:hAnsi="Times New Roman" w:eastAsia="方正仿宋简体" w:cs="方正仿宋简体"/>
          <w:color w:val="000000"/>
          <w:sz w:val="32"/>
          <w:szCs w:val="32"/>
        </w:rPr>
        <w:t>进一步深化“放管服”改革,按规定放宽物流领域相关市场准入。落实物流领域税费优惠政策,提升物流市场监管水平,健全物流信用体系建设,形成统一高效、竞争有序的物流市场。提高口岸智慧管理和服务水平,进一步提升跨境贸易便利化水平。(责任单位:市口岸物流办、市交通运输局、市农业农村局、市市场监管局、市税务局、泉城海关,各区县政府)</w:t>
      </w:r>
    </w:p>
    <w:p w14:paraId="74F1558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(四)凝聚发展合力。</w:t>
      </w:r>
      <w:r>
        <w:rPr>
          <w:rFonts w:hint="eastAsia" w:ascii="Times New Roman" w:hAnsi="Times New Roman" w:eastAsia="方正仿宋简体" w:cs="方正仿宋简体"/>
          <w:color w:val="000000"/>
          <w:sz w:val="32"/>
          <w:szCs w:val="32"/>
        </w:rPr>
        <w:t>充分发挥济南市物流产业党委作用,统筹协会、院校、企业等多方力量深化合作,完善物流人才引育机制,构建资源共享、优势互补、整体提升的产业发展格局。(责任单位:市口岸物流办,各区县政府)</w:t>
      </w:r>
    </w:p>
    <w:p w14:paraId="5DF854E3">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29971AEC">
      <w:pPr>
        <w:snapToGrid w:val="0"/>
        <w:spacing w:after="0" w:line="570" w:lineRule="exact"/>
        <w:jc w:val="center"/>
        <w:rPr>
          <w:rFonts w:hint="eastAsia" w:ascii="Times New Roman" w:hAnsi="Times New Roman" w:eastAsia="方正小标宋简体" w:cs="方正小标宋简体"/>
          <w:color w:val="000000"/>
          <w:sz w:val="44"/>
          <w:szCs w:val="44"/>
        </w:rPr>
        <w:sectPr>
          <w:footerReference r:id="rId3" w:type="default"/>
          <w:footerReference r:id="rId4" w:type="even"/>
          <w:pgSz w:w="11906" w:h="16838"/>
          <w:pgMar w:top="1120" w:right="1449" w:bottom="1960" w:left="1542" w:header="708" w:footer="1080" w:gutter="0"/>
          <w:pgNumType w:fmt="decimal" w:start="1"/>
          <w:cols w:space="720" w:num="1"/>
        </w:sectPr>
      </w:pPr>
    </w:p>
    <w:p w14:paraId="2ECCEC52">
      <w:pPr>
        <w:snapToGrid w:val="0"/>
        <w:spacing w:after="0" w:line="570" w:lineRule="exact"/>
        <w:jc w:val="center"/>
        <w:rPr>
          <w:rFonts w:hint="eastAsia" w:ascii="Times New Roman" w:hAnsi="Times New Roman" w:eastAsia="方正小标宋简体" w:cs="方正小标宋简体"/>
          <w:color w:val="000000"/>
          <w:sz w:val="44"/>
          <w:szCs w:val="44"/>
        </w:rPr>
      </w:pPr>
      <w:r>
        <w:rPr>
          <w:rFonts w:hint="eastAsia" w:ascii="Times New Roman" w:hAnsi="Times New Roman" w:eastAsia="方正小标宋简体" w:cs="方正小标宋简体"/>
          <w:color w:val="000000"/>
          <w:sz w:val="44"/>
          <w:szCs w:val="44"/>
        </w:rPr>
        <w:t>济南市市场监督管理局等九部门关于质量基础设施助力产业链供应链质量联动提升赋能工业强市建设的实施方案</w:t>
      </w:r>
    </w:p>
    <w:p w14:paraId="5F983CB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各区县(功能区)市场监管、发改、教育、科技、工信、人社、生态、农业农村、商务部门:</w:t>
      </w:r>
    </w:p>
    <w:p w14:paraId="7B3680F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充分发挥质量基础设施效能,助力产业链供应链质量联动提升,凝聚加快推进新型工业化的强大合力,系统推进质量强企强链强市,根据«山东省市场监督管理局等九部门关于质量基础设施助力产业链供应链质量联动提升赋能新型工业化发展的实施意见»(鲁市监发〔２０２４〕５号),结合我市实际,制定本方案.</w:t>
      </w:r>
    </w:p>
    <w:p w14:paraId="27C64085">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一、总体要求</w:t>
      </w:r>
    </w:p>
    <w:p w14:paraId="71BDEED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(一)指导思想.</w:t>
      </w:r>
      <w:r>
        <w:rPr>
          <w:rFonts w:hint="eastAsia" w:ascii="Times New Roman" w:hAnsi="Times New Roman" w:eastAsia="方正仿宋简体" w:cs="方正仿宋简体"/>
          <w:color w:val="000000"/>
          <w:sz w:val="32"/>
          <w:szCs w:val="32"/>
        </w:rPr>
        <w:t>以习近平新时代中国特色社会主义思想为指导,全面贯彻新发展理念,牢固树立质量第一意识,聚焦产业链供应链重大质量瓶颈,培育发展新质生产力,系统推进以标准、计量、检验检测、认证认可为基础的质量基础设施建设,实现产业链供应链上中下游各环节质量联动发展,点线面各层级质量协同共进,赋能质量强市、工业强市建设,为“强新优富美高”新时代社会主义现代化强省会提供坚实质量支撑.</w:t>
      </w:r>
    </w:p>
    <w:p w14:paraId="68F3064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(二)主要目标.</w:t>
      </w:r>
      <w:r>
        <w:rPr>
          <w:rFonts w:hint="eastAsia" w:ascii="Times New Roman" w:hAnsi="Times New Roman" w:eastAsia="方正仿宋简体" w:cs="方正仿宋简体"/>
          <w:color w:val="000000"/>
          <w:sz w:val="32"/>
          <w:szCs w:val="32"/>
        </w:rPr>
        <w:t>通过开展质量基础设施助力产业链供应链质量联动提升行动,在打造安全可靠、竞争力强、品牌影响力显著的现代化产业体系上取得一批重大标志性成果,质量在企业做大做强、产业建圈强链、城市可持续发展中的作用更加彰显.到２０２５年底,产业链供应链质量联动提升新格局基本形成,全市制造业质量竞争力指数达到９３,培育产业计量测试中心３个,建设质量基础设施“一站式”服务平台５个,检验检测认证产业链年产值超过１００亿元,完成省级以上质量基础设施助力产业链供应链质量联动提升试点项目２个.</w:t>
      </w:r>
    </w:p>
    <w:p w14:paraId="1C7503F3">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二、提升质量基础设施支撑能力</w:t>
      </w:r>
    </w:p>
    <w:p w14:paraId="5E86BE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(三)实施计量服务提升工程.</w:t>
      </w:r>
      <w:r>
        <w:rPr>
          <w:rFonts w:hint="eastAsia" w:ascii="Times New Roman" w:hAnsi="Times New Roman" w:eastAsia="方正仿宋简体" w:cs="方正仿宋简体"/>
          <w:color w:val="000000"/>
          <w:sz w:val="32"/>
          <w:szCs w:val="32"/>
        </w:rPr>
        <w:t>聚焦产业发展计量测试难题,加强计量测试技术方法和设备研究,为重点产业提供全溯源链、全产业链、全寿命周期的前瞻性计量测试服务,实现计量测试技术与产业的深度融合.同时,突出战略性新兴产业、碳计量和高技术领域,推动相关社会公用计量标准技术改造和升级换代.(市市场监管局)</w:t>
      </w:r>
    </w:p>
    <w:p w14:paraId="0A21B94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(四)实施检验检测和认证提升工程.</w:t>
      </w:r>
      <w:r>
        <w:rPr>
          <w:rFonts w:hint="eastAsia" w:ascii="Times New Roman" w:hAnsi="Times New Roman" w:eastAsia="方正仿宋简体" w:cs="方正仿宋简体"/>
          <w:color w:val="000000"/>
          <w:sz w:val="32"/>
          <w:szCs w:val="32"/>
        </w:rPr>
        <w:t>牵头建立济南都市圈认证检测联盟,加强济南、淄博、泰安、德州、聊城、滨州６市检测认证监管服务交流合作,共谋区域监管服务“一盘棋”,力争实现资源共享、平台共用、结果互认、监管互助,有力促进要素流通和市场畅通.立足济南市国家检验检测高技术服务业集聚区各片区产业特点,推动错位发展、优势互补.优化协同监管方式,推动检验检测认证行业健康发展.(市市场监管局)</w:t>
      </w:r>
    </w:p>
    <w:p w14:paraId="3D8EECD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(五)实施创新标准供给工程.</w:t>
      </w:r>
      <w:r>
        <w:rPr>
          <w:rFonts w:hint="eastAsia" w:ascii="Times New Roman" w:hAnsi="Times New Roman" w:eastAsia="方正仿宋简体" w:cs="方正仿宋简体"/>
          <w:color w:val="000000"/>
          <w:sz w:val="32"/>
          <w:szCs w:val="32"/>
        </w:rPr>
        <w:t>鼓励和支持企业积极参与标准制定,加快推进前瞻性、先导性关键技术标准研究,促进科技成果向标准转化.加强技术标准创新基地、标准验证点等标准化创新平台建设,积极培育标准创新型企业,激发企业内生动力和创新活力.持续开展标准助企行动,加强标准化知识培训和重要标准宣贯,总结提炼标准化优势企业的经验做法,加大宣传推广力度,提升企业标准化意识.(市市场监管局)</w:t>
      </w:r>
    </w:p>
    <w:p w14:paraId="3BF0F99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(六)实施质量基础设施协同建设应用工程.</w:t>
      </w:r>
      <w:r>
        <w:rPr>
          <w:rFonts w:hint="eastAsia" w:ascii="Times New Roman" w:hAnsi="Times New Roman" w:eastAsia="方正仿宋简体" w:cs="方正仿宋简体"/>
          <w:color w:val="000000"/>
          <w:sz w:val="32"/>
          <w:szCs w:val="32"/>
        </w:rPr>
        <w:t>加强质量基础设施“一站式”服务体系建设,持续提升协同服务效能,推进质量要素资源共建共享,减少重复建设、同质建设.通过组织开展标准化、检验检测、认证认可、质量管理专题培训和检企对接等活动,为各类中小企业提供标准数据和标准化咨询服务、计量检定和产品检测、知识产权和品牌咨询等服务,打通服务企业“最后一公里”.(市市场监管局)</w:t>
      </w:r>
    </w:p>
    <w:p w14:paraId="00B8B39C">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三、助力企业提升质量保障能力</w:t>
      </w:r>
    </w:p>
    <w:p w14:paraId="70C8726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(七)提升企业质量创新能力.</w:t>
      </w:r>
      <w:r>
        <w:rPr>
          <w:rFonts w:hint="eastAsia" w:ascii="Times New Roman" w:hAnsi="Times New Roman" w:eastAsia="方正仿宋简体" w:cs="方正仿宋简体"/>
          <w:color w:val="000000"/>
          <w:sz w:val="32"/>
          <w:szCs w:val="32"/>
        </w:rPr>
        <w:t>加大对基础研究、产业共性技术研究的支持,重点解决“卡脖子”技术瓶颈.激励企业加大技术创新投入,支持中小企业深耕特定细分产业领域,提高关键生产设备、工艺水平和关键零部件的性能.强化企业质量提升主体地位,推动链主企业、产业链企业联合质量赋能专业技术机构,共同组建质量技术创新联合体,协同推进质量设计、试验检测、可靠性工程等先进质量技术的研发应用.深入实施企业标准领跑者制度,持续开展标准助企专项行动,培育一批标准创新型企业.到２０２５年,培育１５个以上标准创新型企业.(市市场监管局、市工业和信息化局、市科技局)</w:t>
      </w:r>
    </w:p>
    <w:p w14:paraId="668D226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(八)提升企业质量管理能力.</w:t>
      </w:r>
      <w:r>
        <w:rPr>
          <w:rFonts w:hint="eastAsia" w:ascii="Times New Roman" w:hAnsi="Times New Roman" w:eastAsia="方正仿宋简体" w:cs="方正仿宋简体"/>
          <w:color w:val="000000"/>
          <w:sz w:val="32"/>
          <w:szCs w:val="32"/>
        </w:rPr>
        <w:t>鼓励企业创新质量管理理念、方法、工具,推动全员、全要素、全过程、全数据的新型质量管理体系应用.定期遴选发布济南优势工业产品目录,对企业优势产品进行集中宣传推广,助力企业提升品牌知名度.实施“中小企业计量伙伴计划”,开展“计量服务中小企业行”活动.深入开展小微企业质量管理体系认证提升行动,到２０２５年,质量管理体系认证证书数量突破１２０００张,实现１０００家小微企业质量管理体系认证升级.(市市场监管局、市工业和信息化局、市农业农村局)</w:t>
      </w:r>
    </w:p>
    <w:p w14:paraId="38122E6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(九)提升企业品牌建设能力</w:t>
      </w:r>
      <w:r>
        <w:rPr>
          <w:rFonts w:hint="eastAsia" w:ascii="Times New Roman" w:hAnsi="Times New Roman" w:eastAsia="方正仿宋简体" w:cs="方正仿宋简体"/>
          <w:color w:val="000000"/>
          <w:sz w:val="32"/>
          <w:szCs w:val="32"/>
        </w:rPr>
        <w:t>.做好质量标杆遴选推荐工作,打造一批全国、全省质量标杆.积极组织企业参加“山东制造</w:t>
      </w:r>
      <w:r>
        <w:rPr>
          <w:rFonts w:hint="eastAsia" w:ascii="Times New Roman" w:hAnsi="Times New Roman" w:eastAsia="微软雅黑" w:cs="微软雅黑"/>
          <w:color w:val="000000"/>
          <w:sz w:val="32"/>
          <w:szCs w:val="32"/>
        </w:rPr>
        <w:t>􀅰</w:t>
      </w:r>
      <w:r>
        <w:rPr>
          <w:rFonts w:hint="eastAsia" w:ascii="Times New Roman" w:hAnsi="Times New Roman" w:eastAsia="方正仿宋简体" w:cs="方正仿宋简体"/>
          <w:color w:val="000000"/>
          <w:sz w:val="32"/>
          <w:szCs w:val="32"/>
        </w:rPr>
        <w:t>齐鲁精品”评选工作,加强“好品山东”“山东省高端品牌企业”培育,持续开展“泉城好品”遴选,深化“泉水人家”农产品区域公用品牌赋能.积极组织企业参加市场开拓,引导支持企业抱团出海、集群式“走出去”.到２０２５年,“好品山东”品牌达到６１家,“泉城好品”品牌超过１００家,山东省高端品牌培育企业超过３５５家,全国质量标杆达到２项、全省质量标杆达到２５项,“泉水人家”授权企业达到１４０家以上、授权产品４１０款以上.(市市场监管局、市工业和信息化局、市农业农村局、市商务局)</w:t>
      </w:r>
    </w:p>
    <w:p w14:paraId="45F0988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(十)提升企业质量人才服务能力.</w:t>
      </w:r>
      <w:r>
        <w:rPr>
          <w:rFonts w:hint="eastAsia" w:ascii="Times New Roman" w:hAnsi="Times New Roman" w:eastAsia="方正仿宋简体" w:cs="方正仿宋简体"/>
          <w:color w:val="000000"/>
          <w:sz w:val="32"/>
          <w:szCs w:val="32"/>
        </w:rPr>
        <w:t>健全企业家培养、激励、服务机制,选树一批崇尚质量的企业家典型.推行企业首席质量官制度,加强注册计量师、企业标准化技术经理人、质量工程师等队伍建设.全面推进质量人才知识更新和技能提升,鼓励高校和职业院校加强质量相关学科建设和专业设置,推动校企合作、培养高技能质量人才.加强质量技术机构人才培育,完善人才柔性引进机制,构建与产业发展需求相适应的专业技术人才队伍.(市教育局、市人力资源社会保障局、市市场监管局)</w:t>
      </w:r>
    </w:p>
    <w:p w14:paraId="5C06BE41">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四、赋能产业链供应链质量联动提升</w:t>
      </w:r>
    </w:p>
    <w:p w14:paraId="736B3C7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(十一)实施“一链一策”行动,制定产业链供应链质量联动提升方案.</w:t>
      </w:r>
      <w:r>
        <w:rPr>
          <w:rFonts w:hint="eastAsia" w:ascii="Times New Roman" w:hAnsi="Times New Roman" w:eastAsia="方正仿宋简体" w:cs="方正仿宋简体"/>
          <w:color w:val="000000"/>
          <w:sz w:val="32"/>
          <w:szCs w:val="32"/>
        </w:rPr>
        <w:t>聚焦新一代信息技术、量子产业、空天信息、生物医药等标志性产业链,每个区(县)至少遴选１条试点产业链,组织开展质量状况调查,摸清全链上下游结构、地域分布、企业构成等情况,依托链主企业、头部企业,组织专家问诊把脉,从质量技术、质量管理、品牌建设、知识产权、供应链配套等方面识别和剖析关键质量问题,绘制质量图谱,“一链一策”制定质量联动提升方案,明确质量提升的目标、路径和措施.(市市场监管局)</w:t>
      </w:r>
    </w:p>
    <w:p w14:paraId="5B7497C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(十二)实施“揭榜挂帅”行动,破解产业链供应链质量发展瓶颈.</w:t>
      </w:r>
      <w:r>
        <w:rPr>
          <w:rFonts w:hint="eastAsia" w:ascii="Times New Roman" w:hAnsi="Times New Roman" w:eastAsia="方正仿宋简体" w:cs="方正仿宋简体"/>
          <w:color w:val="000000"/>
          <w:sz w:val="32"/>
          <w:szCs w:val="32"/>
        </w:rPr>
        <w:t>推动标志性产业链链主企业牵头组建质量技术创新联合体,实施质量攻关,突破一批重大质量技术瓶颈.开展国家级服务业标准化试点,以标准链畅通产业链.推动部分链主企业发挥需求牵引作用,通过合格供应商评定、检测认证等手段,将上下游企业纳入共同的质量管理体系,实现先进质量理念、方法和工具向全产业链延伸,推动全链条质量协同升级.加强市级知识产权公共服务平台建设,强化知识产权创造、保护、运用“全链条”服务,组织开展专利转化专项行动.鼓励重点企业、新型研发机构联合优势科研力量,攻克产业发展急需解决的技术难题,立足我市产业基础、资源禀赋和技术优势,实施“揭榜挂帅”项目２０项以上.到２０２５年,“助企攀登”行动帮扶每家链主企业研发申报４至５件高价值发明专利.(市市场监管局、市工业和信息化局、市科技局)</w:t>
      </w:r>
    </w:p>
    <w:p w14:paraId="2F8940E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(十三)实施“AI＋链”行动,提升产业链供应链智能化水平.</w:t>
      </w:r>
      <w:r>
        <w:rPr>
          <w:rFonts w:hint="eastAsia" w:ascii="Times New Roman" w:hAnsi="Times New Roman" w:eastAsia="方正仿宋简体" w:cs="方正仿宋简体"/>
          <w:color w:val="000000"/>
          <w:sz w:val="32"/>
          <w:szCs w:val="32"/>
        </w:rPr>
        <w:t>推动标志性产业链数字化升级,鼓励企业开展在线检测、自动化检测和物联网智能检测,加快数智化转型.支持链主企业利用工业互联网将业务流程与管理体系向上下游延伸,沿链带动中小企业开展网络化改造和数字化应用.推动高端装备、智能制造等产业链率先开展质量管理数字化升级,聚焦共性需求场景打造小型化、快速化、轻量化、精准化解决方案.依托新一轮大规模设备更新,支持产业计量公共服务平台建设和计量测试设备智能化升级改造,提升产业链计量测试信息化、智能化水平.到２０２５年,工业互联网新型基础设施量质齐升、平台体系建设不断完善、产业生态体系进一步健全.(市工业和信息化局、市市场监管局)</w:t>
      </w:r>
    </w:p>
    <w:p w14:paraId="00D120A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(十四)实施“建圈强链”赋能行动,助力工业强市建设.</w:t>
      </w:r>
      <w:r>
        <w:rPr>
          <w:rFonts w:hint="eastAsia" w:ascii="Times New Roman" w:hAnsi="Times New Roman" w:eastAsia="方正仿宋简体" w:cs="方正仿宋简体"/>
          <w:color w:val="000000"/>
          <w:sz w:val="32"/>
          <w:szCs w:val="32"/>
        </w:rPr>
        <w:t>推动济南检验检测高技术服务业集聚区、国家检验检测认证公共服务平台示范区建设,支持围绕重点产业链、产业园区建设检验检测园区,引导检验检测产业集约化发展.推进科技创新标准化城市试点建设,进一步完善科技创新与标准化融合发展机制,争创国家技术标准创新基地、国家标准验证点、技术标准创新中心等项目.充分发挥汽车零部件精密加工、氢能、冶金３个省级产业计量测试中心在助力产业发展、促进地方经济建设中的作用,继续推进山东省中药产业计量测试中心申报工作.挖掘企业潜能,鼓励和支持头部企业、“链主”企业培育建设国家和省级产业计量测试中心,实现计量测试技术与产业的深度融合.(市市场监管局、市工业和信息化局)</w:t>
      </w:r>
    </w:p>
    <w:p w14:paraId="12EBECF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(十五)实施“双碳”行动,促进产业链供应链绿色低碳转型.</w:t>
      </w:r>
      <w:r>
        <w:rPr>
          <w:rFonts w:hint="eastAsia" w:ascii="Times New Roman" w:hAnsi="Times New Roman" w:eastAsia="方正仿宋简体" w:cs="方正仿宋简体"/>
          <w:color w:val="000000"/>
          <w:sz w:val="32"/>
          <w:szCs w:val="32"/>
        </w:rPr>
        <w:t>贯彻落实«山东省产品碳足迹评价工作方案(２０２３－２０２５)»«济南市建立健全碳达峰碳中和标准计量体系工作方案»,探索开展相关工作,完善碳达峰碳中和标准计量体系,加强碳计量基础能力建设.聚焦钢铁、石化等重点产业,组建碳计量服务队,为企业碳达峰工作提供技术支撑.实施全方位标准提升行动,支持企业积极参与能耗、排放、循环利用等领域标准制修订.促进绿色低碳认证,助力“双碳”目标实现.(市市场监管局、市工业和信息化局、市发展改革委、市生态环境局)</w:t>
      </w:r>
    </w:p>
    <w:p w14:paraId="72001EC9">
      <w:pPr>
        <w:keepNext/>
        <w:keepLines/>
        <w:widowControl/>
        <w:spacing w:after="0" w:line="240" w:lineRule="auto"/>
        <w:ind w:firstLine="640" w:firstLineChars="200"/>
        <w:jc w:val="left"/>
        <w:outlineLvl w:val="0"/>
        <w:rPr>
          <w:rFonts w:hint="eastAsia" w:ascii="Times New Roman" w:hAnsi="Times New Roman" w:eastAsia="方正仿宋简体" w:cs="方正仿宋简体"/>
          <w:color w:val="000000"/>
          <w:sz w:val="32"/>
          <w:szCs w:val="32"/>
        </w:rPr>
      </w:pPr>
      <w:r>
        <w:rPr>
          <w:rFonts w:hint="eastAsia" w:ascii="Times New Roman" w:hAnsi="Times New Roman" w:eastAsia="方正黑体简体" w:cs="Times New Roman"/>
          <w:color w:val="000000"/>
          <w:kern w:val="44"/>
          <w:sz w:val="32"/>
        </w:rPr>
        <w:t>五、组织保障</w:t>
      </w:r>
    </w:p>
    <w:p w14:paraId="49610AE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(十六)加强组织领导.</w:t>
      </w:r>
      <w:r>
        <w:rPr>
          <w:rFonts w:hint="eastAsia" w:ascii="Times New Roman" w:hAnsi="Times New Roman" w:eastAsia="方正仿宋简体" w:cs="方正仿宋简体"/>
          <w:color w:val="000000"/>
          <w:sz w:val="32"/>
          <w:szCs w:val="32"/>
        </w:rPr>
        <w:t>市市场监管局牵头抓好质量基础设施助力产业链供应链质量联动提升赋能工业强市建设的组织实施工作,全面推进各项任务落实,统筹解决跨区域、跨领域和跨部门问题.各相关部门密切协作,细化政策措施,形成合力.各区县要结合本地实际,选取重点产业链供应链,“一链一策”制定质量强链方案,确保各项任务措施落地见效.</w:t>
      </w:r>
    </w:p>
    <w:p w14:paraId="39B77FB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(十七)加大政策支持.</w:t>
      </w:r>
      <w:r>
        <w:rPr>
          <w:rFonts w:hint="eastAsia" w:ascii="Times New Roman" w:hAnsi="Times New Roman" w:eastAsia="方正仿宋简体" w:cs="方正仿宋简体"/>
          <w:color w:val="000000"/>
          <w:sz w:val="32"/>
          <w:szCs w:val="32"/>
        </w:rPr>
        <w:t>充分发挥科技研发资金、质量强市建设专项资金等带动作用,对符合政策要求的各类质量基础设施建设以及科技研发项目予以支持.鼓励重点企业、新型研发机构联合优势科研力量,攻克产业发展急需解决的技术难题,对符合政策要求的项目择优予以资金支持.落实企业研发后补助政策,促进企业创新效能提升.</w:t>
      </w:r>
    </w:p>
    <w:p w14:paraId="6C236C2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(十八)强化宣传引导.</w:t>
      </w:r>
      <w:r>
        <w:rPr>
          <w:rFonts w:hint="eastAsia" w:ascii="Times New Roman" w:hAnsi="Times New Roman" w:eastAsia="方正仿宋简体" w:cs="方正仿宋简体"/>
          <w:color w:val="000000"/>
          <w:sz w:val="32"/>
          <w:szCs w:val="32"/>
        </w:rPr>
        <w:t>充分发挥媒体作用,利用“中国品牌日”“质量月”“世界计量日”“世界认可日”“世界标准日”等重要活动,加大对标准、计量、检验检测和认证认可的宣传力度,提升企业质量品牌意识,引导企业重视质量、关心质量,培育以技术、标准、品牌、质量、服务等为核心的竞争合作新优势.　</w:t>
      </w:r>
      <w:r>
        <w:rPr>
          <w:rFonts w:hint="eastAsia" w:ascii="Times New Roman" w:hAnsi="Times New Roman" w:eastAsia="方正仿宋简体" w:cs="方正仿宋简体"/>
          <w:color w:val="000000"/>
          <w:sz w:val="32"/>
          <w:szCs w:val="32"/>
        </w:rPr>
        <w:pict>
          <v:shape id="PathGroup" o:spid="_x0000_s2050" o:spt="75" type="#_x0000_t75" style="position:absolute;left:0pt;margin-left:75pt;margin-top:672pt;height:4pt;width:445pt;mso-position-horizontal-relative:page;z-index:-251657216;mso-width-relative:page;mso-height-relative:page;" filled="f" o:preferrelative="t" stroked="f" coordsize="21600,21600" o:allowincell="f">
            <v:path/>
            <v:fill on="f" focussize="0,0"/>
            <v:stroke on="f"/>
            <v:imagedata r:id="rId11" o:title=""/>
            <o:lock v:ext="edit" aspectratio="t"/>
            <w10:anchorlock/>
          </v:shape>
        </w:pict>
      </w:r>
      <w:r>
        <w:rPr>
          <w:rFonts w:hint="eastAsia" w:ascii="Times New Roman" w:hAnsi="Times New Roman" w:eastAsia="方正仿宋简体" w:cs="方正仿宋简体"/>
          <w:color w:val="000000"/>
          <w:sz w:val="32"/>
          <w:szCs w:val="32"/>
        </w:rPr>
        <w:pict>
          <v:shape id="_x0000_s2051" o:spid="_x0000_s2051" o:spt="75" type="#_x0000_t75" style="position:absolute;left:0pt;margin-left:75pt;margin-top:705pt;height:3pt;width:445pt;mso-position-horizontal-relative:page;z-index:-251656192;mso-width-relative:page;mso-height-relative:page;" filled="f" o:preferrelative="t" stroked="f" coordsize="21600,21600" o:allowincell="f">
            <v:path/>
            <v:fill on="f" focussize="0,0"/>
            <v:stroke on="f"/>
            <v:imagedata r:id="rId12" o:title=""/>
            <o:lock v:ext="edit" aspectratio="t"/>
            <w10:anchorlock/>
          </v:shape>
        </w:pict>
      </w:r>
    </w:p>
    <w:p w14:paraId="67387B9B">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3D65B93D">
      <w:pPr>
        <w:snapToGrid w:val="0"/>
        <w:spacing w:after="0" w:line="570" w:lineRule="exact"/>
        <w:jc w:val="both"/>
        <w:rPr>
          <w:rFonts w:hint="eastAsia" w:ascii="Times New Roman" w:hAnsi="Times New Roman" w:eastAsia="方正仿宋简体" w:cs="方正仿宋简体"/>
          <w:color w:val="000000"/>
          <w:sz w:val="32"/>
          <w:szCs w:val="32"/>
        </w:rPr>
      </w:pPr>
    </w:p>
    <w:p w14:paraId="563589D5">
      <w:pPr>
        <w:snapToGrid w:val="0"/>
        <w:spacing w:after="0" w:line="570" w:lineRule="exact"/>
        <w:jc w:val="center"/>
        <w:rPr>
          <w:rFonts w:hint="eastAsia" w:ascii="Times New Roman" w:hAnsi="Times New Roman" w:eastAsia="方正小标宋简体" w:cs="方正小标宋简体"/>
          <w:color w:val="000000"/>
          <w:sz w:val="44"/>
          <w:szCs w:val="44"/>
        </w:rPr>
        <w:sectPr>
          <w:pgSz w:w="11906" w:h="16838"/>
          <w:pgMar w:top="1120" w:right="1449" w:bottom="1960" w:left="1542" w:header="708" w:footer="1080" w:gutter="0"/>
          <w:pgNumType w:fmt="decimal"/>
          <w:cols w:space="720" w:num="1"/>
        </w:sectPr>
      </w:pPr>
    </w:p>
    <w:p w14:paraId="443D290A">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济南市市中区人民政府关于印发济南市市中区推进新型工业化加快产业转型升级行动计划(2024-2026年)的通知</w:t>
      </w:r>
    </w:p>
    <w:p w14:paraId="54935AAA">
      <w:pPr>
        <w:spacing w:after="0" w:line="240" w:lineRule="auto"/>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各街道办事处，区政府各部门：</w:t>
      </w:r>
    </w:p>
    <w:p w14:paraId="667BC329">
      <w:pPr>
        <w:spacing w:after="0" w:line="240" w:lineRule="auto"/>
        <w:jc w:val="both"/>
        <w:rPr>
          <w:rFonts w:hint="eastAsia" w:ascii="Times New Roman" w:hAnsi="Times New Roman" w:eastAsia="方正仿宋简体" w:cs="方正仿宋简体"/>
          <w:color w:val="000000"/>
          <w:sz w:val="32"/>
          <w:szCs w:val="32"/>
        </w:rPr>
      </w:pPr>
    </w:p>
    <w:p w14:paraId="50B95EEA">
      <w:pPr>
        <w:spacing w:after="0" w:line="240" w:lineRule="auto"/>
        <w:ind w:firstLine="640" w:firstLineChars="20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现将《济南市市中区推进新型工业化加快产业转型升级行动计划（2024—2026年）》印发给你们，请结合工作实际，认真抓好贯彻落实。</w:t>
      </w:r>
    </w:p>
    <w:p w14:paraId="6E5F64D9">
      <w:pPr>
        <w:spacing w:after="0" w:line="240" w:lineRule="auto"/>
        <w:ind w:firstLine="640" w:firstLineChars="200"/>
        <w:jc w:val="both"/>
        <w:rPr>
          <w:rFonts w:hint="eastAsia" w:ascii="Times New Roman" w:hAnsi="Times New Roman" w:eastAsia="方正仿宋简体" w:cs="方正仿宋简体"/>
          <w:color w:val="000000"/>
          <w:sz w:val="32"/>
          <w:szCs w:val="32"/>
        </w:rPr>
      </w:pPr>
    </w:p>
    <w:p w14:paraId="6FF58955">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济南市市中区人民政府</w:t>
      </w:r>
    </w:p>
    <w:p w14:paraId="0805E9CC">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3F1F0A29">
      <w:pPr>
        <w:spacing w:after="0" w:line="240" w:lineRule="auto"/>
        <w:ind w:firstLine="640" w:firstLineChars="200"/>
        <w:jc w:val="right"/>
        <w:rPr>
          <w:rFonts w:ascii="Times New Roman" w:hAnsi="Times New Roman" w:eastAsia="方正仿宋简体" w:cs="Times New Roman"/>
          <w:color w:val="000000"/>
          <w:sz w:val="32"/>
          <w:szCs w:val="32"/>
        </w:rPr>
      </w:pPr>
      <w:r>
        <w:rPr>
          <w:rFonts w:ascii="Times New Roman" w:hAnsi="Times New Roman" w:eastAsia="方正仿宋简体" w:cs="Times New Roman"/>
          <w:color w:val="000000"/>
          <w:sz w:val="32"/>
          <w:szCs w:val="32"/>
        </w:rPr>
        <w:t>2024年10月24日</w:t>
      </w:r>
    </w:p>
    <w:p w14:paraId="7D3F80F9">
      <w:pPr>
        <w:spacing w:after="0" w:line="240" w:lineRule="auto"/>
        <w:ind w:firstLine="640" w:firstLineChars="200"/>
        <w:jc w:val="right"/>
        <w:rPr>
          <w:rFonts w:ascii="Times New Roman" w:hAnsi="Times New Roman" w:eastAsia="方正仿宋简体" w:cs="Times New Roman"/>
          <w:color w:val="000000"/>
          <w:sz w:val="32"/>
          <w:szCs w:val="32"/>
        </w:rPr>
      </w:pPr>
    </w:p>
    <w:p w14:paraId="19454A72">
      <w:pPr>
        <w:snapToGrid w:val="0"/>
        <w:spacing w:after="0" w:line="570" w:lineRule="exact"/>
        <w:jc w:val="center"/>
        <w:rPr>
          <w:rFonts w:hint="eastAsia" w:ascii="Times New Roman" w:hAnsi="Times New Roman" w:eastAsia="方正小标宋简体" w:cs="方正小标宋简体"/>
          <w:color w:val="000000"/>
          <w:sz w:val="44"/>
          <w:szCs w:val="44"/>
        </w:rPr>
      </w:pPr>
      <w:r>
        <w:rPr>
          <w:rFonts w:hint="eastAsia" w:ascii="Times New Roman" w:hAnsi="Times New Roman" w:eastAsia="方正小标宋简体" w:cs="方正小标宋简体"/>
          <w:color w:val="000000"/>
          <w:sz w:val="44"/>
          <w:szCs w:val="44"/>
        </w:rPr>
        <w:t>济南市市中区推进新型工业化加快产业转型升级行动计划（2024—2026年）</w:t>
      </w:r>
    </w:p>
    <w:p w14:paraId="76FD454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深入贯彻党的二十大和二十届二中、三中全会精神，认真落实国家新型工业化战略部署，按照全省加力提速工业经济高质量发展和全市加快建设工业强市的工作要求，聚焦推进新型工业化和加快产业转型升级，结合我区实际，制定本行动计划。</w:t>
      </w:r>
    </w:p>
    <w:p w14:paraId="7973369B">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一、总体要求</w:t>
      </w:r>
    </w:p>
    <w:p w14:paraId="7B9F7E3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坚持以习近平新时代中国特色社会主义思想为指导，完整、准确、全面贯彻新发展理念，加快构建新发展格局，以新型工业化为引领，以工业经济高质量发展为主线，因地制宜发展新质生产力，推动都市工业转型升级和创新发展，推进工业高化、智能化、绿色化、轻型化发展，着力打造新一代信息术、先进电网、能源储运销、电力装备及电力电子、新能源汽车等重点产业链群，实现都市工业链式集群发展，为建设新时代社会主义现代化活力品质强区提供坚实的产业支撑。</w:t>
      </w:r>
    </w:p>
    <w:p w14:paraId="0B28056D">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二、发展目标</w:t>
      </w:r>
    </w:p>
    <w:p w14:paraId="0A3C342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到2026年，工业增加值占GDP比重不断提升，规模以上工业营业收入突破350亿元；信息传输、软件和信息技术服务业以及先进制造业、电力热力燃气及水生产和供应业等重点产业规模总量超过550亿元；制造业占规模以上工业比重达到50%以上；亿元以上工业企业达到20家以上。</w:t>
      </w:r>
    </w:p>
    <w:p w14:paraId="195AE6E5">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三、重点任务</w:t>
      </w:r>
    </w:p>
    <w:p w14:paraId="4EFB5E7B">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（一）实施制造业转型升级行动。</w:t>
      </w:r>
    </w:p>
    <w:p w14:paraId="7D68A7E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1.优化产业规划布局。</w:t>
      </w:r>
      <w:r>
        <w:rPr>
          <w:rFonts w:hint="eastAsia" w:ascii="Times New Roman" w:hAnsi="Times New Roman" w:eastAsia="方正仿宋简体" w:cs="方正仿宋简体"/>
          <w:color w:val="000000"/>
          <w:sz w:val="32"/>
          <w:szCs w:val="32"/>
        </w:rPr>
        <w:t>把握新一轮科技革命和产业变革新机遇，着眼抢抓产业新赛道、打造产业新生态，依托区位优势和人才资源，秉持“聚焦高端、沿链聚合、做优生态、集群发展”思路，充分释放二环西路以西区域工业用地，重点培育壮大航空航天、低空经济、电力战新、新一代信息技术、新能源汽车、机器人等产业，加快建设济南市先进制造业经济区，打造一批特色产业园区，着力构建区域协调、功能互补、特色鲜明的“一区多园”产业发展新格局。坚持龙头带动、延补结合、链式发展，用好一名链长负责、一个专班落实、一家链主企业、一批链上企业、一张招商图谱、一套支持政策的“六个一”产业链群工作推进机制，有序推进重点产业链式集群发展。强化产业链招商、基金招商、平台招商、科技招商、人才招商，加大重点产业项目引进落地力度。（责任单位：区发展改革局、区科技局、区工业和信息化局、区自然资源局、区投资促进局、济南中央活力区发展促进中心、济南能源互联网产业发展促进中心、市中城发集团、市中产发有限公司、市中财金集团、市生态环境局市中分局、各街道办事处）</w:t>
      </w:r>
    </w:p>
    <w:p w14:paraId="0BD9A24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2.提升企业创新能力。</w:t>
      </w:r>
      <w:r>
        <w:rPr>
          <w:rFonts w:hint="eastAsia" w:ascii="Times New Roman" w:hAnsi="Times New Roman" w:eastAsia="方正仿宋简体" w:cs="方正仿宋简体"/>
          <w:color w:val="000000"/>
          <w:sz w:val="32"/>
          <w:szCs w:val="32"/>
        </w:rPr>
        <w:t>立足辖区产业基础，发挥技术研发优势，重点培育一批重点实验室、产业创新中心、工程研究中心、标准创新基地、制造业创新中心等国家级、省级、市级高水平研发平台。强化企业创新主体地位，支持企业建设协同创新中心和产业研究院。到2026年，建成省级及以上产业创新平台6家以上。发挥山东大学国家大学科技园、各级企业技术中心和“双创”平台作用，推动重点领域关键核心技术突破，带动新技术、新工艺、新产品研发应用，每年实施省级技术创新项目30项以上。责任单位：区发展改革局、区科技局、区工业和信息化局）</w:t>
      </w:r>
    </w:p>
    <w:p w14:paraId="09C3D52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3.力促项目提质扩容。</w:t>
      </w:r>
      <w:r>
        <w:rPr>
          <w:rFonts w:hint="eastAsia" w:ascii="Times New Roman" w:hAnsi="Times New Roman" w:eastAsia="方正仿宋简体" w:cs="方正仿宋简体"/>
          <w:color w:val="000000"/>
          <w:sz w:val="32"/>
          <w:szCs w:val="32"/>
        </w:rPr>
        <w:t>按照“竣工一批、开工一批、储备一批、谋划一批”的原则，加大重点项目推进力度，加强项目谋划储备。开辟绿色通道，优化项目建设前期手续办理程序。做好动态监测，及时解决制约项目推进的堵点问题。强化要素保障，优先保障重大产业项目用地。到2026年，工业投资占固定资产投资的比重逐步提高，进一步提升“千项技改、千企转型”双千工程质效，每年实施亿元以上重点技术改造项目5个以上。（责任单位：区发展改革局、区工业和信息化局、区商务局、区投资促进局、各街道办事处）</w:t>
      </w:r>
    </w:p>
    <w:p w14:paraId="0361C5C3">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（二）实施数字经济赋能工业转型行动。</w:t>
      </w:r>
    </w:p>
    <w:p w14:paraId="066F232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4.培育壮大数字产业。</w:t>
      </w:r>
      <w:r>
        <w:rPr>
          <w:rFonts w:hint="eastAsia" w:ascii="Times New Roman" w:hAnsi="Times New Roman" w:eastAsia="方正仿宋简体" w:cs="方正仿宋简体"/>
          <w:color w:val="000000"/>
          <w:sz w:val="32"/>
          <w:szCs w:val="32"/>
        </w:rPr>
        <w:t>发挥龙头企业领航作用，深挖产业链资源，大力发展电信增值服务、通信技术服务、电信大数据应用、通信设备制造等上下游产业，着力推动信息通信产业提级增效。引育数字赋能企业，为电力、石油、供气、供热等能源行业链主企业的上下游关键环节提供数据管理、智能硬件用、巡检等服务，全面塑强数字能源产业。利用政府机关、医疗机构、金融企业等驻区资源和应用场景，招引培育ToG、ToB行业应用软件开发和信息技术服务企业，持续壮大软件和信息技术服务产业。推动国网电力“火石”国家级工业互联网“双跨”平台做大做强做优，加快山东未来网络研究院确定性网络建设和技术研发、成果转化和创新应用，全力培优工业互联网产业。推进科大讯飞、商汤科技、中科信控等重点合作项目建设，着力打造人工智能开放创新中心、产业加速中心和产教联合示范中心，积极开发智慧教育、智慧医养等“AI+”典型应用场景，加快推动人工智能产业高质量发展。到2026年，累计培育重点骨干数字企业40家以上、首版次高端软件和大数据优秀产品50个以上。（责任单位：区发展改革局、区科技局、区工业和信息化局、区投资促进局、济南能源互联网产业发展促进中心、区园区管理服务中心、市中城投集团、市中财金集团）</w:t>
      </w:r>
    </w:p>
    <w:p w14:paraId="3EB42CA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5.推动工业数字化转型。</w:t>
      </w:r>
      <w:r>
        <w:rPr>
          <w:rFonts w:hint="eastAsia" w:ascii="Times New Roman" w:hAnsi="Times New Roman" w:eastAsia="方正仿宋简体" w:cs="方正仿宋简体"/>
          <w:color w:val="000000"/>
          <w:sz w:val="32"/>
          <w:szCs w:val="32"/>
        </w:rPr>
        <w:t>深入贯彻“工赋山东”专项行动有关要求，加快落实“工赋泉城”行动计划，积极引导企业深化“上云用数赋智”，鼓励龙头企业和骨干企业探索创新数字技术集成应用。实施规模以上工业企业数字化转型行动，举办政策宣贯和供需对接系列活动，组织服务商走访企业开展数字化转型诊断服务。深入实施双千工程，加大企业数字化技改力度，打造工业互联网标杆工厂、晨星工厂、5G全连接工厂、数字经济总部，积极培育国家级、省级智能制造试点示范项目。支持企业聚焦“数字领航”企业、两化融合管理体系贯标、特色专业型工业互联网平台等发展方向，争创国家级、省级新一代信息技术与制造业融合发展示范。到2026年，累计培育智能制造试点示范项目15个以上。（责任单位：区工业和信息化局、区财政局）</w:t>
      </w:r>
    </w:p>
    <w:p w14:paraId="1E17357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6.夯实算网数字底座。</w:t>
      </w:r>
      <w:r>
        <w:rPr>
          <w:rFonts w:hint="eastAsia" w:ascii="Times New Roman" w:hAnsi="Times New Roman" w:eastAsia="方正仿宋简体" w:cs="方正仿宋简体"/>
          <w:color w:val="000000"/>
          <w:sz w:val="32"/>
          <w:szCs w:val="32"/>
        </w:rPr>
        <w:t>围绕黄河流域信息通信枢纽中心城市建设，着力提升国家级互联网骨干直联点、未来导航、未来网络等新一代网络基础设施建设和运营水平。持续推进“千兆城市示范区”建设，增加5G基站建设数量，实现5G网络深度覆盖和规模化应用。加快确定性网络建设，打造覆盖政府机关、重点场所、重点企业的确定性网络应用场景。提高算力服务能力，推动山东未来云谷智算中心、济南市人工智能场景创新中心、山东中科超级云智算中心等算力项目建设。争取移动、联通等运营商和各类大型互联网企业区域性数据中心项目落地，加速打造云网协同、云边协同、绿色智能多层次算力设施体系。到2026年，累计建设5G基站设施5200个以上，确定性网络累计覆盖3万公里，算力规模达到2000P以上。〔责任单位：区政府办公室（区大数据局）、区发展改革局、区工业和信息化局、市中城投集团、市中财金集团〕</w:t>
      </w:r>
    </w:p>
    <w:p w14:paraId="45AC658E">
      <w:pPr>
        <w:snapToGrid w:val="0"/>
        <w:spacing w:after="0" w:line="570" w:lineRule="exact"/>
        <w:ind w:firstLine="620"/>
        <w:jc w:val="both"/>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（三）实施优质企业倍增升级行动。</w:t>
      </w:r>
    </w:p>
    <w:p w14:paraId="7E228EE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7.加快优质企业倍增。</w:t>
      </w:r>
      <w:r>
        <w:rPr>
          <w:rFonts w:hint="eastAsia" w:ascii="Times New Roman" w:hAnsi="Times New Roman" w:eastAsia="方正仿宋简体" w:cs="方正仿宋简体"/>
          <w:color w:val="000000"/>
          <w:sz w:val="32"/>
          <w:szCs w:val="32"/>
        </w:rPr>
        <w:t>实施企业规模与效益倍增计划，筛选发展潜力大、创新能力强的优质企业，加大政策扶持力度，强化跟踪培育，做好企业服务，推动优质企业实现规模和效益倍增。引导企业充分利用各类科创平台资源，加大研发投入，推进智能化、绿色化、数字化改造提升，显著提高企业的创新力和竞争力。深入实施品牌战略，开展增品种、提品质、创品牌“三品”专项行动，持续推动企业高质量发展。到2026年，累计培育制造业“好品山东”品牌2个以上。（责任单位：区科技局、区工业和信息化局、区人力资源社会保障局、区自然资源局、区市场监管局、各街道办事处）</w:t>
      </w:r>
    </w:p>
    <w:p w14:paraId="22CBC25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8.加速中小企业发展。</w:t>
      </w:r>
      <w:r>
        <w:rPr>
          <w:rFonts w:hint="eastAsia" w:ascii="Times New Roman" w:hAnsi="Times New Roman" w:eastAsia="方正仿宋简体" w:cs="方正仿宋简体"/>
          <w:color w:val="000000"/>
          <w:sz w:val="32"/>
          <w:szCs w:val="32"/>
        </w:rPr>
        <w:t>实施中小企业攀登计划，扎实推进“个转企”“小升规”，不断壮大规模以上企业群体，到2026年，规模以上工业企业数量突破100家。落实支持企业专精特新发展系列政策，加大对专精特新企业的培育和扶持力度，到2026年，专精特新企业、创新型中小企业、瞪羚、独角兽、单项冠军等优质企业达到300家以上。强化科技型企业梯次培育，持续扩大科技型企业群体规模，到2026年，高新技术企业、科技型中小企业数量分别突破350家、500家。（责任单位：区科技局、区工业和信息化局）</w:t>
      </w:r>
    </w:p>
    <w:p w14:paraId="494DBE4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9.强化企业协同发展。</w:t>
      </w:r>
      <w:r>
        <w:rPr>
          <w:rFonts w:hint="eastAsia" w:ascii="Times New Roman" w:hAnsi="Times New Roman" w:eastAsia="方正仿宋简体" w:cs="方正仿宋简体"/>
          <w:color w:val="000000"/>
          <w:sz w:val="32"/>
          <w:szCs w:val="32"/>
        </w:rPr>
        <w:t>扎实开展大中小企业“携手行动”，鼓励大企业向中小企业开放品牌、设计研发能力、仪器设备、试验场地等各类创新资源要素，共享产能资源，通过生态构建、赋能带动、数据联通、内部孵化、基地培育等方式打造一批大中小企业融通发展典型模式，培育一批协同配套能力强的专精特新中小企业，促进大中小企业产业链、供应链、资金链、创新链、人才链全面融通，形成高效、协同、融合、顺畅的融通创新生态。（责任单位：区发展改革局、区科技局、区工业和信息化局、区财政局、区人力资源社会保障局、各街道办事处）实施绿色发展提档升级行动。</w:t>
      </w:r>
    </w:p>
    <w:p w14:paraId="0ED98D4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10.促进能源互联网产业聚力成势。</w:t>
      </w:r>
      <w:r>
        <w:rPr>
          <w:rFonts w:hint="eastAsia" w:ascii="Times New Roman" w:hAnsi="Times New Roman" w:eastAsia="方正仿宋简体" w:cs="方正仿宋简体"/>
          <w:color w:val="000000"/>
          <w:sz w:val="32"/>
          <w:szCs w:val="32"/>
        </w:rPr>
        <w:t>壮大先进电网产业链群，以山东电力战新产业集群、储能检测及监督评价重点实验室等重点项目为引领，聚焦智能输变电、智能配电、调度自动化及智能设备、电力储能等产业链群关键领域、薄弱环节，紧盯目标企业，开展定向招商，不断推动链上企业集聚。持续打造电力设备及电力电子产业链群，发挥山东电力设备有限公司、济南西门子能源变压器有限公司两大链主企业的技术、品牌带动作用，深挖产业链上下游资源，不断延伸产业链条；汇聚能源装备制造上下游知名企业，推动形成“研发+生产+服务”为一体的新型产业集群，打造高质量发展增长极。着力培育能源储运销产业链群，鼓励引导相关企业以高端化、数字化、智能化、绿色化改造为主攻方向，实现产业技术提档升级；围绕能源储存、运输及销售等细分领域，加大产业谋划力度，精准把握项目谋划方向，积极储备一批质量高、带动强的大项目、好项目。到2026年，力争能源互联网全口径产业规模突破4000亿元，年产业规模超亿元企业突破35家。（责任单位：区发展改革局、区工业和信息化局、区商务局、区投资促进局、各街道办事处）</w:t>
      </w:r>
    </w:p>
    <w:p w14:paraId="2AD7525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11.助推新能源汽车产业加快发展。</w:t>
      </w:r>
      <w:r>
        <w:rPr>
          <w:rFonts w:hint="eastAsia" w:ascii="Times New Roman" w:hAnsi="Times New Roman" w:eastAsia="方正仿宋简体" w:cs="方正仿宋简体"/>
          <w:color w:val="000000"/>
          <w:sz w:val="32"/>
          <w:szCs w:val="32"/>
        </w:rPr>
        <w:t>以济南中央活力区、济中智造港为主阵地，围绕电动化、智能化、网联化、轻量化，推动重汽卡车党家厂区生产线改造，打造重汽新能源车产业园，加快仙途智能高端自动驾驶设备制造基地投产达效，做大做强新能源汽车产业链群。以雷萨新能源汽车产学研融合基地中心、新能源汽车产业园区等重点项目为引领，完善新能源汽车零部件产业链条，加大新能源汽车、动力电池、芯片及器件设计制造、模块封装、汽车操作系统、智能传感器等汽车电子产业项目的引进和培育力度。到2026年，新能源汽车产业规模超过100亿元。（责任单位：区发展改革局、区工业和信息化局、区财政局、区水务局、区商务局、区投资促进局、济南中央活力区发展促进中心）</w:t>
      </w:r>
    </w:p>
    <w:p w14:paraId="7D71C37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12.扎实推动绿色低碳循环发展。</w:t>
      </w:r>
      <w:r>
        <w:rPr>
          <w:rFonts w:hint="eastAsia" w:ascii="Times New Roman" w:hAnsi="Times New Roman" w:eastAsia="方正仿宋简体" w:cs="方正仿宋简体"/>
          <w:color w:val="000000"/>
          <w:sz w:val="32"/>
          <w:szCs w:val="32"/>
        </w:rPr>
        <w:t>聚焦节能环保、新能源装备等绿色制造产业，加快构建以绿色工厂、绿色设计产品、绿色工业园区、绿色供应链管理企业为框架的绿色制造体系。深入推进首台（套）技术装备、智能制造试点示范项目等认定及推广工作，加强节能降碳技术装备应用。引导企业加大绿色低碳安全技改投入，全面提高工艺装备、产品技术、环保能效等绿色发展水平。强化重点用能单位节能管理，支持企业开展资源综合利用，依法实施强制性清洁生产审核，持续提高能源利用效率。（责任单位：区发展改革局、区工业和信息化局、区水务局、市生态环境局市中分局）</w:t>
      </w:r>
    </w:p>
    <w:p w14:paraId="103A08A6">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（五）实施产业生态优化升级行动</w:t>
      </w:r>
    </w:p>
    <w:p w14:paraId="60D1D84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13.加大要素保障力度。</w:t>
      </w:r>
      <w:r>
        <w:rPr>
          <w:rFonts w:hint="eastAsia" w:ascii="Times New Roman" w:hAnsi="Times New Roman" w:eastAsia="方正仿宋简体" w:cs="方正仿宋简体"/>
          <w:color w:val="000000"/>
          <w:sz w:val="32"/>
          <w:szCs w:val="32"/>
        </w:rPr>
        <w:t>深化“要素跟着项目走”机制，加强项目全周期管理服务，做好优质要素供给保障，推动土地等资源要素更多向先进制造业倾斜。保障工业发展空间，强化工业用地出让全过程管理和用途管制，坚决守住工业用地保障红线。落实国家和省、市支持实体经济高质量发展的各项政策，充分利用工业强市专项资金，推动全区都市工业产业培育、技术研发、人才培养和园区建设等工作实现新突破；在用好区级产业基金的同时，积极争取省、市产业基金更多投向区内企业和项目，为产业发展提供稳定持续的资金支持。深化“亩产效益”评价改革，动态优化评价指标体系和评价办法，不断提升资源要素差别化配置水平。提高金融服务质效，开展银企对接活动，引导金融机构加大对制造业中长期贷款的投放力度。（责任单位：区发展改革局、区工业和信息化局、区财政局、区自然资源局、区水务局、市中城发集团、市中产发有限公司、市中财金集团、市生态环境局市中分局）</w:t>
      </w:r>
    </w:p>
    <w:p w14:paraId="771AB39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14.建设高素质人才队伍。</w:t>
      </w:r>
      <w:r>
        <w:rPr>
          <w:rFonts w:hint="eastAsia" w:ascii="Times New Roman" w:hAnsi="Times New Roman" w:eastAsia="方正仿宋简体" w:cs="方正仿宋简体"/>
          <w:color w:val="000000"/>
          <w:sz w:val="32"/>
          <w:szCs w:val="32"/>
        </w:rPr>
        <w:t>深入实施“名企名牌名家”工程，贯彻落实济南市“双30条”等人才政策，引进新型工业化领域高层次人才，加大泰山系列、齐鲁系列、海右系列、优秀企业家、济南工匠等产业人才队伍培育力度。以链主企业与专精特新中小企业为主体，依托省级、市级柔性引才工程，推动海外人才项目对接落地，积极稳妥引进海外高端人才。围绕重点产业领域，探索产科教联合育人、多方面协同创新机制，推动院士专家工作站、技术创新中心、企业技术中心、工程研究中心（工程实验室）等科研平台建设，加强成果转化、实训基地、产教融合等服务平台建设，推动教育链、人才链与产业链、创新链有机衔接，分领域培养产业发展高素质人才，以高水平人才队伍建设引领工业经济高质量发展。（责任单位：区发展改革局、区教育体育局、区科技局、区工业和信息化局、区财政局、区人力资源社会保障局）</w:t>
      </w:r>
    </w:p>
    <w:p w14:paraId="7A5927D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15.全力构建产业生态。</w:t>
      </w:r>
      <w:r>
        <w:rPr>
          <w:rFonts w:hint="eastAsia" w:ascii="Times New Roman" w:hAnsi="Times New Roman" w:eastAsia="方正仿宋简体" w:cs="方正仿宋简体"/>
          <w:color w:val="000000"/>
          <w:sz w:val="32"/>
          <w:szCs w:val="32"/>
        </w:rPr>
        <w:t>充分发挥各类园区发展都市工业和数字经济的主阵地作用，做大做强做优重点产业。落实好工业标准厂房和创新型产业用地（M9）政策，支持引导链主企业积极参与各类园区的开发运营，打造集高端生产、研发办公、生活配套等多种业态为一体的新型园区。支持各类园区建设新型储能设施、光伏/储能电站，直供园区企业使用，推进园区能效节能综合改造，降低园区企业用电成本。（责任单位：区发展改革局、区工业和信息化局、区自然资源局、区投资促进局、市生态环境局市中分局、各街道办事处）</w:t>
      </w:r>
    </w:p>
    <w:p w14:paraId="5ACF5CDD">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四、保障措施</w:t>
      </w:r>
    </w:p>
    <w:p w14:paraId="4F37A02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16.加强组织领导。</w:t>
      </w:r>
      <w:r>
        <w:rPr>
          <w:rFonts w:hint="eastAsia" w:ascii="Times New Roman" w:hAnsi="Times New Roman" w:eastAsia="方正仿宋简体" w:cs="方正仿宋简体"/>
          <w:color w:val="000000"/>
          <w:sz w:val="32"/>
          <w:szCs w:val="32"/>
        </w:rPr>
        <w:t>牢固树立“一盘棋”思想，充分发挥区产业发展联席会议的统筹协调作用，建立完善区直有关部门、各街道办事处主要负责人抓都市工业的工作机制，细化工作措施，强化考核激励，全面调动各部门（单位）引进项目、服务企业的积极性，凝聚推进新型工业化和加快产业转型升级的强大合力，确保各项工作任务落实到位。（责任单位：区委组织部、区发展改革局、区工业和信息化局、各街道办事处）</w:t>
      </w:r>
    </w:p>
    <w:p w14:paraId="24511F4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17.优化营商环境。</w:t>
      </w:r>
      <w:r>
        <w:rPr>
          <w:rFonts w:hint="eastAsia" w:ascii="Times New Roman" w:hAnsi="Times New Roman" w:eastAsia="方正仿宋简体" w:cs="方正仿宋简体"/>
          <w:color w:val="000000"/>
          <w:sz w:val="32"/>
          <w:szCs w:val="32"/>
        </w:rPr>
        <w:t>坚持“有需必应、无事不扰”的服务理念，深入推进“一次办好”“一次办成”改革，全面梳理公布“一次办、即时办”事项清单，为企业提供集中统一高效的实时服务。落实政策制度，强化法治保障，着力营造依法保护企业家合法权益的法治环境、促进企业家公平竞争诚信经营的市场环境、尊重和激励企业家干事创业的社会氛围。（责任单位：区纪委监委机关、区发展改革局、区工业和信息化局、区市场监管局、区行政审批服务局、各街道办事处）</w:t>
      </w:r>
    </w:p>
    <w:p w14:paraId="4E7645E7">
      <w:pPr>
        <w:snapToGrid w:val="0"/>
        <w:spacing w:after="0" w:line="570" w:lineRule="exact"/>
        <w:jc w:val="both"/>
        <w:rPr>
          <w:rFonts w:hint="eastAsia" w:ascii="Times New Roman" w:hAnsi="Times New Roman" w:eastAsia="方正仿宋简体" w:cs="方正仿宋简体"/>
          <w:color w:val="000000"/>
          <w:sz w:val="32"/>
          <w:szCs w:val="32"/>
        </w:rPr>
      </w:pPr>
    </w:p>
    <w:p w14:paraId="15CE88DB">
      <w:pPr>
        <w:snapToGrid w:val="0"/>
        <w:spacing w:after="0" w:line="570" w:lineRule="exact"/>
        <w:jc w:val="center"/>
        <w:rPr>
          <w:rFonts w:hint="eastAsia" w:ascii="Times New Roman" w:hAnsi="Times New Roman" w:eastAsia="方正小标宋简体" w:cs="方正小标宋简体"/>
          <w:color w:val="000000"/>
          <w:sz w:val="44"/>
          <w:szCs w:val="44"/>
        </w:rPr>
      </w:pPr>
    </w:p>
    <w:p w14:paraId="34314A1A">
      <w:pPr>
        <w:snapToGrid w:val="0"/>
        <w:spacing w:after="0" w:line="570" w:lineRule="exact"/>
        <w:jc w:val="center"/>
        <w:rPr>
          <w:rFonts w:hint="eastAsia" w:ascii="Times New Roman" w:hAnsi="Times New Roman" w:eastAsia="方正小标宋简体" w:cs="方正小标宋简体"/>
          <w:color w:val="000000"/>
          <w:sz w:val="44"/>
          <w:szCs w:val="44"/>
        </w:rPr>
      </w:pPr>
    </w:p>
    <w:p w14:paraId="2B5AFE8B">
      <w:pPr>
        <w:snapToGrid w:val="0"/>
        <w:spacing w:after="0" w:line="570" w:lineRule="exact"/>
        <w:jc w:val="center"/>
        <w:rPr>
          <w:rFonts w:hint="eastAsia" w:ascii="Times New Roman" w:hAnsi="Times New Roman" w:eastAsia="方正小标宋简体" w:cs="方正小标宋简体"/>
          <w:color w:val="000000"/>
          <w:sz w:val="44"/>
          <w:szCs w:val="44"/>
        </w:rPr>
      </w:pPr>
    </w:p>
    <w:p w14:paraId="39614C7E">
      <w:pPr>
        <w:snapToGrid w:val="0"/>
        <w:spacing w:after="0" w:line="570" w:lineRule="exact"/>
        <w:jc w:val="center"/>
        <w:rPr>
          <w:rFonts w:hint="eastAsia" w:ascii="Times New Roman" w:hAnsi="Times New Roman" w:eastAsia="方正小标宋简体" w:cs="方正小标宋简体"/>
          <w:color w:val="000000"/>
          <w:sz w:val="44"/>
          <w:szCs w:val="44"/>
        </w:rPr>
      </w:pPr>
    </w:p>
    <w:p w14:paraId="7A7F0B04">
      <w:pPr>
        <w:snapToGrid w:val="0"/>
        <w:spacing w:after="0" w:line="570" w:lineRule="exact"/>
        <w:jc w:val="center"/>
        <w:rPr>
          <w:rFonts w:hint="eastAsia" w:ascii="Times New Roman" w:hAnsi="Times New Roman" w:eastAsia="方正小标宋简体" w:cs="方正小标宋简体"/>
          <w:color w:val="000000"/>
          <w:sz w:val="44"/>
          <w:szCs w:val="44"/>
        </w:rPr>
      </w:pPr>
    </w:p>
    <w:p w14:paraId="67927376">
      <w:pPr>
        <w:snapToGrid w:val="0"/>
        <w:spacing w:after="0" w:line="570" w:lineRule="exact"/>
        <w:jc w:val="center"/>
        <w:rPr>
          <w:rFonts w:hint="eastAsia" w:ascii="Times New Roman" w:hAnsi="Times New Roman" w:eastAsia="方正小标宋简体" w:cs="方正小标宋简体"/>
          <w:color w:val="000000"/>
          <w:sz w:val="44"/>
          <w:szCs w:val="44"/>
        </w:rPr>
      </w:pPr>
    </w:p>
    <w:p w14:paraId="252F02DD">
      <w:pPr>
        <w:snapToGrid w:val="0"/>
        <w:spacing w:after="0" w:line="570" w:lineRule="exact"/>
        <w:jc w:val="center"/>
        <w:rPr>
          <w:rFonts w:hint="eastAsia" w:ascii="Times New Roman" w:hAnsi="Times New Roman" w:eastAsia="方正小标宋简体" w:cs="方正小标宋简体"/>
          <w:color w:val="000000"/>
          <w:sz w:val="44"/>
          <w:szCs w:val="44"/>
        </w:rPr>
        <w:sectPr>
          <w:pgSz w:w="11906" w:h="16838"/>
          <w:pgMar w:top="1120" w:right="1449" w:bottom="1960" w:left="1542" w:header="708" w:footer="1080" w:gutter="0"/>
          <w:pgNumType w:fmt="decimal"/>
          <w:cols w:space="720" w:num="1"/>
        </w:sectPr>
      </w:pPr>
    </w:p>
    <w:p w14:paraId="641B03FE">
      <w:pPr>
        <w:snapToGrid w:val="0"/>
        <w:spacing w:after="0" w:line="570" w:lineRule="exact"/>
        <w:jc w:val="center"/>
        <w:rPr>
          <w:rFonts w:hint="eastAsia" w:ascii="Times New Roman" w:hAnsi="Times New Roman" w:eastAsia="方正小标宋简体" w:cs="宋体"/>
          <w:kern w:val="0"/>
          <w:sz w:val="24"/>
        </w:rPr>
      </w:pPr>
      <w:r>
        <w:rPr>
          <w:rFonts w:hint="eastAsia" w:ascii="Times New Roman" w:hAnsi="Times New Roman" w:eastAsia="方正小标宋简体" w:cs="方正小标宋简体"/>
          <w:sz w:val="44"/>
          <w:szCs w:val="44"/>
        </w:rPr>
        <w:t>济南市人民政府办公厅关于印发济南市未来产业培育发展实施方案的通知</w:t>
      </w:r>
    </w:p>
    <w:p w14:paraId="3FFF57F1">
      <w:pPr>
        <w:snapToGrid w:val="0"/>
        <w:spacing w:after="0" w:line="570" w:lineRule="exact"/>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各区县人民政府,市政府各部门(单位):</w:t>
      </w:r>
    </w:p>
    <w:p w14:paraId="6DA4C403">
      <w:pPr>
        <w:snapToGrid w:val="0"/>
        <w:spacing w:after="0" w:line="570" w:lineRule="exact"/>
        <w:jc w:val="both"/>
        <w:rPr>
          <w:rFonts w:hint="eastAsia" w:ascii="Times New Roman" w:hAnsi="Times New Roman" w:eastAsia="方正仿宋简体" w:cs="方正仿宋简体"/>
          <w:color w:val="000000"/>
          <w:sz w:val="32"/>
          <w:szCs w:val="32"/>
        </w:rPr>
      </w:pPr>
    </w:p>
    <w:p w14:paraId="3F7DBE85">
      <w:pPr>
        <w:snapToGrid w:val="0"/>
        <w:spacing w:after="0" w:line="570" w:lineRule="exact"/>
        <w:ind w:firstLine="7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《济南市未来产业培育发展实施方案》已经市委、市政府同意,现印发给你们,请认真组织实施。</w:t>
      </w:r>
    </w:p>
    <w:p w14:paraId="2B7921C9">
      <w:pPr>
        <w:snapToGrid w:val="0"/>
        <w:spacing w:after="0" w:line="570" w:lineRule="exact"/>
        <w:ind w:firstLine="720"/>
        <w:jc w:val="both"/>
        <w:rPr>
          <w:rFonts w:hint="eastAsia" w:ascii="Times New Roman" w:hAnsi="Times New Roman" w:eastAsia="方正仿宋简体" w:cs="方正仿宋简体"/>
          <w:color w:val="000000"/>
          <w:sz w:val="32"/>
          <w:szCs w:val="32"/>
        </w:rPr>
      </w:pPr>
    </w:p>
    <w:p w14:paraId="7BA507F4">
      <w:pPr>
        <w:snapToGrid w:val="0"/>
        <w:spacing w:after="0" w:line="570" w:lineRule="exact"/>
        <w:ind w:firstLine="720"/>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济南市人民政府办公厅</w:t>
      </w:r>
    </w:p>
    <w:p w14:paraId="482998A3">
      <w:pPr>
        <w:snapToGrid w:val="0"/>
        <w:spacing w:after="0" w:line="570" w:lineRule="exact"/>
        <w:jc w:val="both"/>
        <w:rPr>
          <w:rFonts w:hint="eastAsia" w:ascii="Times New Roman" w:hAnsi="Times New Roman" w:eastAsia="方正仿宋简体" w:cs="方正仿宋简体"/>
          <w:color w:val="000000"/>
          <w:sz w:val="32"/>
          <w:szCs w:val="32"/>
        </w:rPr>
      </w:pPr>
    </w:p>
    <w:p w14:paraId="4D1D706A">
      <w:pPr>
        <w:snapToGrid w:val="0"/>
        <w:spacing w:after="0" w:line="570" w:lineRule="exact"/>
        <w:ind w:firstLine="720"/>
        <w:jc w:val="right"/>
        <w:rPr>
          <w:rFonts w:ascii="Times New Roman" w:hAnsi="Times New Roman" w:eastAsia="方正仿宋简体" w:cs="Times New Roman"/>
          <w:color w:val="000000"/>
          <w:sz w:val="32"/>
          <w:szCs w:val="32"/>
        </w:rPr>
      </w:pPr>
      <w:r>
        <w:rPr>
          <w:rFonts w:ascii="Times New Roman" w:hAnsi="Times New Roman" w:eastAsia="方正仿宋简体" w:cs="Times New Roman"/>
          <w:color w:val="000000"/>
          <w:sz w:val="32"/>
          <w:szCs w:val="32"/>
        </w:rPr>
        <w:t>2024年12月1日</w:t>
      </w:r>
    </w:p>
    <w:p w14:paraId="75A1BED2">
      <w:pPr>
        <w:snapToGrid w:val="0"/>
        <w:spacing w:after="0" w:line="570" w:lineRule="exact"/>
        <w:ind w:firstLine="720"/>
        <w:jc w:val="right"/>
        <w:rPr>
          <w:rFonts w:ascii="Times New Roman" w:hAnsi="Times New Roman" w:eastAsia="方正仿宋简体" w:cs="Times New Roman"/>
          <w:color w:val="000000"/>
          <w:sz w:val="32"/>
          <w:szCs w:val="32"/>
        </w:rPr>
      </w:pPr>
    </w:p>
    <w:p w14:paraId="29C163AF">
      <w:pPr>
        <w:snapToGrid w:val="0"/>
        <w:spacing w:after="0" w:line="570" w:lineRule="exact"/>
        <w:jc w:val="center"/>
        <w:rPr>
          <w:rFonts w:hint="eastAsia" w:ascii="Times New Roman" w:hAnsi="Times New Roman" w:eastAsia="方正小标宋简体" w:cs="方正小标宋简体"/>
          <w:color w:val="000000"/>
          <w:sz w:val="44"/>
          <w:szCs w:val="44"/>
        </w:rPr>
      </w:pPr>
      <w:r>
        <w:rPr>
          <w:rFonts w:hint="eastAsia" w:ascii="Times New Roman" w:hAnsi="Times New Roman" w:eastAsia="方正小标宋简体" w:cs="方正小标宋简体"/>
          <w:color w:val="000000"/>
          <w:sz w:val="44"/>
          <w:szCs w:val="44"/>
        </w:rPr>
        <w:t>济南市未来产业培育发展实施方案</w:t>
      </w:r>
    </w:p>
    <w:p w14:paraId="58A79B8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为抢抓新一轮科技革命和产业变革机遇,培育发展未来产业,支撑推进新型工业化,加快建设工业强市,制定本实施方案。</w:t>
      </w:r>
    </w:p>
    <w:p w14:paraId="474102CF">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一、总体要求</w:t>
      </w:r>
    </w:p>
    <w:p w14:paraId="71CAB2D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坚持以习近平新时代中国特色社会主义思想为指导,深入贯彻党的二十大和二十届二中、三中全会精神,认真贯彻落实习近平总书记视察山东、济南重要讲话、重要指示批示精神,聚焦制造业主战场,统筹推进科技创新与产业创新深度融合、前瞻布局与重点突破有机结合、有为政府与有效市场协同发力,建立健全“技术-产品-企业-产业”的未来产业培育发展新机制,加快推动现有产业未来化跃升和未来技术产业化落地。未来3至5年,未来产业发展取得阶段性显著成效,聚焦重点发展方向,突破20项左右引领性关键技术,打造50个以上标志性产品,开发50个以上典型应用场景,集聚20家左右领先领军企业,建设3至5个创新活跃、特色突出的未来产业园区,创建未来产业先导区。未来5至10年,基本建立适宜未来产业成长的生态体系,突破性科研成果持续涌现,未来产业整体规模不断壮大,培育一批特色鲜明、创新力强的未来产业集群,基本形成未来产业与战略性新兴产业相互衔接、梯次成长的产业发展格局,打造具有国内影响力和竞争力的未来产业发展高地。</w:t>
      </w:r>
    </w:p>
    <w:p w14:paraId="7A0DF338">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二、发展方向</w:t>
      </w:r>
    </w:p>
    <w:p w14:paraId="0EBF4C6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加快发展激光制造、人工智能、先进材料、新能源装备、空天信息、生物技术等6个具备良好基础和优势的未来产业,前瞻布局智能机器人、量子信息、新型显示、未来网络、元宇宙、高端医疗装备等6个尚在商业化初期,但远期潜力巨大的未来产业,并结合实际,对相关领域和方向作动</w:t>
      </w:r>
    </w:p>
    <w:p w14:paraId="729AFE8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态调整。</w:t>
      </w:r>
    </w:p>
    <w:p w14:paraId="48F7B986">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(一)加快发展的优势产业。</w:t>
      </w:r>
    </w:p>
    <w:p w14:paraId="0299DD0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1.激光制造。</w:t>
      </w:r>
      <w:r>
        <w:rPr>
          <w:rFonts w:hint="eastAsia" w:ascii="Times New Roman" w:hAnsi="Times New Roman" w:eastAsia="方正仿宋简体" w:cs="方正仿宋简体"/>
          <w:color w:val="000000"/>
          <w:sz w:val="32"/>
          <w:szCs w:val="32"/>
        </w:rPr>
        <w:t>聚焦激光产业链关键环节,发挥激光领域科研平台优势和领军企业技术创新主力军作用,重点攻关高性能激光芯片、光调制芯片、高亮度泵浦源等核心器件,推进高功率激光器、超快激光器研发制备与迭代升级。支持激光企业与软件企业联合攻关激光产业工业软件,突破基于激光增材制造的结构优化设计技术。</w:t>
      </w:r>
    </w:p>
    <w:p w14:paraId="180E1E1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2.人工智能。</w:t>
      </w:r>
      <w:r>
        <w:rPr>
          <w:rFonts w:hint="eastAsia" w:ascii="Times New Roman" w:hAnsi="Times New Roman" w:eastAsia="方正仿宋简体" w:cs="方正仿宋简体"/>
          <w:color w:val="000000"/>
          <w:sz w:val="32"/>
          <w:szCs w:val="32"/>
        </w:rPr>
        <w:t>布局发展通用人工智能、生成式人工智能、智能算力设施,构建“高算力、大模型、强应用”的人工智能创新体系。开展模型训练、认知推理、指令学习等关键技术研发,推动基础级、行业级与场景级大模型协同创新发展。推动智能芯片产业突破发展,加快智能传感器产品研发和产业集聚。适度超前建设智能算力中心,增强智能算力集群供给。开展“人工智能+”行动,拓展大模型在智能制造、数字政务、智慧城市等领域的创新应用。</w:t>
      </w:r>
    </w:p>
    <w:p w14:paraId="241E183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3.先进材料。</w:t>
      </w:r>
      <w:r>
        <w:rPr>
          <w:rFonts w:hint="eastAsia" w:ascii="Times New Roman" w:hAnsi="Times New Roman" w:eastAsia="方正仿宋简体" w:cs="方正仿宋简体"/>
          <w:color w:val="000000"/>
          <w:sz w:val="32"/>
          <w:szCs w:val="32"/>
        </w:rPr>
        <w:t>重点发展先进半导体材料、先进金属材料和先进化工材料。发挥晶体材料国家重点实验室新一代半导体材料集成攻关大平台作用,开展碳化硅、氮化镓、氧化镓等宽禁带半导体材料制备、加工关键核心技术攻关。加快金属材料“特精高”产品开发,发展金属粉体材料、电子级银粉、金属增材制造材料等。推动先进化工材料增品提质,加快突破高性能工程塑料、树脂基复合材料等先进材料。</w:t>
      </w:r>
    </w:p>
    <w:p w14:paraId="36BFB62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4.新能源装备。</w:t>
      </w:r>
      <w:r>
        <w:rPr>
          <w:rFonts w:hint="eastAsia" w:ascii="Times New Roman" w:hAnsi="Times New Roman" w:eastAsia="方正仿宋简体" w:cs="方正仿宋简体"/>
          <w:color w:val="000000"/>
          <w:sz w:val="32"/>
          <w:szCs w:val="32"/>
        </w:rPr>
        <w:t>开展钠离子电池、固态锂离子电池、新型高效太阳能电池等新一代高能量密度储能技术研发攻关。突破储能电站检测、控制、安全等关键技术,开发安全高效储能集成系统。依托氢能领域新型研发机构,加大制氢、储氢、燃料电池等关键技术研发攻关力度,加快推动“绿氢”生产、储运以及加氢和燃料电池汽车等规模化商用。</w:t>
      </w:r>
    </w:p>
    <w:p w14:paraId="0223001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5.空天信息。</w:t>
      </w:r>
      <w:r>
        <w:rPr>
          <w:rFonts w:hint="eastAsia" w:ascii="Times New Roman" w:hAnsi="Times New Roman" w:eastAsia="方正仿宋简体" w:cs="方正仿宋简体"/>
          <w:color w:val="000000"/>
          <w:sz w:val="32"/>
          <w:szCs w:val="32"/>
        </w:rPr>
        <w:t>发挥空天信息领域高水平科研机构的技术优势,以济钢空天信息产业园、济钢卫星总装基地为主要载体,聚焦卫星制造、空天信息应用、低空开发等领域,加快可回收液体火箭发动机研发、星地一体融合组网、空天数据资源服务及应用等产业链布局,推进星座组网建设,推动相关技术产品应用。</w:t>
      </w:r>
    </w:p>
    <w:p w14:paraId="22C14DF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6.生物技术。</w:t>
      </w:r>
      <w:r>
        <w:rPr>
          <w:rFonts w:hint="eastAsia" w:ascii="Times New Roman" w:hAnsi="Times New Roman" w:eastAsia="方正仿宋简体" w:cs="方正仿宋简体"/>
          <w:color w:val="000000"/>
          <w:sz w:val="32"/>
          <w:szCs w:val="32"/>
        </w:rPr>
        <w:t>依托合成生物学国家重点实验室等高能级研发平台,推动微生物发酵技术优化升级,拓展透明质酸等生物基材料应用,打造有国际竞争力的合成生物产业集群。推动细胞与基因技术突破发展,加快植物基因编辑产业化进程。推进细胞治疗等临床技术研发转化,探索医企协同联合开展细胞治疗新技术新疗法临床研究和规模化验证,促进细胞治疗产业集聚发展。</w:t>
      </w:r>
    </w:p>
    <w:p w14:paraId="7011E0CB">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(二)前瞻布局的重点产业。</w:t>
      </w:r>
    </w:p>
    <w:p w14:paraId="1BDBB5A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1.智能机器人。</w:t>
      </w:r>
      <w:r>
        <w:rPr>
          <w:rFonts w:hint="eastAsia" w:ascii="Times New Roman" w:hAnsi="Times New Roman" w:eastAsia="方正仿宋简体" w:cs="方正仿宋简体"/>
          <w:color w:val="000000"/>
          <w:sz w:val="32"/>
          <w:szCs w:val="32"/>
        </w:rPr>
        <w:t>围绕人形机器人关键技术,推动“产学研用”协同创新,加大技术攻关和成果转化力度。支持人形机器人操作系统、核心零部件、通用型本体平台等研发制造。加快人形机器人在农业、建筑、医疗、安全生产、应急救援等领域中推广应用,带动提升产品适配性和应用市场规模。</w:t>
      </w:r>
    </w:p>
    <w:p w14:paraId="3469329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2.量子信息。</w:t>
      </w:r>
      <w:r>
        <w:rPr>
          <w:rFonts w:hint="eastAsia" w:ascii="Times New Roman" w:hAnsi="Times New Roman" w:eastAsia="方正仿宋简体" w:cs="方正仿宋简体"/>
          <w:color w:val="000000"/>
          <w:sz w:val="32"/>
          <w:szCs w:val="32"/>
        </w:rPr>
        <w:t>聚焦量子通信、量子计算、量子精密测量等领域,持续巩固量子信息全产业链优势。加强量子通信关键技术产品攻关,推进天地一体化量子通信网络建设。开展超导量子计算科技研发,推进专用光量子模拟机和通用光量子计算机研制。推动量子精密测量产业发展,加快量子测量在环保、气象、应急等领域中应用。</w:t>
      </w:r>
    </w:p>
    <w:p w14:paraId="2CBEA24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3.新型显示。</w:t>
      </w:r>
      <w:r>
        <w:rPr>
          <w:rFonts w:hint="eastAsia" w:ascii="Times New Roman" w:hAnsi="Times New Roman" w:eastAsia="方正仿宋简体" w:cs="方正仿宋简体"/>
          <w:color w:val="000000"/>
          <w:sz w:val="32"/>
          <w:szCs w:val="32"/>
        </w:rPr>
        <w:t>聚焦Micro-LED显示、全息显示、微显示等新型显示方向,突破量子点、巨量转移等显示技术,推动材料、芯片、模组等重点产品研发、测试及产业化,推进新型显示产品在车载终端、智能医疗终端等领域中应用。</w:t>
      </w:r>
    </w:p>
    <w:p w14:paraId="5671729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4.元宇宙。</w:t>
      </w:r>
      <w:r>
        <w:rPr>
          <w:rFonts w:hint="eastAsia" w:ascii="Times New Roman" w:hAnsi="Times New Roman" w:eastAsia="方正仿宋简体" w:cs="方正仿宋简体"/>
          <w:color w:val="000000"/>
          <w:sz w:val="32"/>
          <w:szCs w:val="32"/>
        </w:rPr>
        <w:t>推动虚拟现实操作系统、三维引擎渲染工具、数字人等关键技术产品攻关,支持开展肌电传感、气味模拟等前沿技术研究。积极引进培育VR头显等终端制造企业。加快推进“元宇宙+”,拓展元宇宙在工业制造、教育培训、医疗健康、文旅展示等领域的应用,结合我市文化特色,开发元宇宙内容产品。</w:t>
      </w:r>
    </w:p>
    <w:p w14:paraId="2BEA575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5.未来网络。</w:t>
      </w:r>
      <w:r>
        <w:rPr>
          <w:rFonts w:hint="eastAsia" w:ascii="Times New Roman" w:hAnsi="Times New Roman" w:eastAsia="方正仿宋简体" w:cs="方正仿宋简体"/>
          <w:color w:val="000000"/>
          <w:sz w:val="32"/>
          <w:szCs w:val="32"/>
        </w:rPr>
        <w:t>推进确定性网络、智能算力网络建设,加快时间敏感网络、灵活以太网等技术攻关,开展算网一体化编排和调度系统研发。拓展确定性网络在算力共享、远程医疗、智慧交通等领域的应用,打造确定性网络标杆示范场景。鼓励企业积极参与6G技术研发及相关产业化。</w:t>
      </w:r>
    </w:p>
    <w:p w14:paraId="28CB9F1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6.高端医疗装备。</w:t>
      </w:r>
      <w:r>
        <w:rPr>
          <w:rFonts w:hint="eastAsia" w:ascii="Times New Roman" w:hAnsi="Times New Roman" w:eastAsia="方正仿宋简体" w:cs="方正仿宋简体"/>
          <w:color w:val="000000"/>
          <w:sz w:val="32"/>
          <w:szCs w:val="32"/>
        </w:rPr>
        <w:t>发展高精度医学影像诊断设备、智能化手术机器人系统等高端医疗装备,突破零磁医学功能成像技术,加快零磁医疗装备研发。布局脑机接口前沿领域,突破非侵入式脑机接口、脑机融合、类脑芯片等关键技术,推进脑电采集系统、脑机接口康复设备等产品研发与产业化。</w:t>
      </w:r>
    </w:p>
    <w:p w14:paraId="65AAF50E">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三、重点任务</w:t>
      </w:r>
    </w:p>
    <w:p w14:paraId="2B6C3DD4">
      <w:pPr>
        <w:keepNext/>
        <w:keepLines/>
        <w:widowControl/>
        <w:spacing w:after="0" w:line="240" w:lineRule="auto"/>
        <w:ind w:firstLine="643" w:firstLineChars="200"/>
        <w:jc w:val="left"/>
        <w:outlineLvl w:val="1"/>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(一)实施未来技术突破工程。</w:t>
      </w:r>
    </w:p>
    <w:p w14:paraId="11779C1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1.打造高水平产业创新平台。</w:t>
      </w:r>
      <w:r>
        <w:rPr>
          <w:rFonts w:hint="eastAsia" w:ascii="Times New Roman" w:hAnsi="Times New Roman" w:eastAsia="方正仿宋简体" w:cs="方正仿宋简体"/>
          <w:color w:val="000000"/>
          <w:sz w:val="32"/>
          <w:szCs w:val="32"/>
        </w:rPr>
        <w:t>发挥全国重点实验室等高能级创新载体作用,开展基础研究与应用基础研究,增强产业发展的源头供给。依托科研院所,引进高精尖科研团队组建未来产业实验室等研发平台,重点开展产业需求导向的技术路线研究,打造未来产业策源地。推动企业与高校院所合作,建设一批面向未来产业的技术(产业、制造业)创新中心、工程技术中心等产业创新平台。(责任单位:市科技局、市发展改革委、市工业和信息化局)</w:t>
      </w:r>
    </w:p>
    <w:p w14:paraId="1E00A74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2.开展前沿技术攻关。</w:t>
      </w:r>
      <w:r>
        <w:rPr>
          <w:rFonts w:hint="eastAsia" w:ascii="Times New Roman" w:hAnsi="Times New Roman" w:eastAsia="方正仿宋简体" w:cs="方正仿宋简体"/>
          <w:color w:val="000000"/>
          <w:sz w:val="32"/>
          <w:szCs w:val="32"/>
        </w:rPr>
        <w:t>支持创新主体参与未来产业领域科技重大专项、重点研发计划,力争突破一批原创性技术成果。构建“产品-技术-科研”牵引的逆向研发链条,聚焦重点领域,组织开展未来产业创新任务“揭榜挂帅”行动,编制前沿技术需求清单,实施一批研发攻关项目,突破一批标志性产品,形成一批高价值专利。(责任单位:市科技局、市工业和信息化局、市市场监管局)</w:t>
      </w:r>
    </w:p>
    <w:p w14:paraId="67ACC50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3.完善科技成果转化体系。</w:t>
      </w:r>
      <w:r>
        <w:rPr>
          <w:rFonts w:hint="eastAsia" w:ascii="Times New Roman" w:hAnsi="Times New Roman" w:eastAsia="方正仿宋简体" w:cs="方正仿宋简体"/>
          <w:color w:val="000000"/>
          <w:sz w:val="32"/>
          <w:szCs w:val="32"/>
        </w:rPr>
        <w:t>培育一批概念验证中心、科技成果转化中试示范基地、公共技术服务平台、众创空间和孵化器,畅通科技成果就地转化通道。支持企业建设产业链中试平台,带动产品研发设计和验证试验,解决中试共性问题。培育新型科技中介服务机构,打造高素质技术经纪人队伍,优化提升科技成果转化生态。(责任单位:市科技局、市工业和信息化局)</w:t>
      </w:r>
    </w:p>
    <w:p w14:paraId="6694E6CF">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(二)实施未来产业主体培育工程。</w:t>
      </w:r>
    </w:p>
    <w:p w14:paraId="156E749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4.构建梯次化企业培育格局。</w:t>
      </w:r>
      <w:r>
        <w:rPr>
          <w:rFonts w:hint="eastAsia" w:ascii="Times New Roman" w:hAnsi="Times New Roman" w:eastAsia="方正仿宋简体" w:cs="方正仿宋简体"/>
          <w:color w:val="000000"/>
          <w:sz w:val="32"/>
          <w:szCs w:val="32"/>
        </w:rPr>
        <w:t>鼓励行业领军企业主动谋划布局未来产业赛道,通过内部创业、投资孵化等培育未来产业新主体。建立未来产业创新型中小企业培育库,主动发掘和培育未来产业领域高技术、高成长、高价值企业,推动中小企业加快成长为高新技术企业、专精特新企业。依托“创客中国”中小企业创新创业大赛等活动载体,挖掘和培育一批未来产业前沿创新项目和初创企业。(责任单位:市工业和信息化局)</w:t>
      </w:r>
    </w:p>
    <w:p w14:paraId="6B27CBB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5.打造高端产业载体。</w:t>
      </w:r>
      <w:r>
        <w:rPr>
          <w:rFonts w:hint="eastAsia" w:ascii="Times New Roman" w:hAnsi="Times New Roman" w:eastAsia="方正仿宋简体" w:cs="方正仿宋简体"/>
          <w:color w:val="000000"/>
          <w:sz w:val="32"/>
          <w:szCs w:val="32"/>
        </w:rPr>
        <w:t>以济南高新区、济南新旧动能转换起步区为核心,聚焦空天信息、量子科技、细胞与基因等三大重点领域,加快建设中新未来产业城、山东未来产业园等重大载体,推动创新资源要素集聚,探索构建创新策源地、产业承载地、资源保障地等多层次空间格局,创建未来产业先导区。各区县(功能区)立足资源禀赋和产业基础,对标未来产业重点培育方向,针对性谋划招引未来产业项目和企业,积极布局未来产业新赛道。(责任单位:市发展改革委、市工业和信息化局,各区县政府及代管镇、街道的功能区管理机构)</w:t>
      </w:r>
    </w:p>
    <w:p w14:paraId="2454E9F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color w:val="000000"/>
          <w:kern w:val="0"/>
          <w:sz w:val="32"/>
        </w:rPr>
        <w:t>6.培育未来产业集群。</w:t>
      </w:r>
      <w:r>
        <w:rPr>
          <w:rFonts w:hint="eastAsia" w:ascii="Times New Roman" w:hAnsi="Times New Roman" w:eastAsia="方正仿宋简体" w:cs="方正仿宋简体"/>
          <w:color w:val="000000"/>
          <w:sz w:val="32"/>
          <w:szCs w:val="32"/>
        </w:rPr>
        <w:t>制定完善未来产业链招商图谱,加大未来产业生态主导型企业、“新物种”企业引育力度,构建覆盖源头创新、技术转化、产品开发、场景应用、产业化、产业集群的产业培育链条。聚焦激光制造等优势产业,加大建链强链补链延链力度,打造一批特色鲜明、优势突出、有核心竞争力的未来产业集群。(责任单位:市发展改革委、市工业和信息化局、市投资促进局)</w:t>
      </w:r>
    </w:p>
    <w:p w14:paraId="6D457902">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(三)实施未来产业应用推广工程。</w:t>
      </w:r>
    </w:p>
    <w:p w14:paraId="76C7EE2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7.增强场景供给能力。</w:t>
      </w:r>
      <w:r>
        <w:rPr>
          <w:rFonts w:hint="eastAsia" w:ascii="Times New Roman" w:hAnsi="Times New Roman" w:eastAsia="方正仿宋简体" w:cs="方正仿宋简体"/>
          <w:color w:val="000000"/>
          <w:sz w:val="32"/>
          <w:szCs w:val="32"/>
        </w:rPr>
        <w:t>坚持需求引领、场景驱动,支持建设早期验证场景,构建“早期验证—融合试验—综合推广”的应用场景创新体系,为新技术、新产品、新模式开展测试验证、首试首用提供场景创新环境。加强场景梳理挖掘,在产业发展、城市治理、民生服务等领域主动释放场景资源,提供场景机会,促进未来产业成果加速原型验证、商业模式实测、深入安全评估、快速迭代升级。依托中小企业数字化转型、“车路云”一体化应用等国家试点,挖掘打造一批带动性强、覆盖面广的典型应用场景。(责任单位:市科技局、市工业和信息化局、市城管局、市交通运输局)</w:t>
      </w:r>
    </w:p>
    <w:p w14:paraId="07D9FFB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8.推进场景示范应用。</w:t>
      </w:r>
      <w:r>
        <w:rPr>
          <w:rFonts w:hint="eastAsia" w:ascii="Times New Roman" w:hAnsi="Times New Roman" w:eastAsia="方正仿宋简体" w:cs="方正仿宋简体"/>
          <w:color w:val="000000"/>
          <w:sz w:val="32"/>
          <w:szCs w:val="32"/>
        </w:rPr>
        <w:t>支持专业化应用场景促进机构发展,搭建应用场景发布平台,定期遴选发布典型应用场景清单和优秀目录,建立优秀案例和解决方案库。常态化开展新场景发布会、供需对接会等活动,推动技术创新与市场需求有效链接。加快未来技术跨学科跨领域拓展,聚焦交通、医疗、文旅等领域,推进通用人工智能、元宇宙、量子信息等未来技术与传统行业融合应用,推动“元宇宙+”、“量子+”、数字文旅等领域场景落地。(责任单位:市工业和信息化局、市交通运输局、市文化和旅游局、市卫生健康委)</w:t>
      </w:r>
    </w:p>
    <w:p w14:paraId="7D5EAAD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9.推动重点领域标准化建设。</w:t>
      </w:r>
      <w:r>
        <w:rPr>
          <w:rFonts w:hint="eastAsia" w:ascii="Times New Roman" w:hAnsi="Times New Roman" w:eastAsia="方正仿宋简体" w:cs="方正仿宋简体"/>
          <w:color w:val="000000"/>
          <w:sz w:val="32"/>
          <w:szCs w:val="32"/>
        </w:rPr>
        <w:t>鼓励企业、科研院所和有关行业组织,围绕未来产业技术框架、试验验证、新产品设计、应用场景、测试方法、应用规范等关键环节,参与制定国内外技术标准和技术规划,提升科技创新成果标准转化率。针对重点标准适时开展宣贯与培训工作,引导企业对标达标,加速未来产业标准应用推广。(责任单位:市市场监管局、市工业和信息化局)</w:t>
      </w:r>
    </w:p>
    <w:p w14:paraId="7292910D">
      <w:pPr>
        <w:keepNext/>
        <w:keepLines/>
        <w:widowControl/>
        <w:spacing w:after="0" w:line="240" w:lineRule="auto"/>
        <w:ind w:firstLine="643" w:firstLineChars="200"/>
        <w:jc w:val="left"/>
        <w:outlineLvl w:val="1"/>
        <w:rPr>
          <w:rFonts w:ascii="Times New Roman" w:hAnsi="Times New Roman" w:eastAsia="方正楷体简字" w:cs="Times New Roman"/>
          <w:b/>
          <w:color w:val="000000"/>
          <w:kern w:val="0"/>
          <w:sz w:val="32"/>
        </w:rPr>
      </w:pPr>
      <w:r>
        <w:rPr>
          <w:rFonts w:hint="eastAsia" w:ascii="Times New Roman" w:hAnsi="Times New Roman" w:eastAsia="方正楷体简字" w:cs="Times New Roman"/>
          <w:b/>
          <w:color w:val="000000"/>
          <w:kern w:val="0"/>
          <w:sz w:val="32"/>
        </w:rPr>
        <w:t>(四)实施未来产业生态建设工程。</w:t>
      </w:r>
    </w:p>
    <w:p w14:paraId="284E751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10.深化高层次人才引育。</w:t>
      </w:r>
      <w:r>
        <w:rPr>
          <w:rFonts w:hint="eastAsia" w:ascii="Times New Roman" w:hAnsi="Times New Roman" w:eastAsia="方正仿宋简体" w:cs="方正仿宋简体"/>
          <w:color w:val="000000"/>
          <w:sz w:val="32"/>
          <w:szCs w:val="32"/>
        </w:rPr>
        <w:t>聚焦未来产业重点领域,编制科技人才图谱,在全球范围引进具有前瞻战略思维的顶尖科学家、科技领军人才和高水平创新团队。依托高校院所,加大未来产业人才培养力度,建立跟踪培养、项目资助等机制,培育一批在未来产业领域具有创新潜力的人才。探索在市级科技计划框架内设立面向未来产业发展的研究方向,鼓励企事业单位科研人员开展颠覆性技术研发。做优“泰山人才”工程,加大未来产业人才遴选支持力度。鼓励企业与高校院所共建现代产业学院,以产业需求牵引产教融合,打造卓越工程师团队。(责任单位:市科技局、市教育局、市工业和信息化局)</w:t>
      </w:r>
    </w:p>
    <w:p w14:paraId="7882F87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11.健全投融资支持机制。</w:t>
      </w:r>
      <w:r>
        <w:rPr>
          <w:rFonts w:hint="eastAsia" w:ascii="Times New Roman" w:hAnsi="Times New Roman" w:eastAsia="方正仿宋简体" w:cs="方正仿宋简体"/>
          <w:color w:val="000000"/>
          <w:sz w:val="32"/>
          <w:szCs w:val="32"/>
        </w:rPr>
        <w:t>发挥财政资金引导作用,鼓</w:t>
      </w:r>
    </w:p>
    <w:p w14:paraId="31F184E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励更多社会资本重点支持未来产业技术研发、先导性重点产业化项目实施。将未来产业作为“6+N”政府引导基金重要投资方向,立足“投新、投早、投小、投硬”,在全球范围内识别跟踪未来产业种子期、初创期企业,引导带动金融和社会资本参与未来技术创新与产业化落地。鼓励金融机构根据未来产业研发投入特点,优化金融产品,降低融资成本,加大对科技型企业的金融支持力度。(责任单位:市委金融办、市财政局、市科技局、市工业和信息化局、莱芜金融监管分局)</w:t>
      </w:r>
    </w:p>
    <w:p w14:paraId="199C5B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color w:val="000000"/>
          <w:kern w:val="0"/>
          <w:sz w:val="32"/>
        </w:rPr>
        <w:t>12.完善知识产权服务体系。</w:t>
      </w:r>
      <w:r>
        <w:rPr>
          <w:rFonts w:hint="eastAsia" w:ascii="Times New Roman" w:hAnsi="Times New Roman" w:eastAsia="方正仿宋简体" w:cs="方正仿宋简体"/>
          <w:color w:val="000000"/>
          <w:sz w:val="32"/>
          <w:szCs w:val="32"/>
        </w:rPr>
        <w:t>支持组建未来产业知识产权联盟,以技术交叉许可、建立专利池等方式促进原创技术扩散,推动技术、专利与标准协同发展。探索开展全流程、嵌入式知识产权公共服务,推进知识产权交易运营中心建设,帮助企业优化研发路径、提升研发能力、优化专利布局、提升技术转化效率、规避知识产权风险,促进专利转移转化。(责任单位:市市场监管局、市科技局)</w:t>
      </w:r>
    </w:p>
    <w:p w14:paraId="00B87D0A">
      <w:pPr>
        <w:keepNext/>
        <w:keepLines/>
        <w:widowControl/>
        <w:spacing w:after="0" w:line="240" w:lineRule="auto"/>
        <w:ind w:firstLine="640" w:firstLineChars="200"/>
        <w:jc w:val="left"/>
        <w:outlineLvl w:val="0"/>
        <w:rPr>
          <w:rFonts w:ascii="Times New Roman" w:hAnsi="Times New Roman" w:eastAsia="方正黑体简体" w:cs="Times New Roman"/>
          <w:color w:val="000000"/>
          <w:kern w:val="44"/>
          <w:sz w:val="32"/>
        </w:rPr>
      </w:pPr>
      <w:r>
        <w:rPr>
          <w:rFonts w:hint="eastAsia" w:ascii="Times New Roman" w:hAnsi="Times New Roman" w:eastAsia="方正黑体简体" w:cs="Times New Roman"/>
          <w:color w:val="000000"/>
          <w:kern w:val="44"/>
          <w:sz w:val="32"/>
        </w:rPr>
        <w:t>四、保障措施</w:t>
      </w:r>
    </w:p>
    <w:p w14:paraId="6D1E55A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要切实加强组织领导。建立健全未来产业培育发展推进机制,强化统筹协调,推进工作落实。组建未来产业专家咨询委员会,加强对未来产业最新发展趋势、前沿技术突破、科研范式变革等战略研判和分析,提升决策咨询支撑能力。要进一步夯实政策支撑。加大未来产业培育发展支持力度,落实研发费用加计扣除等优惠政策,支持开展股权投资,强化新技术新产品研发支持与需求引导。完善人才、土地、能耗等要素保障,支持未来产业重大项目建设。要着力营造良好环境。健全常态长效服务企业机制,积极回应企业个性化诉求。营造和培育鼓励创新、宽容失败、尊重人才、尊重创造的社会氛围与创新文化。发挥行业协会、专业智库作用,组织开展未来产业研讨会、创新大赛、应用案例推广等活动,助推未来产业发展。</w:t>
      </w:r>
    </w:p>
    <w:p w14:paraId="494C5EA4">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3A48100C">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3689ACB7">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7B6888AF">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4FECE9B5">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1828FC92">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097BDCA8">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1718B7F9">
      <w:pPr>
        <w:snapToGrid w:val="0"/>
        <w:spacing w:after="0" w:line="570" w:lineRule="exact"/>
        <w:ind w:firstLine="620"/>
        <w:jc w:val="both"/>
        <w:rPr>
          <w:rFonts w:hint="eastAsia" w:ascii="Times New Roman" w:hAnsi="Times New Roman" w:eastAsia="方正仿宋简体" w:cs="方正仿宋简体"/>
          <w:color w:val="000000"/>
          <w:sz w:val="32"/>
          <w:szCs w:val="32"/>
        </w:rPr>
      </w:pPr>
    </w:p>
    <w:p w14:paraId="2D847519">
      <w:pPr>
        <w:spacing w:after="0" w:line="240" w:lineRule="auto"/>
        <w:ind w:firstLine="880" w:firstLineChars="200"/>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198E8490">
      <w:pPr>
        <w:spacing w:after="0" w:line="240" w:lineRule="auto"/>
        <w:jc w:val="both"/>
        <w:rPr>
          <w:rFonts w:ascii="Times New Roman" w:hAnsi="Times New Roman" w:eastAsia="Helvetica" w:cs="Helvetica"/>
          <w:color w:val="333333"/>
          <w:kern w:val="0"/>
          <w:sz w:val="36"/>
          <w:szCs w:val="36"/>
          <w:shd w:val="clear" w:color="auto" w:fill="FFFFFF"/>
        </w:rPr>
      </w:pPr>
      <w:r>
        <w:rPr>
          <w:rFonts w:hint="eastAsia" w:ascii="Times New Roman" w:hAnsi="Times New Roman" w:eastAsia="方正小标宋简体" w:cs="方正小标宋简体"/>
          <w:sz w:val="44"/>
          <w:szCs w:val="44"/>
        </w:rPr>
        <w:t>青岛市人民政府办公厅关于印发《以科技创新引领构建现代海洋产业体系培育打造海洋新质生产力行动方案（2025-2027年)》的通知</w:t>
      </w:r>
    </w:p>
    <w:p w14:paraId="60EDFB05">
      <w:pPr>
        <w:widowControl/>
        <w:shd w:val="clear" w:color="auto" w:fill="FFFFFF"/>
        <w:spacing w:after="0" w:line="444" w:lineRule="atLeast"/>
        <w:jc w:val="lef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各区、市人民政府，青岛西海岸新区管委，市政府各部门，市直各单位：</w:t>
      </w:r>
    </w:p>
    <w:p w14:paraId="1D8F00BB">
      <w:pPr>
        <w:widowControl/>
        <w:shd w:val="clear" w:color="auto" w:fill="FFFFFF"/>
        <w:spacing w:after="0" w:line="444" w:lineRule="atLeast"/>
        <w:jc w:val="left"/>
        <w:rPr>
          <w:rFonts w:hint="eastAsia" w:ascii="Times New Roman" w:hAnsi="Times New Roman" w:eastAsia="方正仿宋简体" w:cs="方正仿宋简体"/>
          <w:color w:val="000000"/>
          <w:sz w:val="32"/>
          <w:szCs w:val="32"/>
        </w:rPr>
      </w:pPr>
    </w:p>
    <w:p w14:paraId="034AB57D">
      <w:pPr>
        <w:widowControl/>
        <w:shd w:val="clear" w:color="auto" w:fill="FFFFFF"/>
        <w:spacing w:after="0" w:line="444" w:lineRule="atLeast"/>
        <w:ind w:firstLine="516"/>
        <w:jc w:val="left"/>
        <w:rPr>
          <w:rFonts w:ascii="Times New Roman" w:hAnsi="Times New Roman" w:eastAsia="Helvetica" w:cs="Helvetica"/>
          <w:color w:val="333333"/>
          <w:kern w:val="0"/>
          <w:sz w:val="19"/>
          <w:szCs w:val="19"/>
        </w:rPr>
      </w:pPr>
      <w:r>
        <w:rPr>
          <w:rFonts w:hint="eastAsia" w:ascii="Times New Roman" w:hAnsi="Times New Roman" w:eastAsia="方正仿宋简体" w:cs="方正仿宋简体"/>
          <w:color w:val="000000"/>
          <w:sz w:val="32"/>
          <w:szCs w:val="32"/>
        </w:rPr>
        <w:t>《青岛市以科技创新引领构建现代海洋产业体系培育打造海洋新质生产力行动方案（2025—2027年）》已经市政府研究同意，现印发给你们，请认真贯彻执行。</w:t>
      </w:r>
    </w:p>
    <w:p w14:paraId="434D13E1">
      <w:pPr>
        <w:widowControl/>
        <w:shd w:val="clear" w:color="auto" w:fill="FFFFFF"/>
        <w:spacing w:after="0" w:line="444" w:lineRule="atLeast"/>
        <w:ind w:firstLine="516"/>
        <w:jc w:val="left"/>
        <w:rPr>
          <w:rFonts w:ascii="Times New Roman" w:hAnsi="Times New Roman" w:eastAsia="Helvetica" w:cs="Helvetica"/>
          <w:color w:val="333333"/>
          <w:kern w:val="0"/>
          <w:sz w:val="19"/>
          <w:szCs w:val="19"/>
        </w:rPr>
      </w:pPr>
      <w:r>
        <w:rPr>
          <w:rFonts w:hint="eastAsia" w:ascii="Times New Roman" w:hAnsi="Times New Roman" w:eastAsia="仿宋_GB2312" w:cs="仿宋_GB2312"/>
          <w:color w:val="333333"/>
          <w:kern w:val="0"/>
          <w:sz w:val="25"/>
          <w:szCs w:val="25"/>
          <w:shd w:val="clear" w:color="auto" w:fill="FFFFFF"/>
        </w:rPr>
        <w:t>  </w:t>
      </w:r>
    </w:p>
    <w:p w14:paraId="1290324F">
      <w:pPr>
        <w:widowControl/>
        <w:shd w:val="clear" w:color="auto" w:fill="FFFFFF"/>
        <w:spacing w:after="0" w:line="444" w:lineRule="atLeast"/>
        <w:ind w:firstLine="3972"/>
        <w:jc w:val="right"/>
        <w:rPr>
          <w:rFonts w:hint="eastAsia" w:ascii="Times New Roman" w:hAnsi="Times New Roman" w:eastAsia="方正仿宋简体" w:cs="方正仿宋简体"/>
          <w:color w:val="000000"/>
          <w:sz w:val="32"/>
          <w:szCs w:val="32"/>
        </w:rPr>
      </w:pPr>
      <w:r>
        <w:rPr>
          <w:rFonts w:hint="eastAsia" w:ascii="Times New Roman" w:hAnsi="Times New Roman" w:eastAsia="仿宋_GB2312" w:cs="仿宋_GB2312"/>
          <w:color w:val="333333"/>
          <w:kern w:val="0"/>
          <w:sz w:val="25"/>
          <w:szCs w:val="25"/>
          <w:shd w:val="clear" w:color="auto" w:fill="FFFFFF"/>
        </w:rPr>
        <w:t>     </w:t>
      </w:r>
      <w:r>
        <w:rPr>
          <w:rFonts w:hint="eastAsia" w:ascii="Times New Roman" w:hAnsi="Times New Roman" w:eastAsia="方正仿宋简体" w:cs="方正仿宋简体"/>
          <w:color w:val="000000"/>
          <w:sz w:val="32"/>
          <w:szCs w:val="32"/>
        </w:rPr>
        <w:t>青岛市人民政府办公厅</w:t>
      </w:r>
    </w:p>
    <w:p w14:paraId="78F2952C">
      <w:pPr>
        <w:widowControl/>
        <w:shd w:val="clear" w:color="auto" w:fill="FFFFFF"/>
        <w:spacing w:after="0" w:line="444" w:lineRule="atLeast"/>
        <w:ind w:firstLine="3972"/>
        <w:jc w:val="right"/>
        <w:rPr>
          <w:rFonts w:hint="eastAsia" w:ascii="Times New Roman" w:hAnsi="Times New Roman" w:eastAsia="方正仿宋简体" w:cs="方正仿宋简体"/>
          <w:color w:val="000000"/>
          <w:sz w:val="32"/>
          <w:szCs w:val="32"/>
        </w:rPr>
      </w:pPr>
    </w:p>
    <w:p w14:paraId="6D784D22">
      <w:pPr>
        <w:widowControl/>
        <w:shd w:val="clear" w:color="auto" w:fill="FFFFFF"/>
        <w:spacing w:after="0" w:line="444" w:lineRule="atLeast"/>
        <w:ind w:firstLine="4608"/>
        <w:jc w:val="right"/>
        <w:rPr>
          <w:rFonts w:ascii="Times New Roman" w:hAnsi="Times New Roman" w:eastAsia="方正仿宋简体" w:cs="Times New Roman"/>
          <w:color w:val="000000"/>
          <w:sz w:val="32"/>
          <w:szCs w:val="32"/>
        </w:rPr>
      </w:pPr>
      <w:r>
        <w:rPr>
          <w:rFonts w:hint="eastAsia" w:ascii="Times New Roman" w:hAnsi="Times New Roman" w:eastAsia="仿宋_GB2312" w:cs="仿宋_GB2312"/>
          <w:color w:val="333333"/>
          <w:kern w:val="0"/>
          <w:sz w:val="25"/>
          <w:szCs w:val="25"/>
          <w:shd w:val="clear" w:color="auto" w:fill="FFFFFF"/>
        </w:rPr>
        <w:t>     </w:t>
      </w:r>
      <w:r>
        <w:rPr>
          <w:rFonts w:hint="eastAsia" w:ascii="Times New Roman" w:hAnsi="Times New Roman" w:eastAsia="方正仿宋简体" w:cs="Times New Roman"/>
          <w:color w:val="000000"/>
          <w:sz w:val="32"/>
          <w:szCs w:val="32"/>
        </w:rPr>
        <w:t>2024年11月15日</w:t>
      </w:r>
    </w:p>
    <w:p w14:paraId="49AB5949">
      <w:pPr>
        <w:spacing w:after="0" w:line="240" w:lineRule="auto"/>
        <w:ind w:firstLine="720" w:firstLineChars="200"/>
        <w:jc w:val="center"/>
        <w:rPr>
          <w:rFonts w:ascii="Times New Roman" w:hAnsi="Times New Roman" w:eastAsia="Helvetica" w:cs="Helvetica"/>
          <w:color w:val="333333"/>
          <w:kern w:val="0"/>
          <w:sz w:val="36"/>
          <w:szCs w:val="36"/>
          <w:shd w:val="clear" w:color="auto" w:fill="FFFFFF"/>
        </w:rPr>
      </w:pPr>
    </w:p>
    <w:p w14:paraId="5790D3EF">
      <w:pPr>
        <w:spacing w:after="0" w:line="240" w:lineRule="auto"/>
        <w:ind w:firstLine="880" w:firstLineChars="200"/>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青岛市以科技创新引领构建现代海洋产业体系培育打造海洋新质生产力行动方案（2025—2027年）</w:t>
      </w:r>
    </w:p>
    <w:p w14:paraId="6267774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宋体" w:cs="Times New Roman"/>
          <w:kern w:val="0"/>
          <w:sz w:val="24"/>
        </w:rPr>
        <w:t> </w:t>
      </w:r>
      <w:r>
        <w:rPr>
          <w:rFonts w:hint="eastAsia" w:ascii="Times New Roman" w:hAnsi="Times New Roman" w:eastAsia="宋体" w:cs="Times New Roman"/>
          <w:kern w:val="0"/>
          <w:sz w:val="24"/>
        </w:rPr>
        <w:tab/>
      </w:r>
      <w:r>
        <w:rPr>
          <w:rFonts w:hint="eastAsia" w:ascii="Times New Roman" w:hAnsi="Times New Roman" w:eastAsia="方正仿宋简体" w:cs="方正仿宋简体"/>
          <w:color w:val="000000"/>
          <w:sz w:val="32"/>
          <w:szCs w:val="32"/>
        </w:rPr>
        <w:t>为进一步强化科技创新引领作用，打造具有国际竞争力的现代海洋产业体系，加快培育海洋新质生产力，推动海洋经济高质量发展，结合我市实际，制定本方案。</w:t>
      </w:r>
    </w:p>
    <w:p w14:paraId="7A878E79">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一、总体目标</w:t>
      </w:r>
    </w:p>
    <w:p w14:paraId="199AEDC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以习近平新时代中国特色社会主义思想为指导，全面贯彻党的二十大和二十届二中、三中全会精神，加快构建以科技创新为引领的现代海洋产业体系，为打造现代海洋经济发展高地提供有力支撑。到2027年，力争全市涉海规上企业超过3500家，涉海高新技术企业超过1000家，海洋新兴产业产值达到1000亿元，成为发展海洋新质生产力的主阵地。</w:t>
      </w:r>
    </w:p>
    <w:p w14:paraId="4B5EEBD0">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二、工作任务</w:t>
      </w:r>
    </w:p>
    <w:p w14:paraId="3A195D8D">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（一）海洋装备产业</w:t>
      </w:r>
    </w:p>
    <w:p w14:paraId="3DCC781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提升研发设计与技术攻关能力，研发建造高技术、高附加值船舶，提高海洋装备及其关键核心配套设备研发设计能力，助力海洋装备关键核心部件国产化。推动船舶海工产品结构优化升级，加强与国内海洋装备领域领军企业对接，部署高端船舶与海洋工程装备制造板块，着力发展LNG动力、氨动力、甲醇动力等新型动力船型，支持企业实施主力船型绿色智能升级。推动海工装备制造高端化，巩固提升深水大型及超深水半潜式生产平台、浮式生产储卸油装置（FPSO）等深远海油气资源开发装备总装建造能力，提升数字化、模块化建造应用水平，建立现代海洋工程装备管理模式。推动自主配套水平完善提升，支持海洋装备配套企业规模化发展，发展自动靠离泊、远程无人控制等船舶智能系统研发。做强船用大功率低速发动机、压载水系统等配套产品，发展智能航行、脱硫脱碳系统、供气系统、碳捕集高值化利用、高精度导航等船舶配套产品。推动总部型海洋装备业集聚发展,将海西湾建设为集研发设计、总装建造、产业配套为一体的总部型产业基地，持续打造国家新型工业化产业示范基地，打造数字化车间、智能工厂和绿色制造示范企业。（市科技局、市工业和信息化局、市海洋发展局按职责分工负责）</w:t>
      </w:r>
    </w:p>
    <w:p w14:paraId="5808117D">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（二）海洋药物和生物制品产业</w:t>
      </w:r>
    </w:p>
    <w:p w14:paraId="3CE4852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提升海洋药物原始创新能力，深入实施“蓝色药库”计划，加快海洋创新药物研发，聚焦海洋糖类药物、蛋白及肽类药物开发等领域技术攻关，推动具有自主知识产权的抗肿瘤、抗心脑血管疾病、抗神经退行性疾病等海洋创新药物及海洋中药研发。聚焦合成生物、基因编辑等重点领域，布局推动一批科技计划项目。推进海洋生物医疗器械和医用材料高端发展，支持企业和高校、科研院所开发止血、创伤修复、组织工程支架等高性能、高纯度、高附加值的医疗器械和医用材料。拓展海洋资源在生命科学工具、诊断试剂、造影剂等领域应用。推进海洋生物功能制品向价值链高端延伸，支持企业和高校、科研院所开发具有辅助增强免疫力、预防心脑血管疾病等功效的海洋功能保健食品，发展特殊医学用途配方食品、海洋化妆品，开发海洋酶制剂、农用生物肥料等海洋生物农用制品，提高海藻加工废弃物及浒苔综合利用水平，发展高纯度海藻酸盐、海藻寡糖提取制造。推进产业发展创新服务平台搭建，加快建设青岛海洋生物医药特色产业集聚区，积极培育医药外包服务机构，构建面向产业需求的研发和公共服务体系。（市委金融办、市科技局、市工业和信息化局、市财政局、市海洋发展局、市卫生健康委、市市场监管局、崂山区政府按职责分工负责）</w:t>
      </w:r>
    </w:p>
    <w:p w14:paraId="3FBF12D3">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（三）海水淡化与综合利用产业</w:t>
      </w:r>
    </w:p>
    <w:p w14:paraId="78A5746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提升海水淡化与综合利用科技创新能力，加大基础性、前瞻性和关键共性技术研发，推动海水淡化专用材料、装备协同攻关及产业化，实现核心技术装备自主可控，推进海水淡化与综合利用领域自主创新和原始创新。将海水淡化水作为生活补充水源、市政新增供水及重要应急备用水源，充分利用已建海水淡化工程，拓展海水淡化水在市政、工业、海岛等方面的应用场景。完善海水淡化与综合利用产业链条，重点发展海水淡化与综合利用关键装备制造能力，实现反渗透膜自主生产，促进海水淡化与传统产业协同发展，积极推动海水淡化与分布式能源以及太阳能、风能、海洋能等可再生能源发电联动发展，积极开展浓盐水综合利用。（市发展改革委、市科技局、市水务管理局、市海洋发展局、市国资委、市行政审批局、李沧区政府、青岛西海岸新区管委、即墨区政府、青岛蓝谷管理局按职责分工负责）</w:t>
      </w:r>
    </w:p>
    <w:p w14:paraId="4440B961">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（四）海洋新能源产业</w:t>
      </w:r>
    </w:p>
    <w:p w14:paraId="6F27317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推动发展深远海风电产业，积极推进海上风电场选址和开发，提高海上风电产业集聚度，支持海上能源、深海养殖、海洋文旅、海洋装备等融合发展，围绕风场开发、整机、主轴、材料制造等环节打造风电装备全产业链。稳慎推进海上光伏产业，根据国家政策调整，依规推进海上光伏项目建设，推动海上光伏产业融合发展，加快高端光伏材料技术开发。发挥海洋能技术研发优势，加强国际交流合作，加快关键装备技术攻关，加快突破兆瓦级波浪能、潮流能发电技术，实现设备研制、测试和定型。发挥海洋科技创新平台、人才、技术、设施集聚优势，推进海洋能开发利用项目示范，加快商业化开发进程，推动绿氢综合利用技术示范验证，探索打造海上氢岛、海上能源站和海上能源岛。发挥海洋装备制造业基础优势，鼓励企业延伸拓展海洋能装备制造，以培育本土海洋能装备制造产业为核心，提高关键核心配套装备自主化水平。（市发展改革委、市科技局、市工业和信息化局、市海洋发展局、青岛西海岸新区管委、即墨区政府、胶州市政府、上合示范区管委、青岛蓝谷管理局按职责分工负责）</w:t>
      </w:r>
    </w:p>
    <w:p w14:paraId="3027918D">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（五）深海开发产业</w:t>
      </w:r>
    </w:p>
    <w:p w14:paraId="037BBC0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开展深海采矿技术重点攻关，广泛对接国家深海战略科技力量和产业资源，打造国内领先的深海矿产开发技术高地。提升深海矿产开发装备制造能力，聚焦水下采集类装备、水中传输类装备、水面平台类装备，提升装备研发和制造能力，推动深海矿产开发装备产业在青培育壮大。发挥深海重大平台支撑作用，构建国家级、省级、企业级等多层次的深海创新体系，加快推动深海领域重大基础设施在青布局。强化市场主体培育，坚持以企业为创新创业主体，梯队培育深海高新技术企业，夯实深海产业基础，构建深海矿产开发产业生态。积极参与深海采矿国际合作与治理，发挥国际海洋事务交流平台载体优势，密切与国际深海领域机构组织联系，通过开展国际学术论坛、组织深海专题培训、参与标准制定等，在深海采矿国际合作与治理中探索青岛经验。（市委外办、市发展改革委、市科技局、市海洋发展局按职责分工负责）</w:t>
      </w:r>
    </w:p>
    <w:p w14:paraId="4AACE8CB">
      <w:pPr>
        <w:keepNext/>
        <w:keepLines/>
        <w:widowControl/>
        <w:spacing w:after="0" w:line="240" w:lineRule="auto"/>
        <w:ind w:firstLine="643" w:firstLineChars="200"/>
        <w:jc w:val="left"/>
        <w:outlineLvl w:val="1"/>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（六）海洋电子信息产业</w:t>
      </w:r>
    </w:p>
    <w:p w14:paraId="7ADD3C4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依托高校、科研院所及领军企业，打造海洋物联网领域联合实验室、工程研究中心等平台，提升原始创新、源头创新能力。加快微纳传感等多源传感技术研发，支持水下通信与导航、多功能跨域网关等通信核心技术研究，重点突破海洋数字孪生等前沿交叉技术和分布式训练等大模型关键核心技术，攻坚存算一体芯片、神经网络处理等核心底层硬件技术。聚焦“陆海空天”谱系化装备研制体系，推进高性能温盐深传感器等新型观探测设备国产替代，加强敏感海域动态观测、动力过程监测等领域核心技术装备支撑。研制面向深远海的大型锚系通量观测浮标系统，推进固定观测、移动观测、遥感观测等平台建设。构建具有竞争力的海洋电子信息企业方阵，重点实施水下机器人、智能浮标潜标等海洋观探测装备产业集群建设，加快全产业链条集聚化、规模化发展。布局卫星通信、水声通信等设备设施，建设高速泛在、天地一体、集成互联、安全高效的海洋信息“新基建”。实施“标准化+”工程，促进海洋物联网国际标准制定共享。举办特色鲜明的海洋领域展会、论坛等活动，推动国际间人才技术多层次交流。开展新技术、新模式、新业态融合创新场景实测，打造海洋电子信息未来工厂等标杆示范场景。聚焦智慧港口、海洋数字文旅、海上公共服务、海洋生态管理等领域，布局一批产业场景应用实验室，加快建设海洋人工智能大模型集聚区。鼓励企业结成应用场景“联合体”，创造新的应用场景和消费需求。（市发展改革委、市教育局、市科技局、市工业和信息化局、市生态环境局、市交通运输局、市海洋发展局、市文化和旅游局、市大数据局、市民营经济局、青岛海洋科技中心、崂山实验室按职责分工负责）</w:t>
      </w:r>
    </w:p>
    <w:p w14:paraId="065BEF2A">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（七）现代渔业</w:t>
      </w:r>
    </w:p>
    <w:p w14:paraId="3510A24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提升水产种业创新研发和产业转化能力，以三文鱼、东星斑、南美白对虾、牡蛎、海参等品种为重点，系统谋划水产种业发展布局，明确中长期发展目标，打造全国水产种质研发创制高地和水产种业产业化应用基地。健全深远海养殖产业链条，按照疏近用远原则，合理确定深远海发展空间，布局苗种繁育、养殖、饲料、病害防控、加工、贸易、物流等上下游全产业链条，推动水产养殖走深、走远。打造多产联动的现代海洋牧场，在优质岸线打造集育苗、养殖、生态养护、休闲垂钓、餐饮食宿、海上观光、海上救援、海事服务等功能于一体的海洋牧场综合体，开发海陆交融的特色旅游产品，打造高端海岛休闲旅游度假目的地。（市委金融办、市科技局、市海洋发展局、市文化和旅游局、市体育局、人民银行青岛市分行、青岛金融监管局、崂山区政府、青岛西海岸新区管委、城阳区政府、即墨区政府、胶州市政府按职责分工负责）</w:t>
      </w:r>
    </w:p>
    <w:p w14:paraId="45F8CEBF">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（八）海洋化工业</w:t>
      </w:r>
    </w:p>
    <w:p w14:paraId="14907A7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推动海洋石化产业链条一体化、装置规模化、种类系列化、产品精细化发展。支持发展海洋化工循环产业体系，以海淡高盐水为源头，支持企业建立盐—碱—氯循环利用体系，提高海水、浓盐水综合利用效率，创新技术提高海洋盐化工产品附加值。做强海洋化工新材料产业，提高海藻精深加工和产品技术含量，打造具有竞争力的海藻纤维、海藻肥料等高附加值海藻化工产品。发挥海洋新材料科研优势，做大做强海洋化工涂料产业，研发新型浮力材料、防污防滑减阻材料。坚持绿色低碳安全发展，聚焦空间布局、循环链接、节能降碳、资源利用、污染治理等重点任务，提高资源能源利用效率，争创国家绿色化工园区，鼓励园区和企业，运用人工智能等技术手段，打造智慧园区和智能工厂，提高安全环保整体水平。（市发展改革委、市科技局、市工业和信息化局、市自然资源和规划局、市海洋发展局、市商务局按职责分工负责）</w:t>
      </w:r>
    </w:p>
    <w:p w14:paraId="4B7F36E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黑体简体" w:cs="Times New Roman"/>
          <w:kern w:val="44"/>
          <w:sz w:val="32"/>
        </w:rPr>
        <w:t>三、保障措施 </w:t>
      </w:r>
      <w:r>
        <w:rPr>
          <w:rFonts w:hint="eastAsia" w:ascii="Times New Roman" w:hAnsi="Times New Roman" w:eastAsia="方正仿宋简体" w:cs="方正仿宋简体"/>
          <w:color w:val="000000"/>
          <w:sz w:val="32"/>
          <w:szCs w:val="32"/>
        </w:rPr>
        <w:t>  </w:t>
      </w:r>
    </w:p>
    <w:p w14:paraId="0F977710">
      <w:pPr>
        <w:snapToGrid w:val="0"/>
        <w:spacing w:after="0" w:line="570" w:lineRule="exact"/>
        <w:ind w:firstLine="620"/>
        <w:jc w:val="both"/>
        <w:rPr>
          <w:rFonts w:hint="eastAsia" w:ascii="Times New Roman" w:hAnsi="Times New Roman" w:eastAsia="方正小标宋简体" w:cs="方正小标宋简体"/>
          <w:sz w:val="44"/>
          <w:szCs w:val="44"/>
        </w:rPr>
      </w:pPr>
      <w:r>
        <w:rPr>
          <w:rFonts w:hint="eastAsia" w:ascii="Times New Roman" w:hAnsi="Times New Roman" w:eastAsia="方正仿宋简体" w:cs="方正仿宋简体"/>
          <w:color w:val="000000"/>
          <w:sz w:val="32"/>
          <w:szCs w:val="32"/>
        </w:rPr>
        <w:t>布局一批具有牵引性的重大科技项目和重大工程，深入实施“海创计划”，建立产学研联盟，构建创新协同、供应链互通的产业创新生态。引育高素质海洋科技产业人才，推动校地耦合发展，建立海洋高层次人才库和海内外高端紧缺人才招引清单，加大人才、技术等创新要素交流合作。加强海洋新兴产业、未来产业发展规划研究，编制“海洋产业链生命树”，构建海洋产业装备技术和产业发展路线图。制定海洋领域重点产业招引目标清单，实施海洋项目全生命周期管理，打造海洋特色产业集聚区，建设新型深远海养殖综合产业集聚区。优化海洋经济发展法治化环境，加大海洋政策资金保障力度，构建多元化投入体系，支持金融机构开发契合海洋产业特点的金融产品，发挥“蓝色金融”保障作用。</w:t>
      </w:r>
    </w:p>
    <w:p w14:paraId="278C0788">
      <w:pPr>
        <w:snapToGrid w:val="0"/>
        <w:spacing w:after="0" w:line="570" w:lineRule="exact"/>
        <w:jc w:val="center"/>
        <w:rPr>
          <w:rFonts w:hint="eastAsia" w:ascii="Times New Roman" w:hAnsi="Times New Roman" w:eastAsia="方正小标宋简体" w:cs="方正小标宋简体"/>
          <w:sz w:val="44"/>
          <w:szCs w:val="44"/>
        </w:rPr>
      </w:pPr>
    </w:p>
    <w:p w14:paraId="53A9F982">
      <w:pPr>
        <w:snapToGrid w:val="0"/>
        <w:spacing w:after="0" w:line="570" w:lineRule="exact"/>
        <w:jc w:val="both"/>
        <w:rPr>
          <w:rFonts w:hint="eastAsia" w:ascii="Times New Roman" w:hAnsi="Times New Roman" w:eastAsia="方正小标宋简体" w:cs="方正小标宋简体"/>
          <w:sz w:val="44"/>
          <w:szCs w:val="44"/>
        </w:rPr>
      </w:pPr>
    </w:p>
    <w:p w14:paraId="48E3870A">
      <w:pPr>
        <w:snapToGrid w:val="0"/>
        <w:spacing w:after="0" w:line="570" w:lineRule="exact"/>
        <w:jc w:val="center"/>
        <w:rPr>
          <w:rFonts w:hint="eastAsia" w:ascii="Times New Roman" w:hAnsi="Times New Roman" w:eastAsia="方正小标宋简体" w:cs="方正小标宋简体"/>
          <w:sz w:val="44"/>
          <w:szCs w:val="44"/>
        </w:rPr>
      </w:pPr>
    </w:p>
    <w:p w14:paraId="7FDFAB34">
      <w:pPr>
        <w:snapToGrid w:val="0"/>
        <w:spacing w:after="0" w:line="570" w:lineRule="exact"/>
        <w:jc w:val="center"/>
        <w:rPr>
          <w:rFonts w:hint="eastAsia" w:ascii="Times New Roman" w:hAnsi="Times New Roman" w:eastAsia="方正小标宋简体" w:cs="方正小标宋简体"/>
          <w:sz w:val="44"/>
          <w:szCs w:val="44"/>
        </w:rPr>
      </w:pPr>
    </w:p>
    <w:p w14:paraId="5FB16EAC">
      <w:pPr>
        <w:snapToGrid w:val="0"/>
        <w:spacing w:after="0" w:line="570" w:lineRule="exact"/>
        <w:jc w:val="center"/>
        <w:rPr>
          <w:rFonts w:hint="eastAsia" w:ascii="Times New Roman" w:hAnsi="Times New Roman" w:eastAsia="方正小标宋简体" w:cs="方正小标宋简体"/>
          <w:sz w:val="44"/>
          <w:szCs w:val="44"/>
        </w:rPr>
      </w:pPr>
    </w:p>
    <w:p w14:paraId="35492B99">
      <w:pPr>
        <w:snapToGrid w:val="0"/>
        <w:spacing w:after="0" w:line="570" w:lineRule="exact"/>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25514EC3">
      <w:pPr>
        <w:snapToGrid w:val="0"/>
        <w:spacing w:after="0" w:line="570" w:lineRule="exact"/>
        <w:jc w:val="center"/>
        <w:rPr>
          <w:rFonts w:ascii="Times New Roman" w:hAnsi="Times New Roman" w:eastAsia="Helvetica" w:cs="Helvetica"/>
          <w:color w:val="333333"/>
          <w:kern w:val="0"/>
          <w:sz w:val="36"/>
          <w:szCs w:val="36"/>
          <w:shd w:val="clear" w:color="auto" w:fill="FFFFFF"/>
        </w:rPr>
      </w:pPr>
      <w:r>
        <w:rPr>
          <w:rFonts w:hint="eastAsia" w:ascii="Times New Roman" w:hAnsi="Times New Roman" w:eastAsia="方正小标宋简体" w:cs="方正小标宋简体"/>
          <w:sz w:val="44"/>
          <w:szCs w:val="44"/>
        </w:rPr>
        <w:t>青岛市人民政府办公厅关于印发《青岛市加快体育产业高质量发展若干措施》的通知</w:t>
      </w:r>
    </w:p>
    <w:p w14:paraId="2F663B4E">
      <w:pPr>
        <w:spacing w:after="0" w:line="240" w:lineRule="auto"/>
        <w:jc w:val="both"/>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各区、市人民政府，青岛西海岸新区管委，市政府各部门，市直各单位：</w:t>
      </w:r>
    </w:p>
    <w:p w14:paraId="047240FF">
      <w:pPr>
        <w:spacing w:after="0" w:line="240" w:lineRule="auto"/>
        <w:jc w:val="both"/>
        <w:rPr>
          <w:rFonts w:hint="eastAsia" w:ascii="Times New Roman" w:hAnsi="Times New Roman" w:eastAsia="方正仿宋简体" w:cs="方正仿宋简体"/>
          <w:color w:val="000000"/>
          <w:sz w:val="32"/>
          <w:szCs w:val="32"/>
        </w:rPr>
      </w:pPr>
    </w:p>
    <w:p w14:paraId="100906A0">
      <w:pPr>
        <w:spacing w:after="0" w:line="240" w:lineRule="auto"/>
        <w:ind w:firstLine="720"/>
        <w:jc w:val="both"/>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《青岛市加快体育产业高质量发展若干措施》已经市政府研究同意，现印发给你们，请认真贯彻执行。</w:t>
      </w:r>
    </w:p>
    <w:p w14:paraId="3A04ACAA">
      <w:pPr>
        <w:spacing w:after="0" w:line="240" w:lineRule="auto"/>
        <w:ind w:firstLine="720"/>
        <w:jc w:val="both"/>
        <w:rPr>
          <w:rFonts w:hint="eastAsia" w:ascii="Times New Roman" w:hAnsi="Times New Roman" w:eastAsia="方正仿宋简体" w:cs="方正仿宋简体"/>
          <w:color w:val="000000"/>
          <w:sz w:val="32"/>
          <w:szCs w:val="32"/>
        </w:rPr>
      </w:pPr>
    </w:p>
    <w:p w14:paraId="17C84CB4">
      <w:pPr>
        <w:widowControl/>
        <w:shd w:val="clear" w:color="auto" w:fill="FFFFFF"/>
        <w:spacing w:after="0" w:line="240" w:lineRule="auto"/>
        <w:ind w:firstLine="420"/>
        <w:jc w:val="left"/>
        <w:rPr>
          <w:rFonts w:hint="eastAsia" w:ascii="Times New Roman" w:hAnsi="Times New Roman" w:eastAsia="方正仿宋简体" w:cs="方正仿宋简体"/>
          <w:color w:val="000000"/>
          <w:sz w:val="32"/>
          <w:szCs w:val="32"/>
        </w:rPr>
      </w:pPr>
      <w:r>
        <w:rPr>
          <w:rFonts w:ascii="Times New Roman" w:hAnsi="Times New Roman" w:eastAsia="Helvetica" w:cs="Helvetica"/>
          <w:color w:val="333333"/>
          <w:kern w:val="0"/>
          <w:sz w:val="19"/>
          <w:szCs w:val="19"/>
          <w:shd w:val="clear" w:color="auto" w:fill="FFFFFF"/>
        </w:rPr>
        <w:t>                                                  </w:t>
      </w:r>
      <w:r>
        <w:rPr>
          <w:rFonts w:ascii="Times New Roman" w:hAnsi="Times New Roman" w:eastAsia="方正仿宋简体" w:cs="方正仿宋简体"/>
          <w:color w:val="000000"/>
          <w:sz w:val="32"/>
          <w:szCs w:val="32"/>
        </w:rPr>
        <w:t>青岛市人民政府办公厅</w:t>
      </w:r>
    </w:p>
    <w:p w14:paraId="5CDFE4CE">
      <w:pPr>
        <w:widowControl/>
        <w:shd w:val="clear" w:color="auto" w:fill="FFFFFF"/>
        <w:spacing w:after="0" w:line="240" w:lineRule="auto"/>
        <w:ind w:firstLine="420"/>
        <w:jc w:val="right"/>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                                                               2024年12月30日</w:t>
      </w:r>
    </w:p>
    <w:p w14:paraId="376A7003">
      <w:pPr>
        <w:snapToGrid w:val="0"/>
        <w:spacing w:after="0" w:line="570" w:lineRule="exact"/>
        <w:jc w:val="center"/>
        <w:rPr>
          <w:rFonts w:ascii="Times New Roman" w:hAnsi="Times New Roman" w:eastAsia="Helvetica" w:cs="Helvetica"/>
          <w:color w:val="333333"/>
          <w:kern w:val="0"/>
          <w:sz w:val="36"/>
          <w:szCs w:val="36"/>
          <w:shd w:val="clear" w:color="auto" w:fill="FFFFFF"/>
        </w:rPr>
      </w:pPr>
    </w:p>
    <w:p w14:paraId="252339B7">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青岛市加快体育产业高质量发展若干措施</w:t>
      </w:r>
    </w:p>
    <w:p w14:paraId="5169953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为深入实施全民健身国家战略，进一步激发市场活力，促进体育消费提质升级，加快推动体育产业高质量发展，根据国家、省相关工作部署要求，结合我市实际，制定如下措施。</w:t>
      </w:r>
    </w:p>
    <w:p w14:paraId="1CCC70D1">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一、丰富场地设施，夯实产业基础</w:t>
      </w:r>
    </w:p>
    <w:p w14:paraId="53323F7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1.鼓励示范性体育场馆建设。</w:t>
      </w:r>
      <w:r>
        <w:rPr>
          <w:rFonts w:hint="eastAsia" w:ascii="Times New Roman" w:hAnsi="Times New Roman" w:eastAsia="方正仿宋简体" w:cs="方正仿宋简体"/>
          <w:color w:val="000000"/>
          <w:sz w:val="32"/>
          <w:szCs w:val="32"/>
        </w:rPr>
        <w:t>鼓励社会力量投资新建或利用现有建设用地和闲置厂房、仓库、老旧商业设施等改建、扩建符合国家安全标准的示范性体育场馆，发挥场馆的示范、引领作用，带动体育场地设施品质全面提升。（责任单位：市体育局，各区、市政府，以下各项工作均需各区、市政府落实，不再一一列出）</w:t>
      </w:r>
    </w:p>
    <w:p w14:paraId="3468B10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2.支持户外运动场地设施建设。</w:t>
      </w:r>
      <w:r>
        <w:rPr>
          <w:rFonts w:hint="eastAsia" w:ascii="Times New Roman" w:hAnsi="Times New Roman" w:eastAsia="方正仿宋简体" w:cs="方正仿宋简体"/>
          <w:color w:val="000000"/>
          <w:sz w:val="32"/>
          <w:szCs w:val="32"/>
        </w:rPr>
        <w:t>支持社会力量在不破坏生态、依法依规的前提下，合理利用山海自然资源、公园等绿地空间，开辟体育消费新业态、新场景，投资建设山地、冰雪、海洋、汽摩、露营、自行车等户外运动场地及相关服务设施，为发展户外运动产业和体育旅游创造优良硬件环境。（责任单位：市体育局、市自然资源和规划局、市海洋发展局、市园林和林业局）</w:t>
      </w:r>
    </w:p>
    <w:p w14:paraId="312539F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3.扩大体育场地设施开放。</w:t>
      </w:r>
      <w:r>
        <w:rPr>
          <w:rFonts w:hint="eastAsia" w:ascii="Times New Roman" w:hAnsi="Times New Roman" w:eastAsia="方正仿宋简体" w:cs="方正仿宋简体"/>
          <w:color w:val="000000"/>
          <w:sz w:val="32"/>
          <w:szCs w:val="32"/>
        </w:rPr>
        <w:t>鼓励训练场馆和专业性较强的场馆在保障专业训练和比赛的前提下，创造条件对社会开放；支持企事业单位、社会资本投资建设的体育设施免费或低收费向社会开放，更好满足市民多样化健身消费需求。（责任单位：市体育局）</w:t>
      </w:r>
    </w:p>
    <w:p w14:paraId="31586872">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二、发展赛事经济，培育消费增长点</w:t>
      </w:r>
    </w:p>
    <w:p w14:paraId="749CFD8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4.丰富高端赛事供给。</w:t>
      </w:r>
      <w:r>
        <w:rPr>
          <w:rFonts w:hint="eastAsia" w:ascii="Times New Roman" w:hAnsi="Times New Roman" w:eastAsia="方正仿宋简体" w:cs="方正仿宋简体"/>
          <w:color w:val="000000"/>
          <w:sz w:val="32"/>
          <w:szCs w:val="32"/>
        </w:rPr>
        <w:t>鼓励在我市举办观赏性强、参与性高的国际、全国性高端体育赛事，加大涉及奥运会、亚运会参赛资格或积分的锦标赛、杯赛、公开赛，以及影响力强、市场价值力大的国际高水平单项体育赛事招引力度，更好满足人民群众的参赛、观赛需求。（责任单位：市体育局、市财政局）</w:t>
      </w:r>
    </w:p>
    <w:p w14:paraId="3A522D8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5.培育自主品牌赛事。</w:t>
      </w:r>
      <w:r>
        <w:rPr>
          <w:rFonts w:hint="eastAsia" w:ascii="Times New Roman" w:hAnsi="Times New Roman" w:eastAsia="方正仿宋简体" w:cs="方正仿宋简体"/>
          <w:color w:val="000000"/>
          <w:sz w:val="32"/>
          <w:szCs w:val="32"/>
        </w:rPr>
        <w:t>发挥区位优势，依托上合示范区、沿黄流域高质量发展、胶东经济圈等国家、省区域发展战略，结合历史文化底蕴和自然生态资源，围绕山地、水（海）上、冰雪等具有时尚引领性、新兴体育项目，做大做强传统品牌赛事，培育具有青岛特色的自主品牌赛事，展现青岛城市形象，扩大城市影响力。（责任单位：市体育局、市财政局）</w:t>
      </w:r>
    </w:p>
    <w:p w14:paraId="437A780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6.培育“赛事＋”新业态。</w:t>
      </w:r>
      <w:r>
        <w:rPr>
          <w:rFonts w:hint="eastAsia" w:ascii="Times New Roman" w:hAnsi="Times New Roman" w:eastAsia="方正仿宋简体" w:cs="方正仿宋简体"/>
          <w:color w:val="000000"/>
          <w:sz w:val="32"/>
          <w:szCs w:val="32"/>
        </w:rPr>
        <w:t>积极开展“体育赛事进景区、进街区、进商圈”“跟着赛事去旅行”活动，充分发挥赛事价值、释放赛事效益。鼓励将赛事举办地从体育场馆扩展至具备条件的体育公园、商业中心、步行街等区域，支持赛事主办方联合商圈、酒店、景区推出赛事购物专线、专属优惠券等消费活动，开发赛事相关文创产品和旅游线路，推动体育、商贸、文旅等多业态深度融合，进一步激发景区、街区、商圈活力。（责任单位：市体育局、市商务局、市文化和旅游局）</w:t>
      </w:r>
    </w:p>
    <w:p w14:paraId="57FB16C2">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三、壮大市场主体，激发产业活力</w:t>
      </w:r>
    </w:p>
    <w:p w14:paraId="7517832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7.搭建产业发展平台。</w:t>
      </w:r>
      <w:r>
        <w:rPr>
          <w:rFonts w:hint="eastAsia" w:ascii="Times New Roman" w:hAnsi="Times New Roman" w:eastAsia="方正仿宋简体" w:cs="方正仿宋简体"/>
          <w:color w:val="000000"/>
          <w:sz w:val="32"/>
          <w:szCs w:val="32"/>
        </w:rPr>
        <w:t>鼓励体育企业参加各类展会、论坛和赛事活动，积极引进举办中国国际体育用品博览会等知名体育用品类展会，为企业发展提供平台支撑。完善“全民健身一张图”、体育资源交易平台等数字平台功能，发挥体育产业基地的示范引领作用,争创省级、国家级体育产业基地。（责任单位：市体育局、市贸促会）</w:t>
      </w:r>
    </w:p>
    <w:p w14:paraId="1CC7A7A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8.鼓励企业科技创新。</w:t>
      </w:r>
      <w:r>
        <w:rPr>
          <w:rFonts w:hint="eastAsia" w:ascii="Times New Roman" w:hAnsi="Times New Roman" w:eastAsia="方正仿宋简体" w:cs="方正仿宋简体"/>
          <w:color w:val="000000"/>
          <w:sz w:val="32"/>
          <w:szCs w:val="32"/>
        </w:rPr>
        <w:t>鼓励体育企业充分利用互联网、大数据、云计算、人工智能等新科技，积极培育数字体育、在线健身、智慧传媒等新业态。鼓励体育科技成果转化、技术应用推广、科技项目交流合作，有效提升体育装备、用品的科技含量和智能化水平，依法支持培育体育企业发展成为高新技术、专精特新“小巨人”、瞪羚、独角兽等创新发展的标杆型企业。（责任单位：市体育局、市科技局、市工业和信息化局、市民营经济局）</w:t>
      </w:r>
    </w:p>
    <w:p w14:paraId="7714550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9.大力发展冰雪经济。</w:t>
      </w:r>
      <w:r>
        <w:rPr>
          <w:rFonts w:hint="eastAsia" w:ascii="Times New Roman" w:hAnsi="Times New Roman" w:eastAsia="方正仿宋简体" w:cs="方正仿宋简体"/>
          <w:color w:val="000000"/>
          <w:sz w:val="32"/>
          <w:szCs w:val="32"/>
        </w:rPr>
        <w:t>鼓励冰雪体育企业加快推动节能环保新技术、新产品的应用转化，依法支持国内外一流冰雪企业来青发展，建成集滑雪、滑冰、培训、比赛为一体的综合性冰雪运动基地。（责任单位：市体育局）</w:t>
      </w:r>
    </w:p>
    <w:p w14:paraId="354B2C5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10.支持职业体育发展。</w:t>
      </w:r>
      <w:r>
        <w:rPr>
          <w:rFonts w:hint="eastAsia" w:ascii="Times New Roman" w:hAnsi="Times New Roman" w:eastAsia="方正仿宋简体" w:cs="方正仿宋简体"/>
          <w:color w:val="000000"/>
          <w:sz w:val="32"/>
          <w:szCs w:val="32"/>
        </w:rPr>
        <w:t>鼓励社会力量组建各类职业体育俱乐部，挖掘职业体育俱乐部的影响力和带动作用，力争打造2—3家高水平职业体育俱乐部，增强城市凝聚力。完善职业体育俱乐部扶持奖励制度。优化俱乐部股权结构，实行政府、企业、个人多元投资，形成合理的投资来源结构。（责任单位：市体育局、市财政局）</w:t>
      </w:r>
    </w:p>
    <w:p w14:paraId="7CC8E2B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11.拓展国际交流合作。</w:t>
      </w:r>
      <w:r>
        <w:rPr>
          <w:rFonts w:hint="eastAsia" w:ascii="Times New Roman" w:hAnsi="Times New Roman" w:eastAsia="方正仿宋简体" w:cs="方正仿宋简体"/>
          <w:color w:val="000000"/>
          <w:sz w:val="32"/>
          <w:szCs w:val="32"/>
        </w:rPr>
        <w:t>吸引国内头部体育企业、跨国体育企业、国际体育组织落户青岛，集聚优质体育资源。鼓励体育企业在我市设立企业总部，加强与青岛本地企业合作，支持国际体育组织在我市设立国际或地区总部并开展相关体育业务。（责任单位：市体育局、市商务局）</w:t>
      </w:r>
    </w:p>
    <w:p w14:paraId="77CAB83A">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四、培育引进人才，提高竞争实力</w:t>
      </w:r>
    </w:p>
    <w:p w14:paraId="580D203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12.加强体育人才引进。</w:t>
      </w:r>
      <w:r>
        <w:rPr>
          <w:rFonts w:hint="eastAsia" w:ascii="Times New Roman" w:hAnsi="Times New Roman" w:eastAsia="方正仿宋简体" w:cs="方正仿宋简体"/>
          <w:color w:val="000000"/>
          <w:sz w:val="32"/>
          <w:szCs w:val="32"/>
        </w:rPr>
        <w:t>支持运动员、教练员、裁判员、产业运营人员等体育人才落户青岛。加大体育产业高层次人才的规划和引进力度，依法简化外籍高层次体育人才签证办理程序，将符合条件的体育产业高层次人才纳入我市高层次人才体系，按照有关规定享受相关优惠政策。（责任单位：市体育局、市公安局、市人力资源社会保障局、市委组织部）</w:t>
      </w:r>
    </w:p>
    <w:p w14:paraId="2C013A4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13.支持体育产业人才培育。</w:t>
      </w:r>
      <w:r>
        <w:rPr>
          <w:rFonts w:hint="eastAsia" w:ascii="Times New Roman" w:hAnsi="Times New Roman" w:eastAsia="方正仿宋简体" w:cs="方正仿宋简体"/>
          <w:color w:val="000000"/>
          <w:sz w:val="32"/>
          <w:szCs w:val="32"/>
        </w:rPr>
        <w:t>鼓励有关高等院校设立体育产业类专业，建立实习基地，重点培育体育用品研发、赛事策划运营、场馆运营、体育品牌营销等专业人才。加强体育产业智库建设，鼓励各类智库机构在青开展体育产业研究。（责任单位：市体育局、市教育局）</w:t>
      </w:r>
    </w:p>
    <w:p w14:paraId="334A585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14.大力培养竞技体育人才。</w:t>
      </w:r>
      <w:r>
        <w:rPr>
          <w:rFonts w:hint="eastAsia" w:ascii="Times New Roman" w:hAnsi="Times New Roman" w:eastAsia="方正仿宋简体" w:cs="方正仿宋简体"/>
          <w:color w:val="000000"/>
          <w:sz w:val="32"/>
          <w:szCs w:val="32"/>
        </w:rPr>
        <w:t>支持创建青少年体育后备人才基地，培养输送运动员进入各级专业队和代表青岛参加各级各类体育比赛，对认定为国家、省、市青少年体育后备人才基地的，按照有关政策进行扶持。（责任单位：市体育局）</w:t>
      </w:r>
    </w:p>
    <w:p w14:paraId="62BE60A4">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五、提升服务水平，优化产业生态</w:t>
      </w:r>
    </w:p>
    <w:p w14:paraId="47473E7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15.打造一流营商环境。</w:t>
      </w:r>
      <w:r>
        <w:rPr>
          <w:rFonts w:hint="eastAsia" w:ascii="Times New Roman" w:hAnsi="Times New Roman" w:eastAsia="方正仿宋简体" w:cs="方正仿宋简体"/>
          <w:color w:val="000000"/>
          <w:sz w:val="32"/>
          <w:szCs w:val="32"/>
        </w:rPr>
        <w:t>设立优化营商环境监测点，常态化开展体育产业、场地、消费等统计调查工作，及时掌握行业发展动态，做好分类指导、因企施策。加快相关政府采购项目合同签订、组织验收、资金支付的执行，提升诚信政府建设水平。（责任单位：市体育局）</w:t>
      </w:r>
    </w:p>
    <w:p w14:paraId="6D089EF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16.优化审批服务流程。</w:t>
      </w:r>
      <w:r>
        <w:rPr>
          <w:rFonts w:hint="eastAsia" w:ascii="Times New Roman" w:hAnsi="Times New Roman" w:eastAsia="方正仿宋简体" w:cs="方正仿宋简体"/>
          <w:color w:val="000000"/>
          <w:sz w:val="32"/>
          <w:szCs w:val="32"/>
        </w:rPr>
        <w:t>依法优化体育企业设立及赛事活动审批流程，加强海上体育旅游项目用海管理协作，科学确定潜水基地、帆船码头、沙滩运动、海洋体育旅游项目及其配套服务设施用海用地布局、功能和规模，统筹实施体育旅游海域规划和用海审批工作。（责任单位：市体育局、市自然资源和规划局、市海洋发展局、市行政审批局）</w:t>
      </w:r>
    </w:p>
    <w:p w14:paraId="23062CD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17.拓宽投融资渠道。</w:t>
      </w:r>
      <w:r>
        <w:rPr>
          <w:rFonts w:hint="eastAsia" w:ascii="Times New Roman" w:hAnsi="Times New Roman" w:eastAsia="方正仿宋简体" w:cs="方正仿宋简体"/>
          <w:color w:val="000000"/>
          <w:sz w:val="32"/>
          <w:szCs w:val="32"/>
        </w:rPr>
        <w:t>鼓励银行、保险、信托等金融机构在依法合规前提下，研发适合体育产业发展特点的金融产品，为体育企业提供高效灵活的金融服务。支持符合条件的体育企业上市融资，着力打造一批具有国际竞争力的知名体育企业和具有国际影响力的自主体育品牌。（责任单位：市体育局、青岛金融监管局）</w:t>
      </w:r>
    </w:p>
    <w:p w14:paraId="4FE276E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18.合理减轻税费负担。</w:t>
      </w:r>
      <w:r>
        <w:rPr>
          <w:rFonts w:hint="eastAsia" w:ascii="Times New Roman" w:hAnsi="Times New Roman" w:eastAsia="方正仿宋简体" w:cs="方正仿宋简体"/>
          <w:color w:val="000000"/>
          <w:sz w:val="32"/>
          <w:szCs w:val="32"/>
        </w:rPr>
        <w:t>对经认定为高新技术企业的体育企业以及经认定取得非营利组织企业所得税免税优惠资格的体育社会组织，依法享受相关优惠政策。体育企业发生的广告费支出，符合税法规定的可在税前扣除。体育场馆用于体育活动的房产和土地，可按规定享受房产税和城镇土地使用税优惠。（责任单位：市体育局、市税务局）</w:t>
      </w:r>
    </w:p>
    <w:p w14:paraId="61F47E5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19.加强资金支持力度。</w:t>
      </w:r>
      <w:r>
        <w:rPr>
          <w:rFonts w:hint="eastAsia" w:ascii="Times New Roman" w:hAnsi="Times New Roman" w:eastAsia="方正仿宋简体" w:cs="方正仿宋简体"/>
          <w:color w:val="000000"/>
          <w:sz w:val="32"/>
          <w:szCs w:val="32"/>
        </w:rPr>
        <w:t>统筹市级体育发展资金，支持推动体育产业高质量发展。研究制定实施细则，加强财金协同联动，吸引社会资本参与；定期公布赛事活动清单，对符合条件的赛事、赛事运营机构等给予支持。（责任单位：市体育局、市财政局）</w:t>
      </w:r>
    </w:p>
    <w:p w14:paraId="47A2C10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本措施自2025年1月1日起施行，有效期3年。</w:t>
      </w:r>
    </w:p>
    <w:p w14:paraId="4172BB5D">
      <w:pPr>
        <w:snapToGrid w:val="0"/>
        <w:spacing w:after="0" w:line="570" w:lineRule="exact"/>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5DAAE143">
      <w:pPr>
        <w:snapToGrid w:val="0"/>
        <w:spacing w:after="0" w:line="570" w:lineRule="exact"/>
        <w:jc w:val="center"/>
        <w:rPr>
          <w:rFonts w:ascii="Times New Roman" w:hAnsi="Times New Roman" w:eastAsia="Helvetica" w:cs="Helvetica"/>
          <w:color w:val="333333"/>
          <w:kern w:val="0"/>
          <w:sz w:val="36"/>
          <w:szCs w:val="36"/>
          <w:shd w:val="clear" w:color="auto" w:fill="FFFFFF"/>
        </w:rPr>
      </w:pPr>
      <w:r>
        <w:rPr>
          <w:rFonts w:hint="eastAsia" w:ascii="Times New Roman" w:hAnsi="Times New Roman" w:eastAsia="方正小标宋简体" w:cs="方正小标宋简体"/>
          <w:sz w:val="44"/>
          <w:szCs w:val="44"/>
        </w:rPr>
        <w:t>青岛市人民政府办公厅关于印发青岛市新能源汽车产业高质量发展行动计划（2024-2025年）的通知</w:t>
      </w:r>
    </w:p>
    <w:p w14:paraId="34698D74">
      <w:pPr>
        <w:widowControl/>
        <w:shd w:val="clear" w:color="auto" w:fill="FFFFFF"/>
        <w:spacing w:after="0" w:line="240" w:lineRule="auto"/>
        <w:jc w:val="lef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各区、市人民政府，青岛西海岸新区管委，市政府各部门，市直各单位：</w:t>
      </w:r>
    </w:p>
    <w:p w14:paraId="6131C0CB">
      <w:pPr>
        <w:widowControl/>
        <w:shd w:val="clear" w:color="auto" w:fill="FFFFFF"/>
        <w:spacing w:after="0" w:line="240" w:lineRule="auto"/>
        <w:jc w:val="left"/>
        <w:rPr>
          <w:rFonts w:hint="eastAsia" w:ascii="Times New Roman" w:hAnsi="Times New Roman" w:eastAsia="方正仿宋简体" w:cs="方正仿宋简体"/>
          <w:color w:val="000000"/>
          <w:sz w:val="32"/>
          <w:szCs w:val="32"/>
        </w:rPr>
      </w:pPr>
    </w:p>
    <w:p w14:paraId="556DA0FF">
      <w:pPr>
        <w:widowControl/>
        <w:shd w:val="clear" w:color="auto" w:fill="FFFFFF"/>
        <w:spacing w:after="0" w:line="240" w:lineRule="auto"/>
        <w:ind w:firstLine="720"/>
        <w:jc w:val="left"/>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《青岛市新能源汽车产业高质量发展行动计划（2024—2025年）》已经市政府研究同意，现印发给你们，请认真贯彻执行。</w:t>
      </w:r>
    </w:p>
    <w:p w14:paraId="0EDF120E">
      <w:pPr>
        <w:widowControl/>
        <w:shd w:val="clear" w:color="auto" w:fill="FFFFFF"/>
        <w:spacing w:after="0" w:line="240" w:lineRule="auto"/>
        <w:ind w:firstLine="720"/>
        <w:jc w:val="left"/>
        <w:rPr>
          <w:rFonts w:hint="eastAsia" w:ascii="Times New Roman" w:hAnsi="Times New Roman" w:eastAsia="方正仿宋简体" w:cs="方正仿宋简体"/>
          <w:color w:val="000000"/>
          <w:sz w:val="32"/>
          <w:szCs w:val="32"/>
        </w:rPr>
      </w:pPr>
    </w:p>
    <w:p w14:paraId="0D93A5D8">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青岛市人民政府办公厅</w:t>
      </w:r>
    </w:p>
    <w:p w14:paraId="4004A644">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2B836760">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2024年5月23日</w:t>
      </w:r>
    </w:p>
    <w:p w14:paraId="77C78A0D">
      <w:pPr>
        <w:snapToGrid w:val="0"/>
        <w:spacing w:after="0" w:line="570" w:lineRule="exact"/>
        <w:jc w:val="center"/>
        <w:rPr>
          <w:rFonts w:ascii="Times New Roman" w:hAnsi="Times New Roman" w:eastAsia="Helvetica" w:cs="Helvetica"/>
          <w:color w:val="333333"/>
          <w:kern w:val="0"/>
          <w:sz w:val="36"/>
          <w:szCs w:val="36"/>
          <w:shd w:val="clear" w:color="auto" w:fill="FFFFFF"/>
        </w:rPr>
      </w:pPr>
    </w:p>
    <w:p w14:paraId="5B8B5B82">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青岛市智能网联新能源汽车产业发展行动计划（2025—2027年）</w:t>
      </w:r>
    </w:p>
    <w:p w14:paraId="6C97AF7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为抢抓汽车领域转型升级机遇，加快推动我市智能网联新能源汽车创新发展，结合我市实际，制定本行动计划。</w:t>
      </w:r>
    </w:p>
    <w:p w14:paraId="5FDD66EC">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一、总体思路和发展目标</w:t>
      </w:r>
    </w:p>
    <w:p w14:paraId="3DA3FC5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以习近平新时代中国特色社会主义思想为指导，立足青岛汽车产业基础，紧扣汽车产业电动化、智能化、网联化发展方向，以推动现有整车企业转型升级为主线，坚持创新驱动、整零协同、场景引领、开放融合，找准细分赛道，“单车智能+网联赋能”双线并举，全力稳存量、积极扩增量、超前抓变量，打造全国重要的智能网联新能源汽车创新应用高地、新能源商用车生产基地和出口牵引型新能源汽车产业高地。到2027年，产业链规模力争达到3000亿元。</w:t>
      </w:r>
    </w:p>
    <w:p w14:paraId="6E8637C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——创新能力大幅度提升。到2027年，全市新增智能网联新能源汽车创新平台、工程研究中心、企业技术中心超过20家。</w:t>
      </w:r>
    </w:p>
    <w:p w14:paraId="15F0FDD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——整车生产突破式发展。到2027年，全市整车产量超过130万辆，新能源汽车占比超过40%，新能源商用车年复合增长率超过200%。培育年产10万辆以上新能源整车生产企业3家。</w:t>
      </w:r>
    </w:p>
    <w:p w14:paraId="4E2ABA1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——整车出口跨越式增长。到2027年，本市生产整车年出口超过25万辆，培育产业链出海能力，吸引更多车企从青岛口岸出海，聚力打造“汽车+港口+物流”的全国性标杆。</w:t>
      </w:r>
    </w:p>
    <w:p w14:paraId="147E9A6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——关键配套系统性重塑。到2027年，动力电池系统、智能座舱系统、车规级芯片、智能底盘、电驱电控、“车路云一体化”感知系统等关键领域配套能力显著增强，产业规模超过500亿元。</w:t>
      </w:r>
    </w:p>
    <w:p w14:paraId="14587BF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智慧基础设施初步构建。到2027年，初步建成高质量智能充电基础设施体系、车网互动体系，“车路云一体化”应用路侧基础设施建成区域不少于200平方公里，探索智能网联新能源汽车测试道路开放超过1000公里，小型低速非载人自动驾驶场景全域开放。</w:t>
      </w:r>
    </w:p>
    <w:p w14:paraId="7F32AC30">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二、产业布局</w:t>
      </w:r>
    </w:p>
    <w:p w14:paraId="06D53AD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“三极支撑”：依托现有整车制造产能发展新能源汽车，集聚发展即墨汽车产业新城、莱西新能源汽车产业集聚区和西海岸汽车生产基地。</w:t>
      </w:r>
    </w:p>
    <w:p w14:paraId="7D1E78D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多点突破”：鼓励区（市）、功能区依托自身产业基础和人才、区位等优势，发展汽车电子、检验检测、零部件配套等智能网联新能源汽车细分特色产业园区。建立新能源与智能网联汽车产业要素保障机制，及时满足企业发展空间需求。</w:t>
      </w:r>
    </w:p>
    <w:p w14:paraId="735628F7">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三、重点任务</w:t>
      </w:r>
    </w:p>
    <w:p w14:paraId="49B01DCF">
      <w:pPr>
        <w:keepNext/>
        <w:keepLines/>
        <w:widowControl/>
        <w:spacing w:after="0" w:line="240" w:lineRule="auto"/>
        <w:ind w:firstLine="643" w:firstLineChars="200"/>
        <w:jc w:val="left"/>
        <w:outlineLvl w:val="1"/>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（一）提升产业创新能力</w:t>
      </w:r>
    </w:p>
    <w:p w14:paraId="17AA4D6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1.构建协同创新网络体系。</w:t>
      </w:r>
      <w:r>
        <w:rPr>
          <w:rFonts w:hint="eastAsia" w:ascii="Times New Roman" w:hAnsi="Times New Roman" w:eastAsia="方正仿宋简体" w:cs="方正仿宋简体"/>
          <w:color w:val="000000"/>
          <w:sz w:val="32"/>
          <w:szCs w:val="32"/>
        </w:rPr>
        <w:t>依托工程研究中心、创新平台、企业技术中心等，引进智能网联新能源汽车技术创新机构，支持企业、高校、科研机构等建设各类研发创新平台，全面提升整车开发及关键核心技术研发创新能力。推进实施各类现有政策，支持企业加大研发投入及科技成果转化。（责任单位：市发展改革委、市科技局、市工业和信息化局、市高质量招商引资指挥部办公室按职责分工负责）</w:t>
      </w:r>
    </w:p>
    <w:p w14:paraId="20F4D6C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2.推进关键核心技术攻关。</w:t>
      </w:r>
      <w:r>
        <w:rPr>
          <w:rFonts w:hint="eastAsia" w:ascii="Times New Roman" w:hAnsi="Times New Roman" w:eastAsia="方正仿宋简体" w:cs="方正仿宋简体"/>
          <w:color w:val="000000"/>
          <w:sz w:val="32"/>
          <w:szCs w:val="32"/>
        </w:rPr>
        <w:t>聚焦行业技术发展趋势，围绕固态电池、智能座舱、车规级芯片、智能底盘、电驱电控、车身轻量化和新材料等共性技术，探索推行以企业为核心的“产学研”合作体系，通过揭榜挂帅等方式，加快关键核心技术突破。聚焦整车智驾集成、整车域控，引导核心供应商与整车企业合作，提升整车智能化水平。（责任单位：市科技局、市工业和信息化局、市民营经济局、市高质量招商引资指挥部办公室按职责分工负责）</w:t>
      </w:r>
    </w:p>
    <w:p w14:paraId="0DFF829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3.支持公共服务平台建设。</w:t>
      </w:r>
      <w:r>
        <w:rPr>
          <w:rFonts w:hint="eastAsia" w:ascii="Times New Roman" w:hAnsi="Times New Roman" w:eastAsia="方正仿宋简体" w:cs="方正仿宋简体"/>
          <w:color w:val="000000"/>
          <w:sz w:val="32"/>
          <w:szCs w:val="32"/>
        </w:rPr>
        <w:t>推动提升智能网联新能源汽车领域材料与芯片、零部件及整车等检验检测能力，支持开展新技术、新产品检验检测标准研究，加快构建公共测试服务支撑体系。完善智能网联新能源汽车监管平台功能，为智能网联新能源汽车推广、道路测试与示范及“车路云一体化”等应用提供支撑。支持行业协会组织提升产业研究、技术咨询等公共服务能力。鼓励国家级检测检验机构在青设立区域中心，打造服务智能网联新能源汽车整车及核心零部件检测检验、研发中试、标准修订以及产业孵化的公共技术服务平台。（责任单位：市科技局、市工业和信息化局、市市场监管局按职责分工负责）</w:t>
      </w:r>
    </w:p>
    <w:p w14:paraId="135DD0D3">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（二）塑强整车带动能力</w:t>
      </w:r>
    </w:p>
    <w:p w14:paraId="03BBA9E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4.推动整车企业转型升级。</w:t>
      </w:r>
      <w:r>
        <w:rPr>
          <w:rFonts w:hint="eastAsia" w:ascii="Times New Roman" w:hAnsi="Times New Roman" w:eastAsia="方正仿宋简体" w:cs="方正仿宋简体"/>
          <w:color w:val="000000"/>
          <w:sz w:val="32"/>
          <w:szCs w:val="32"/>
        </w:rPr>
        <w:t>深化与整车企业集团合作，推进传统车企向智能网联新能源方向跨越，加快现有燃油车向适配先进平台架构、高度智能化的新能源汽车转型。引导企业对传统燃油车产线实施柔性化、定制化生产能力改造，扩大燃油汽车、新能源汽车“共线”生产规模。推广智能高效混动技术，降低单车能耗。支持整车企业加快布局自动驾驶，扩大L2级及以上自动驾驶水平汽车生产能力。（责任单位：市工业和信息化局、青岛西海岸新区管委、即墨区政府、莱西市政府按职责分工负责）</w:t>
      </w:r>
    </w:p>
    <w:p w14:paraId="02CE656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5.构建出口牵引新动能。</w:t>
      </w:r>
      <w:r>
        <w:rPr>
          <w:rFonts w:hint="eastAsia" w:ascii="Times New Roman" w:hAnsi="Times New Roman" w:eastAsia="方正仿宋简体" w:cs="方正仿宋简体"/>
          <w:color w:val="000000"/>
          <w:sz w:val="32"/>
          <w:szCs w:val="32"/>
        </w:rPr>
        <w:t>依托上合示范区、青岛自贸片区等平台对外开放优势，发挥中欧班列通道优势和我市港口优势，优化外贸服务环境和港口作业流程，为整车出口创造便利条件。推动整车企业协同零部件企业加快拓展海外市场，发展散件集成（KD）业务，培育产业链出海能力。加快对接济南、郑州、西安、鄂尔多斯等内陆城市整车生产企业，为周边更多有出海需求的整车企业提供出海便利，吸引更多整车出口服务企业来青开展出口业务。（责任单位：市工业和信息化局、市交通运输局、市商务局、上合示范区管委、青岛自贸片区管委、山东港口青岛港集团按职责分工负责）</w:t>
      </w:r>
    </w:p>
    <w:p w14:paraId="6DBD6BD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6.塑造新能源商用车优势。</w:t>
      </w:r>
      <w:r>
        <w:rPr>
          <w:rFonts w:hint="eastAsia" w:ascii="Times New Roman" w:hAnsi="Times New Roman" w:eastAsia="方正仿宋简体" w:cs="方正仿宋简体"/>
          <w:color w:val="000000"/>
          <w:sz w:val="32"/>
          <w:szCs w:val="32"/>
        </w:rPr>
        <w:t>围绕纯电动、混合动力、燃料电池动力技术路线，引导企业提升整车开发能力，构建从微卡、小卡到轻卡、中卡、重卡、专用车全谱系产品矩阵，紧盯市场需求，持续推进产品迭代，构建新能源商用车产业先发优势。（责任单位：市工业和信息化局、青岛西海岸新区管委、城阳区政府、即墨区政府、青岛高新区管委按职责分工负责）</w:t>
      </w:r>
    </w:p>
    <w:p w14:paraId="4BAB1C9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7.推动整零协同发展。</w:t>
      </w:r>
      <w:r>
        <w:rPr>
          <w:rFonts w:hint="eastAsia" w:ascii="Times New Roman" w:hAnsi="Times New Roman" w:eastAsia="方正仿宋简体" w:cs="方正仿宋简体"/>
          <w:color w:val="000000"/>
          <w:sz w:val="32"/>
          <w:szCs w:val="32"/>
        </w:rPr>
        <w:t>发挥整车企业带动作用，进一步开放配套市场，吸引零部件企业集聚。推动零部件企业根据整车企业需求，提升同步开发能力，开展超前研发。支持整车企业深化与核心供应商在研发、技术、产品、资本等层面协同，增强与整车企业的适配度，形成“一整带多零、一零配多整”产业生态格局。构建企业梯度培育体系，培育一批本地新型零部件企业及研发机构，招引一批国内优质配套企业，培养壮大一批发展前景广、成长空间大的专精特新“小巨人”企业、“瞪羚”企业和“独角兽”企业。促进本地整车与零部件企业间互嵌互促。〔责任单位：市工业和信息化局、市民营经济局，各区（市）政府、功能区管委按职责分工负责〕</w:t>
      </w:r>
    </w:p>
    <w:p w14:paraId="1446393C">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（三）打造一批优势产业</w:t>
      </w:r>
    </w:p>
    <w:p w14:paraId="61F4D65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8.重点发展汽车电子产业。</w:t>
      </w:r>
      <w:r>
        <w:rPr>
          <w:rFonts w:hint="eastAsia" w:ascii="Times New Roman" w:hAnsi="Times New Roman" w:eastAsia="方正仿宋简体" w:cs="方正仿宋简体"/>
          <w:color w:val="000000"/>
          <w:sz w:val="32"/>
          <w:szCs w:val="32"/>
        </w:rPr>
        <w:t>加强智能网联新能源汽车产业与新一代信息技术、人工智能等先导产业，低空经济、智能装备等新兴产业，以及高端化工与新材料、智能家电等优势产业间的融合发展。依托集成电路产业基础，借助轨道交通装备优势企业资源，打造车规级芯片产业。发挥人工智能、新型显示、虚拟现实等技术优势，发展激光显示、中控显示、流媒体后视镜、汽车热管理系统、车载娱乐等智能座舱产业，以及车用摄像头、激光雷达、毫米波雷达等智能感知产业。加速布局智能制动系统、电动助力系统、液压控制系统等线控智能底盘产业。锚定整车电子电气架构由分布式向整车域控的演进方向，发展电驱电控产业。〔责任单位：市发展改革委、市工业和信息化局、市高质量招商引资指挥部办公室，各区（市）政府、功能区管委按职责分工负责〕</w:t>
      </w:r>
    </w:p>
    <w:p w14:paraId="1C1296B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9.培育发展动力电池产业。</w:t>
      </w:r>
      <w:r>
        <w:rPr>
          <w:rFonts w:hint="eastAsia" w:ascii="Times New Roman" w:hAnsi="Times New Roman" w:eastAsia="方正仿宋简体" w:cs="方正仿宋简体"/>
          <w:color w:val="000000"/>
          <w:sz w:val="32"/>
          <w:szCs w:val="32"/>
        </w:rPr>
        <w:t>支持电池企业开发超高速叠片等先进工艺和电池自感知、自修复技术，加快发展新一代智能锂离子电子动力电池。培育壮大电池管理系统、电解液、电池隔膜、正负极材料等上下游核心环节配套企业。依托中国科学院青岛生物能源与过程研究所等机构，发挥固态电池基础研发优势，助力相关产品获得车规级认证，加速固态电池技术率先产业转化。（责任单位：市科技局、市工业和信息化局按职责分工负责）</w:t>
      </w:r>
    </w:p>
    <w:p w14:paraId="6CAA459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10.融合发展车网互动和智慧交通产业。</w:t>
      </w:r>
      <w:r>
        <w:rPr>
          <w:rFonts w:hint="eastAsia" w:ascii="Times New Roman" w:hAnsi="Times New Roman" w:eastAsia="方正仿宋简体" w:cs="方正仿宋简体"/>
          <w:color w:val="000000"/>
          <w:sz w:val="32"/>
          <w:szCs w:val="32"/>
        </w:rPr>
        <w:t>以创建国家车网互动规模化应用示范城市为契机，依托“充电网、微电网、储能网”融合技术，发展车网互动产业。综合利用交通管理及停车管理、充电一张网、“车路云一体化”应用等数据资源，开展智能网联新能源汽车大数据分析与运营，提升智慧交通集成产业规模。发展新能源汽车适配开发、性能测试和组装生产的全流程数字检验检测服务产业。〔责任单位：市发展改革委、市工业和信息化局、市公安局、市住房城乡建设局、市交通运输局、市市场监管局、市大数据局，各区（市）政府、功能区管委按职责分工负责〕</w:t>
      </w:r>
    </w:p>
    <w:p w14:paraId="472DE7E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11.创新发展后市场产业。</w:t>
      </w:r>
      <w:r>
        <w:rPr>
          <w:rFonts w:hint="eastAsia" w:ascii="Times New Roman" w:hAnsi="Times New Roman" w:eastAsia="方正仿宋简体" w:cs="方正仿宋简体"/>
          <w:color w:val="000000"/>
          <w:sz w:val="32"/>
          <w:szCs w:val="32"/>
        </w:rPr>
        <w:t>构建新能源汽车流通销售、二手车交易、维修保养、循环利用等后市场服务链。引导新车流通模式创新，支持企业开展数字化营销。支持完善新能源二手车交易体系，推动二手车行业规范化发展，提升二手车交易便利化水平，做大二手车交易规模。支持创新商业模式，培育新型电商服务企业，发展零部件连锁贸易和售后汽配连锁市场。培育新能源汽车维修优质企业，支持企业创新开展电池包等核心零部件维修业务，构建核心零部件维修生态链。发展新能源汽车回收拆解、再制造和废旧动力电池循环利用产业。（责任单位：市发展改革委、市工业和信息化局、市交通运输局、市生态环境局、市商务局、市市场监管局按职责分工负责）</w:t>
      </w:r>
    </w:p>
    <w:p w14:paraId="6338042F">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（四）推动多场景示范应用落地</w:t>
      </w:r>
    </w:p>
    <w:p w14:paraId="6BDC80A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12.深化非载人场景示范应用。</w:t>
      </w:r>
      <w:r>
        <w:rPr>
          <w:rFonts w:hint="eastAsia" w:ascii="Times New Roman" w:hAnsi="Times New Roman" w:eastAsia="方正仿宋简体" w:cs="方正仿宋简体"/>
          <w:color w:val="000000"/>
          <w:sz w:val="32"/>
          <w:szCs w:val="32"/>
        </w:rPr>
        <w:t>支持非载人领域无人驾驶应用，在物流配送、安防巡检、移动无人售卖、环卫清扫等领域，探索小型低速非载人场景车辆商业化应用新模式和智慧物流商业化运营新模式。支持无人驾驶车辆在港口水平运输中应用，开展智能码头示范运营，加快港口智能化升级。（责任单位：市工业和信息化局、市公安局、市城市管理局、市交通运输局、市邮政管理局、山东港口青岛港集团按职责分工负责）</w:t>
      </w:r>
    </w:p>
    <w:p w14:paraId="65ADF8C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13.探索拓展载人示范场景应用。</w:t>
      </w:r>
      <w:r>
        <w:rPr>
          <w:rFonts w:hint="eastAsia" w:ascii="Times New Roman" w:hAnsi="Times New Roman" w:eastAsia="方正仿宋简体" w:cs="方正仿宋简体"/>
          <w:color w:val="000000"/>
          <w:sz w:val="32"/>
          <w:szCs w:val="32"/>
        </w:rPr>
        <w:t>依法依规开放路权，支持企业在固定时段、固定区域开展多模式试点示范，推进社区、园区以及“最后一公里”场景无人驾驶接驳示范应用。依法办理智能网联新能源汽车登记挂牌业务，在车路协同一体化系统支撑下，探索现行法规框架下开展智能网联新能源汽车载人示范应用的可行性。探索在景区、大型游乐场所开展智能接驳观光巴士示范应用。探索打造“新能源汽车+文旅”跨界融合，构建智能网联新能源汽车新型消费场景，推动文化消费体验升级。（责任单位：市工业和信息化局、市公安局、市交通运输局、市文化和旅游局按职责分工负责）</w:t>
      </w:r>
    </w:p>
    <w:p w14:paraId="44B7DCC5">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（五）有序布局智能基础设施</w:t>
      </w:r>
    </w:p>
    <w:p w14:paraId="6629471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14.推进“车路云一体化”应用基础设施建设。</w:t>
      </w:r>
      <w:r>
        <w:rPr>
          <w:rFonts w:hint="eastAsia" w:ascii="Times New Roman" w:hAnsi="Times New Roman" w:eastAsia="方正仿宋简体" w:cs="方正仿宋简体"/>
          <w:color w:val="000000"/>
          <w:sz w:val="32"/>
          <w:szCs w:val="32"/>
        </w:rPr>
        <w:t>依据国家《车路云一体化系统建设与应用指南》，按照“少投入、轻集成、多利旧”的原则，有序推进“车路云一体化”应用基础设施建设，分批次推进交通信号灯、交通监控系统、道路感知系统、道路气象检测器等基础设施升级改造。推广前装或后装支持直连通信接口通信和北斗高精度定位车载终端车辆不少于1000辆。探索建设“智能网联汽车+低空试验”综合测试场、5G-A全域低空智联感知网，优化城市低空通信网络。〔责任单位：市发展改革委、市工业和信息化局、市公安局、市住房城乡建设局、市交通运输局、市国资委、市通信管理局，各区（市）政府、功能区管委按职责分工负责〕</w:t>
      </w:r>
    </w:p>
    <w:p w14:paraId="5AA144B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15.加强智能充换电基础设施建设。</w:t>
      </w:r>
      <w:r>
        <w:rPr>
          <w:rFonts w:hint="eastAsia" w:ascii="Times New Roman" w:hAnsi="Times New Roman" w:eastAsia="方正仿宋简体" w:cs="方正仿宋简体"/>
          <w:color w:val="000000"/>
          <w:sz w:val="32"/>
          <w:szCs w:val="32"/>
        </w:rPr>
        <w:t>按照“因地制宜、适度超前、互联互通、智能高效”原则，建设公共充电基础设施，加快新建住宅小区、商场酒店、写字楼、园区等配建新能源汽车专用车位和充电基础设施，加快充电基础设施在农村地区有效覆盖，围绕港口、景区、交通枢纽等，鼓励充换电一体化共享场站建设。〔责任单位：市发展改革委、市住房城乡建设局、市交通运输局，各区（市）政府、功能区管委按职责分工负责〕</w:t>
      </w:r>
    </w:p>
    <w:p w14:paraId="67303F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16.探索投资运营新型机制。</w:t>
      </w:r>
      <w:r>
        <w:rPr>
          <w:rFonts w:hint="eastAsia" w:ascii="Times New Roman" w:hAnsi="Times New Roman" w:eastAsia="方正仿宋简体" w:cs="方正仿宋简体"/>
          <w:color w:val="000000"/>
          <w:sz w:val="32"/>
          <w:szCs w:val="32"/>
        </w:rPr>
        <w:t>支持组建智能化基础设施投资及运营主体，探索智能基础设施投资、建设、运营机制。支持云控平台建设，鼓励加强算法研究，分阶段构建市级交通数据底座，实现人、车、路、环境的数据融合，服务高精度地图应用、数字孪生、交通运行优化、应急事件调度等应用场景。（责任单位：市工业和信息化局、市公安局、市住房城乡建设局、市交通运输局、市国资委、市大数据局按职责分工负责）</w:t>
      </w:r>
    </w:p>
    <w:p w14:paraId="298FB974">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四、强化要素支撑保障</w:t>
      </w:r>
    </w:p>
    <w:p w14:paraId="32CF2ED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17.强化金融支持。</w:t>
      </w:r>
      <w:r>
        <w:rPr>
          <w:rFonts w:hint="eastAsia" w:ascii="Times New Roman" w:hAnsi="Times New Roman" w:eastAsia="方正仿宋简体" w:cs="方正仿宋简体"/>
          <w:color w:val="000000"/>
          <w:sz w:val="32"/>
          <w:szCs w:val="32"/>
        </w:rPr>
        <w:t>用好重点企业和重大项目推介机制，做大直接融资规模。发挥政府引导基金作用，设立智能网联新能源汽车产业发展基金，撬动吸引社会资本参与产业投融资服务。积极争取中央预算内资金、超长期国债、专项债等支持项目建设。借助金融资产投资公司（AIC）股权投资试点机遇，利用AIC股权投资基金，支持产业发展。鼓励金融机构加大智能网联新能源汽车产业链金融产品和服务创新力度，拓宽企业融资渠道。（责任单位：市委金融办、市发展改革委、市工业和信息化局、市财政局、市国资委、青岛金融监管局按职责分工负责）</w:t>
      </w:r>
    </w:p>
    <w:p w14:paraId="751476A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18.加强人才引育。</w:t>
      </w:r>
      <w:r>
        <w:rPr>
          <w:rFonts w:hint="eastAsia" w:ascii="Times New Roman" w:hAnsi="Times New Roman" w:eastAsia="方正仿宋简体" w:cs="方正仿宋简体"/>
          <w:color w:val="000000"/>
          <w:sz w:val="32"/>
          <w:szCs w:val="32"/>
        </w:rPr>
        <w:t>充分发挥企业主体作用，强化行业主管部门服务保障，用好用实现有人才政策。支持职业院校与企业结对发展，推动职业教育与智能网联新能源汽车产业深度融合。鼓励企业与高校、科研机构等建立产学研融合、多学科交叉的人才培养模式，引导高校进行学科调整和新工科建设，培养智能网联新能源汽车行业急需人才。（责任单位：市委组织部、市教育局、市科技局、市工业和信息化局、市人力资源社会保障局按职责分工负责）</w:t>
      </w:r>
    </w:p>
    <w:p w14:paraId="5A677C9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19.优化政策环境。</w:t>
      </w:r>
      <w:r>
        <w:rPr>
          <w:rFonts w:hint="eastAsia" w:ascii="Times New Roman" w:hAnsi="Times New Roman" w:eastAsia="方正仿宋简体" w:cs="方正仿宋简体"/>
          <w:color w:val="000000"/>
          <w:sz w:val="32"/>
          <w:szCs w:val="32"/>
        </w:rPr>
        <w:t>建立试错容错机制，探索推进智能网联汽车创新应用领域制度建设，逐步推动全域多场景依法依规开放，探索相关保险创新机制。搭建智能网联新能源汽车测试和数据采集管理机制，参与智能网联新能源汽车测试、评价、认证、准入、运行等标准规范研究制定，健全智能网联汽车相关政策措施和管理制度，建立适应智能网联汽车技术发展的监管体系。鼓励企业、科研院所等参与智能网联新能源汽车技术、安全等相关领域标准制定修订。（责任单位：市工业和信息化局、市公安局、市交通运输局、市市场监管局、青岛金融监管局按职责分工负责）</w:t>
      </w:r>
    </w:p>
    <w:p w14:paraId="06B783D9">
      <w:pPr>
        <w:snapToGrid w:val="0"/>
        <w:spacing w:after="0" w:line="570" w:lineRule="exact"/>
        <w:jc w:val="both"/>
        <w:rPr>
          <w:rFonts w:hint="eastAsia" w:ascii="Times New Roman" w:hAnsi="Times New Roman" w:eastAsia="方正仿宋简体" w:cs="方正仿宋简体"/>
          <w:color w:val="000000"/>
          <w:sz w:val="32"/>
          <w:szCs w:val="32"/>
        </w:rPr>
      </w:pPr>
    </w:p>
    <w:p w14:paraId="57AB0B2F">
      <w:pPr>
        <w:snapToGrid w:val="0"/>
        <w:spacing w:after="0" w:line="570" w:lineRule="exact"/>
        <w:jc w:val="center"/>
        <w:rPr>
          <w:rFonts w:hint="eastAsia" w:ascii="Times New Roman" w:hAnsi="Times New Roman" w:eastAsia="方正小标宋简体" w:cs="方正小标宋简体"/>
          <w:sz w:val="44"/>
          <w:szCs w:val="44"/>
        </w:rPr>
      </w:pPr>
    </w:p>
    <w:p w14:paraId="5E0F8BF9">
      <w:pPr>
        <w:snapToGrid w:val="0"/>
        <w:spacing w:after="0" w:line="570" w:lineRule="exact"/>
        <w:jc w:val="center"/>
        <w:rPr>
          <w:rFonts w:hint="eastAsia" w:ascii="Times New Roman" w:hAnsi="Times New Roman" w:eastAsia="方正小标宋简体" w:cs="方正小标宋简体"/>
          <w:sz w:val="44"/>
          <w:szCs w:val="44"/>
        </w:rPr>
      </w:pPr>
    </w:p>
    <w:p w14:paraId="54CE9146">
      <w:pPr>
        <w:snapToGrid w:val="0"/>
        <w:spacing w:after="0" w:line="570" w:lineRule="exact"/>
        <w:jc w:val="both"/>
        <w:rPr>
          <w:rFonts w:hint="eastAsia" w:ascii="Times New Roman" w:hAnsi="Times New Roman" w:eastAsia="方正小标宋简体" w:cs="方正小标宋简体"/>
          <w:sz w:val="44"/>
          <w:szCs w:val="44"/>
        </w:rPr>
      </w:pPr>
    </w:p>
    <w:p w14:paraId="283E35BB">
      <w:pPr>
        <w:snapToGrid w:val="0"/>
        <w:spacing w:after="0" w:line="570" w:lineRule="exact"/>
        <w:jc w:val="center"/>
        <w:rPr>
          <w:rFonts w:hint="eastAsia" w:ascii="Times New Roman" w:hAnsi="Times New Roman" w:eastAsia="方正小标宋简体" w:cs="方正小标宋简体"/>
          <w:sz w:val="44"/>
          <w:szCs w:val="44"/>
        </w:rPr>
      </w:pPr>
    </w:p>
    <w:p w14:paraId="44EAE927">
      <w:pPr>
        <w:snapToGrid w:val="0"/>
        <w:spacing w:after="0" w:line="570" w:lineRule="exact"/>
        <w:jc w:val="center"/>
        <w:rPr>
          <w:rFonts w:hint="eastAsia" w:ascii="Times New Roman" w:hAnsi="Times New Roman" w:eastAsia="方正小标宋简体" w:cs="方正小标宋简体"/>
          <w:sz w:val="44"/>
          <w:szCs w:val="44"/>
        </w:rPr>
      </w:pPr>
    </w:p>
    <w:p w14:paraId="58A414C6">
      <w:pPr>
        <w:snapToGrid w:val="0"/>
        <w:spacing w:after="0" w:line="570" w:lineRule="exact"/>
        <w:jc w:val="center"/>
        <w:rPr>
          <w:rFonts w:hint="eastAsia" w:ascii="Times New Roman" w:hAnsi="Times New Roman" w:eastAsia="方正小标宋简体" w:cs="方正小标宋简体"/>
          <w:sz w:val="44"/>
          <w:szCs w:val="44"/>
        </w:rPr>
      </w:pPr>
    </w:p>
    <w:p w14:paraId="5BC7DFB1">
      <w:pPr>
        <w:snapToGrid w:val="0"/>
        <w:spacing w:after="0" w:line="570" w:lineRule="exact"/>
        <w:jc w:val="center"/>
        <w:rPr>
          <w:rFonts w:hint="eastAsia" w:ascii="Times New Roman" w:hAnsi="Times New Roman" w:eastAsia="方正小标宋简体" w:cs="方正小标宋简体"/>
          <w:sz w:val="44"/>
          <w:szCs w:val="44"/>
        </w:rPr>
      </w:pPr>
    </w:p>
    <w:p w14:paraId="3CE24A67">
      <w:pPr>
        <w:snapToGrid w:val="0"/>
        <w:spacing w:after="0" w:line="570" w:lineRule="exact"/>
        <w:jc w:val="center"/>
        <w:rPr>
          <w:rFonts w:hint="eastAsia" w:ascii="Times New Roman" w:hAnsi="Times New Roman" w:eastAsia="方正小标宋简体" w:cs="方正小标宋简体"/>
          <w:sz w:val="44"/>
          <w:szCs w:val="44"/>
        </w:rPr>
      </w:pPr>
    </w:p>
    <w:p w14:paraId="519EE743">
      <w:pPr>
        <w:snapToGrid w:val="0"/>
        <w:spacing w:after="0" w:line="570" w:lineRule="exact"/>
        <w:jc w:val="center"/>
        <w:rPr>
          <w:rFonts w:hint="eastAsia" w:ascii="Times New Roman" w:hAnsi="Times New Roman" w:eastAsia="方正小标宋简体" w:cs="方正小标宋简体"/>
          <w:sz w:val="44"/>
          <w:szCs w:val="44"/>
        </w:rPr>
      </w:pPr>
    </w:p>
    <w:p w14:paraId="6BB7FFEA">
      <w:pPr>
        <w:snapToGrid w:val="0"/>
        <w:spacing w:after="0" w:line="570" w:lineRule="exact"/>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24486901">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山东省人民政府办公厅关于加快推动广电视听产业高质量发展的实施意见</w:t>
      </w:r>
    </w:p>
    <w:p w14:paraId="588B8DF2">
      <w:pPr>
        <w:snapToGrid w:val="0"/>
        <w:spacing w:after="0" w:line="570" w:lineRule="exact"/>
        <w:ind w:firstLine="620"/>
        <w:jc w:val="center"/>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鲁政办字〔2025〕6号</w:t>
      </w:r>
    </w:p>
    <w:p w14:paraId="6536E42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各市人民政府，各县（市、区）人民政府，省政府各部门、各直属机构：</w:t>
      </w:r>
    </w:p>
    <w:p w14:paraId="30A0C8C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全面贯彻党的二十大和二十届二中、三中全会精神，深入落实习近平总书记视察山东重要讲话精神，积极培育数字经济新业态和新的经济增长点，加快推动广电视听产业高质量发展，到2027年，全省广电视听产业集约化规模化发展水平大幅提升，培育重点视听企业300家以上，建成省级视听产业基地（园区）20个以上、国家级视听产业基地（园区）2个以上，年营业收入达到2000亿元。到2030年，产业结构和发展布局更加合理，全产业链发展格局基本形成，力争年营业收入突破3000亿元，为高质量建成文化强省提供有力支撑。经省政府同意，制定如下实施意见。</w:t>
      </w:r>
    </w:p>
    <w:p w14:paraId="0001EB84">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一、实施视听产业集聚工程</w:t>
      </w:r>
    </w:p>
    <w:p w14:paraId="19C9742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（一）锻造视听电子产业长板。</w:t>
      </w:r>
      <w:r>
        <w:rPr>
          <w:rFonts w:hint="eastAsia" w:ascii="Times New Roman" w:hAnsi="Times New Roman" w:eastAsia="方正仿宋简体" w:cs="方正仿宋简体"/>
          <w:color w:val="000000"/>
          <w:sz w:val="32"/>
          <w:szCs w:val="32"/>
        </w:rPr>
        <w:t>提升液晶电视等现有主导产品发展水平，丰富激光电视品类，布局智能投影等产品。塑强虚拟现实整机产品创新能力，提高无线耳机、MEMS声学传感器等声学产品及光波导、光机等光学产品高科技附加值，推动多元化、智能化、绿色化发展。（省工业和信息化厅、省广电局按职责分工负责）</w:t>
      </w:r>
    </w:p>
    <w:p w14:paraId="6EBA966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（二）加快虚拟现实产业突破。</w:t>
      </w:r>
      <w:r>
        <w:rPr>
          <w:rFonts w:hint="eastAsia" w:ascii="Times New Roman" w:hAnsi="Times New Roman" w:eastAsia="方正仿宋简体" w:cs="方正仿宋简体"/>
          <w:color w:val="000000"/>
          <w:sz w:val="32"/>
          <w:szCs w:val="32"/>
        </w:rPr>
        <w:t>支持校企合作创建国家广电总局虚拟现实技术创新应用实验室，探索建设虚拟现实内容应用平台。前瞻布局光学显示、终端技术、人机交互等领域，开展自主技术研发，研制新一代虚拟现实、增强现实终端设备，建设国产自主可控、应用规模上量、软硬协同配套的产业生态。（省工业和信息化厅、省科技厅、省广电局按职责分工负责）</w:t>
      </w:r>
    </w:p>
    <w:p w14:paraId="7F2BA8B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（三）塑强高新视频产业优势。</w:t>
      </w:r>
      <w:r>
        <w:rPr>
          <w:rFonts w:hint="eastAsia" w:ascii="Times New Roman" w:hAnsi="Times New Roman" w:eastAsia="方正仿宋简体" w:cs="方正仿宋简体"/>
          <w:color w:val="000000"/>
          <w:sz w:val="32"/>
          <w:szCs w:val="32"/>
        </w:rPr>
        <w:t>依托重点视听企业，加快超高清视频芯片、操作系统、信号传输、终端显示等关键技术、产品的研发应用，加快培育成长一批新型领军企业，打造具有国际影响力的高新视频产业发展高地。（省广电局、省工业和信息化厅、省科技厅按职责分工负责）</w:t>
      </w:r>
    </w:p>
    <w:p w14:paraId="36D1595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（四）加快移动视听产业发展。</w:t>
      </w:r>
      <w:r>
        <w:rPr>
          <w:rFonts w:hint="eastAsia" w:ascii="Times New Roman" w:hAnsi="Times New Roman" w:eastAsia="方正仿宋简体" w:cs="方正仿宋简体"/>
          <w:color w:val="000000"/>
          <w:sz w:val="32"/>
          <w:szCs w:val="32"/>
        </w:rPr>
        <w:t>支持视听企业加强与新能源汽车等企业合作，推动配置无线广播接收模块，做大高端显示、高端音响等产品规模，抢先布局车载娱乐、座舱声学、抬头显示等系列产品，构建移动视听生态。（省工业和信息化厅、省广电局按职责分工负责）</w:t>
      </w:r>
    </w:p>
    <w:p w14:paraId="1BF1473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（五）打造影视产业基地集群。</w:t>
      </w:r>
      <w:r>
        <w:rPr>
          <w:rFonts w:hint="eastAsia" w:ascii="Times New Roman" w:hAnsi="Times New Roman" w:eastAsia="方正仿宋简体" w:cs="方正仿宋简体"/>
          <w:color w:val="000000"/>
          <w:sz w:val="32"/>
          <w:szCs w:val="32"/>
        </w:rPr>
        <w:t>建立全省视听基地联盟，培育打造3－5个具有全国影响力的创新创业集聚区。支持青岛东方影都、临沂沂蒙红色影视基地、德州乐陵影视城、北方微短剧基地（藏马山）做大做强，开展道具群演、观光旅游、餐饮住宿等“一揽子”服务，提升规模化、产业化运营水平。（省委宣传部、省发展改革委、省广电局按职责分工负责）</w:t>
      </w:r>
    </w:p>
    <w:p w14:paraId="40563CA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（六）培育壮大视听市场主体。</w:t>
      </w:r>
      <w:r>
        <w:rPr>
          <w:rFonts w:hint="eastAsia" w:ascii="Times New Roman" w:hAnsi="Times New Roman" w:eastAsia="方正仿宋简体" w:cs="方正仿宋简体"/>
          <w:color w:val="000000"/>
          <w:sz w:val="32"/>
          <w:szCs w:val="32"/>
        </w:rPr>
        <w:t>深化国有文化企业改革创新，引导民营视听企业加快发展，壮大主导产业、发展关联产业，提高核心竞争力。加快各级广播电视播出机构从“广电经营”向“全媒运营”升级转型，积极探索适合自身的发展模式。支持各地招引头部视听企业，鼓励设立地区总部、分支机构、生产基地等。（省发展改革委、省工业和信息化厅、省广电局按职责分工负责）</w:t>
      </w:r>
    </w:p>
    <w:p w14:paraId="507EC7DD">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二、实施视听科技赋能工程</w:t>
      </w:r>
    </w:p>
    <w:p w14:paraId="7C1E6F3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（七）加强音视频关键核心技术研发。</w:t>
      </w:r>
      <w:r>
        <w:rPr>
          <w:rFonts w:hint="eastAsia" w:ascii="Times New Roman" w:hAnsi="Times New Roman" w:eastAsia="方正仿宋简体" w:cs="方正仿宋简体"/>
          <w:color w:val="000000"/>
          <w:sz w:val="32"/>
          <w:szCs w:val="32"/>
        </w:rPr>
        <w:t>突破超高清成像、高带宽实时传输、超高速存储等关键技术，支持面向超高清的编解码芯片、图像传感器、新型显示器件等开发和量产。加强4K/8K显示技术创新，发展高精密光学镜头等关键配套器件。支持企业参与或主导制定国内外有关标准，实现技术、专利与标准协同发展。（省科技厅、省工业和信息化厅、省市场监管局、省广电局按职责分工负责）</w:t>
      </w:r>
    </w:p>
    <w:p w14:paraId="2DC3971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（八）搭建科技创新服务平台。</w:t>
      </w:r>
      <w:r>
        <w:rPr>
          <w:rFonts w:hint="eastAsia" w:ascii="Times New Roman" w:hAnsi="Times New Roman" w:eastAsia="方正仿宋简体" w:cs="方正仿宋简体"/>
          <w:color w:val="000000"/>
          <w:sz w:val="32"/>
          <w:szCs w:val="32"/>
        </w:rPr>
        <w:t>支持重点视听企业联合高等院校、科研院所，共建技术研发中心、工程研究中心、重点实验室等科创平台，开展基础研究和关键核心技术攻关。支持中国广电·青岛5G高新视频实验园区“一区多园”建设，加快科研成果转化。推进山东省智慧广电大视听服务平台建设。（省发展改革委、省科技厅、省教育厅、省工业和信息化厅、省广电局按职责分工负责）</w:t>
      </w:r>
    </w:p>
    <w:p w14:paraId="14C0654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（九）提升超高清节目制播传输能力。</w:t>
      </w:r>
      <w:r>
        <w:rPr>
          <w:rFonts w:hint="eastAsia" w:ascii="Times New Roman" w:hAnsi="Times New Roman" w:eastAsia="方正仿宋简体" w:cs="方正仿宋简体"/>
          <w:color w:val="000000"/>
          <w:sz w:val="32"/>
          <w:szCs w:val="32"/>
        </w:rPr>
        <w:t>推动建设超高清电视应用创新实验室，开展技术创新、标准编制，抢占发展制高点。支持山东广播电视台及有条件的市级广播电视播出机构开通4K超高清频道，鼓励开展体育赛事、纪录片、美食等超高清节目制作，适时开展8K超高清电视制播试验。开展4K/8K超高清产品入户行动，支持有线电视网络和IPTV网络升级改造，鼓励超高清电视一体机等家庭超高清设备更新换代，力争到2027年年底全省超高清用户达1000万户。（省委宣传部、省广电局、省体育局，山东广播电视台、中国广电山东网络有限公司按职责分工负责）</w:t>
      </w:r>
    </w:p>
    <w:p w14:paraId="6265A44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（十）加快人工智能深层次融合应用。</w:t>
      </w:r>
      <w:r>
        <w:rPr>
          <w:rFonts w:hint="eastAsia" w:ascii="Times New Roman" w:hAnsi="Times New Roman" w:eastAsia="方正仿宋简体" w:cs="方正仿宋简体"/>
          <w:color w:val="000000"/>
          <w:sz w:val="32"/>
          <w:szCs w:val="32"/>
        </w:rPr>
        <w:t>鼓励创建生成式人工智能省部级实验室，加强关键技术研发，培育一批行业级、场景级大模型，加快生成式人工智能、虚拟数字人、音视频智能制作等技术推广应用。推进研发山东广电数智化内容生产平台。（省工业和信息化厅、省科技厅、省委宣传部、省广电局，山东广播电视台按职责分工负责）</w:t>
      </w:r>
    </w:p>
    <w:p w14:paraId="59C6354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（十一）推进新型广电网络建设。</w:t>
      </w:r>
      <w:r>
        <w:rPr>
          <w:rFonts w:hint="eastAsia" w:ascii="Times New Roman" w:hAnsi="Times New Roman" w:eastAsia="方正仿宋简体" w:cs="方正仿宋简体"/>
          <w:color w:val="000000"/>
          <w:sz w:val="32"/>
          <w:szCs w:val="32"/>
        </w:rPr>
        <w:t>加快广电网络向云网融合架构演进，建设济南、青岛“双核心”省级骨干网，加快“双千兆”网络、FTTR建设和IPv6改造，逐步建立广电算力基础设施。积极争取国家文化大数据体系文化专网山东节点、中国广电CBNET国干网青岛节点落地。推进5GNR广播基础建设和终端应用。聚焦低空安防、航道管理、海面监测等场景，开展5G－A通感一体技术试点。（省广电局，中国广电山东网络有限公司按职责分工负责）</w:t>
      </w:r>
    </w:p>
    <w:p w14:paraId="3DCD03C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三、实施视听内容提质工程</w:t>
      </w:r>
    </w:p>
    <w:p w14:paraId="53E8989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（十二）打造内容创作新高峰。</w:t>
      </w:r>
      <w:r>
        <w:rPr>
          <w:rFonts w:hint="eastAsia" w:ascii="Times New Roman" w:hAnsi="Times New Roman" w:eastAsia="方正仿宋简体" w:cs="方正仿宋简体"/>
          <w:color w:val="000000"/>
          <w:sz w:val="32"/>
          <w:szCs w:val="32"/>
        </w:rPr>
        <w:t>全面加强内容创作生产，力争到2027年涌现出3－5部“现象级”精品电视剧，10部以上分账超2000万元的“爆款”网络剧，15部以上兼具思想性、艺术性、观赏性的“鲁产”动画精品，30部以上彰显齐鲁风格、中国气派、时代精神的纪录片佳作，100部以上小而美、短实新的优质微短剧，推动一批讲述中国故事、传播山东声音的优秀视听作品出海传播，到2030年精品创作生产水平和实力进入全国第一方阵。建立山东视听内容创作素材库，组建剧本研究创作中心，举办山东省视听文学剧本大赛，大力推动优秀文学作品视听化改编。鼓励各地因地制宜制定精品创作扶持政策，积极打造本土化、特色化的视听内容精品。（省委宣传部、省广电局、省财政厅、省文联、省作协按职责分工负责）</w:t>
      </w:r>
    </w:p>
    <w:p w14:paraId="117E795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（十三）推动制作能力新提升。</w:t>
      </w:r>
      <w:r>
        <w:rPr>
          <w:rFonts w:hint="eastAsia" w:ascii="Times New Roman" w:hAnsi="Times New Roman" w:eastAsia="方正仿宋简体" w:cs="方正仿宋简体"/>
          <w:color w:val="000000"/>
          <w:sz w:val="32"/>
          <w:szCs w:val="32"/>
        </w:rPr>
        <w:t>大力发展视效制作、录音合成等影视后期制作技术，应用推广3D内容制作引擎、实时渲染处理等内容生产和测试工具。支持各地引育一批高水平影视后期制作企业和团队，支持符合条件的企业申报高新技术企业，按规定享受税收优惠等政策。（省委宣传部、省广电局、省工业和信息化厅、省科技厅按职责分工负责）</w:t>
      </w:r>
    </w:p>
    <w:p w14:paraId="694AD09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（十四）优化视听内容新供给。</w:t>
      </w:r>
      <w:r>
        <w:rPr>
          <w:rFonts w:hint="eastAsia" w:ascii="Times New Roman" w:hAnsi="Times New Roman" w:eastAsia="方正仿宋简体" w:cs="方正仿宋简体"/>
          <w:color w:val="000000"/>
          <w:sz w:val="32"/>
          <w:szCs w:val="32"/>
        </w:rPr>
        <w:t>健全优质网络视听内容进入大屏机制，推动优秀视听作品在中央、省级播出机构和头部视听平台播出。引导各级广播电视播出机构与视听平台开展联制联播，推动大屏小屏互联互通。加快频道频率精简精办，打造一批专业化、品牌化节目栏目，到2026年年底省市级频道频率总数压缩15%以上。深化电视操作复杂治理，加快机顶盒和电视机一体化，推动电视机无感进入。（省广电局、省工业和信息化厅按职责分工负责）</w:t>
      </w:r>
    </w:p>
    <w:p w14:paraId="5632889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（十五）搭建影视服务新平台。</w:t>
      </w:r>
      <w:r>
        <w:rPr>
          <w:rFonts w:hint="eastAsia" w:ascii="Times New Roman" w:hAnsi="Times New Roman" w:eastAsia="方正仿宋简体" w:cs="方正仿宋简体"/>
          <w:color w:val="000000"/>
          <w:sz w:val="32"/>
          <w:szCs w:val="32"/>
        </w:rPr>
        <w:t>组建山东省影视拍摄服务联盟，构建全省“一张网”的影视摄制服务体系。优化提升“齐鲁嗨拍”在线服务平台，为影视制作机构提供“一站式”服务。建设“鲁剧博物馆”，建立艺术人才荣誉机制，实行线上互动、线下展览。（省委宣传部、省广电局按职责分工负责）</w:t>
      </w:r>
    </w:p>
    <w:p w14:paraId="5D0C3BE2">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四、实施视听应用推广工程</w:t>
      </w:r>
    </w:p>
    <w:p w14:paraId="60B6608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（十六）视听+文化旅游。</w:t>
      </w:r>
      <w:r>
        <w:rPr>
          <w:rFonts w:hint="eastAsia" w:ascii="Times New Roman" w:hAnsi="Times New Roman" w:eastAsia="方正仿宋简体" w:cs="方正仿宋简体"/>
          <w:color w:val="000000"/>
          <w:sz w:val="32"/>
          <w:szCs w:val="32"/>
        </w:rPr>
        <w:t>鼓励市场主体围绕观光游览、文物保护等，更新一批观赏性强、体验感好的视听设备，积极推动文旅领域设备更新。强化全息影像、裸眼3D等技术应用，打造沉浸式特色文旅场景。建设AI数字艺术展馆，为“好客山东好品山东”品牌赋能。深入推进“跟着微短剧游齐鲁”“跟着纪录片去旅行”等主题创作计划，带动文化旅游新消费。（省文化和旅游厅、省广电局按职责分工负责）</w:t>
      </w:r>
    </w:p>
    <w:p w14:paraId="7CD8027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（十七）视听+直播电商。</w:t>
      </w:r>
      <w:r>
        <w:rPr>
          <w:rFonts w:hint="eastAsia" w:ascii="Times New Roman" w:hAnsi="Times New Roman" w:eastAsia="方正仿宋简体" w:cs="方正仿宋简体"/>
          <w:color w:val="000000"/>
          <w:sz w:val="32"/>
          <w:szCs w:val="32"/>
        </w:rPr>
        <w:t>支持各地设立网络主播孵化培训基地，发掘和培养本地网络主播与运营人才，打造立足山东、辐射全国的头部直播机构。遴选一批优秀网络主播，探索开展“名主播进乡村”“名主播讲山东”等活动，以“直播+三农”“直播+文旅”等模式，培育壮大直播经济。（省委宣传部、省商务厅、省市场监管局、省广电局按职责分工负责）</w:t>
      </w:r>
    </w:p>
    <w:p w14:paraId="37E5F15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（十八）视听+数字家庭。</w:t>
      </w:r>
      <w:r>
        <w:rPr>
          <w:rFonts w:hint="eastAsia" w:ascii="Times New Roman" w:hAnsi="Times New Roman" w:eastAsia="方正仿宋简体" w:cs="方正仿宋简体"/>
          <w:color w:val="000000"/>
          <w:sz w:val="32"/>
          <w:szCs w:val="32"/>
        </w:rPr>
        <w:t>加快推动家庭物联网和4K超高清视频服务升级，强化元宇宙、数字孪生等技术应用，打造特色沉浸式家庭视听场景。鼓励研发高清电视点播、双向通话、多重定位、健康监测等居家养老设备，打造智慧健康养老新业态。（省工业和信息化厅、省民政厅、省广电局，中国广电山东网络有限公司按职责分工负责）</w:t>
      </w:r>
    </w:p>
    <w:p w14:paraId="4F6F823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（十九）视听+教育培训。</w:t>
      </w:r>
      <w:r>
        <w:rPr>
          <w:rFonts w:hint="eastAsia" w:ascii="Times New Roman" w:hAnsi="Times New Roman" w:eastAsia="方正仿宋简体" w:cs="方正仿宋简体"/>
          <w:color w:val="000000"/>
          <w:sz w:val="32"/>
          <w:szCs w:val="32"/>
        </w:rPr>
        <w:t>运用智能化讲台、智能交互投影等产品，打造超高清直播教学和互动教学新场景。支持省内高校试点超高清视听技术应用，探索智慧教学新模式。（省教育厅、省广电局按职责分工负责）</w:t>
      </w:r>
    </w:p>
    <w:p w14:paraId="495CC77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（二十）视听+医疗健康。</w:t>
      </w:r>
      <w:r>
        <w:rPr>
          <w:rFonts w:hint="eastAsia" w:ascii="Times New Roman" w:hAnsi="Times New Roman" w:eastAsia="方正仿宋简体" w:cs="方正仿宋简体"/>
          <w:color w:val="000000"/>
          <w:sz w:val="32"/>
          <w:szCs w:val="32"/>
        </w:rPr>
        <w:t>加快超高清视频、人工智能等在医疗健康领域应用，推动融入远程会诊、远程诊断、远程手术、远程示教、移动救护等临床应用。（省卫生健康委、省广电局按职责分工负责）</w:t>
      </w:r>
    </w:p>
    <w:p w14:paraId="73A00A2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（二十一）视听+智慧交通。</w:t>
      </w:r>
      <w:r>
        <w:rPr>
          <w:rFonts w:hint="eastAsia" w:ascii="Times New Roman" w:hAnsi="Times New Roman" w:eastAsia="方正仿宋简体" w:cs="方正仿宋简体"/>
          <w:color w:val="000000"/>
          <w:sz w:val="32"/>
          <w:szCs w:val="32"/>
        </w:rPr>
        <w:t>加快超高清视频在智能网联汽车中的推广应用，加强超高清车载图像传感器、屏幕产品研发和量产。推动超高清技术在交通管控中的应用，提升复杂环境下车牌车辆识别准确率。推进公路水路交通基础设施数字化转型升级，提升交通行业数据共享开放和赋能水平。（省公安厅、省交通运输厅、省广电局按职责分工负责）</w:t>
      </w:r>
    </w:p>
    <w:p w14:paraId="3A94135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（二十二）视听+其他。</w:t>
      </w:r>
      <w:r>
        <w:rPr>
          <w:rFonts w:hint="eastAsia" w:ascii="Times New Roman" w:hAnsi="Times New Roman" w:eastAsia="方正仿宋简体" w:cs="方正仿宋简体"/>
          <w:color w:val="000000"/>
          <w:sz w:val="32"/>
          <w:szCs w:val="32"/>
        </w:rPr>
        <w:t>大力发展超高清技术，探索多人在线、社交化、云端化、具备空间互联网形态的创新应用，全面融入智能制造、智慧城市、智慧生活等各领域，不断赋能千行百业，带动产生新消费。（省直相关部门按职责分工负责）</w:t>
      </w:r>
    </w:p>
    <w:p w14:paraId="52A9AAA4">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五、实施视听版权交易工程</w:t>
      </w:r>
    </w:p>
    <w:p w14:paraId="6DDE3EB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（二十三）加强版权应用保护。</w:t>
      </w:r>
      <w:r>
        <w:rPr>
          <w:rFonts w:hint="eastAsia" w:ascii="Times New Roman" w:hAnsi="Times New Roman" w:eastAsia="方正仿宋简体" w:cs="方正仿宋简体"/>
          <w:color w:val="000000"/>
          <w:sz w:val="32"/>
          <w:szCs w:val="32"/>
        </w:rPr>
        <w:t>建立山东省视听版权交易中心，打造集作品登记确权、集中管理、流转授权等于一体的综合服务平台。加大版权执法监管力度，大力打击侵权盗版行为。支持推出视听行业专属金融产品，为企业发展增添活力。（省委宣传部、省广电局、中国人民银行山东省分行按职责分工负责）</w:t>
      </w:r>
    </w:p>
    <w:p w14:paraId="7B485BD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（二十四）扩大对外版权交易。</w:t>
      </w:r>
      <w:r>
        <w:rPr>
          <w:rFonts w:hint="eastAsia" w:ascii="Times New Roman" w:hAnsi="Times New Roman" w:eastAsia="方正仿宋简体" w:cs="方正仿宋简体"/>
          <w:color w:val="000000"/>
          <w:sz w:val="32"/>
          <w:szCs w:val="32"/>
        </w:rPr>
        <w:t>完善视听作品出口激励机制，加大视听作品译制、出口等扶持力度，对符合条件的视听作品给予倾斜支持。探索版权交易、授权合拍等方式，助推优秀视听作品海外发行和播出。（省委宣传部、省委外办、省商务厅、省广电局按职责分工负责）</w:t>
      </w:r>
    </w:p>
    <w:p w14:paraId="752076C1">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六、实施视听人才培育工程</w:t>
      </w:r>
    </w:p>
    <w:p w14:paraId="23C6704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（二十五）引育高端专业人才。</w:t>
      </w:r>
      <w:r>
        <w:rPr>
          <w:rFonts w:hint="eastAsia" w:ascii="Times New Roman" w:hAnsi="Times New Roman" w:eastAsia="方正仿宋简体" w:cs="方正仿宋简体"/>
          <w:color w:val="000000"/>
          <w:sz w:val="32"/>
          <w:szCs w:val="32"/>
        </w:rPr>
        <w:t>大力引进和培育内容生产、技术研发、运营管理等高端紧缺人才，符合条件的优先申报全国性行业人才，优先推荐参加全国行业人才培训交流活动。鼓励海外高层次视听留学人才来鲁创业，享受相关人才优惠政策。（省委宣传部、省广电局、省教育厅、省科技厅、省工业和信息化厅、省人力资源社会保障厅按职责分工负责）</w:t>
      </w:r>
    </w:p>
    <w:p w14:paraId="4869E06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（二十六）加强校企联动合作。</w:t>
      </w:r>
      <w:r>
        <w:rPr>
          <w:rFonts w:hint="eastAsia" w:ascii="Times New Roman" w:hAnsi="Times New Roman" w:eastAsia="方正仿宋简体" w:cs="方正仿宋简体"/>
          <w:color w:val="000000"/>
          <w:sz w:val="32"/>
          <w:szCs w:val="32"/>
        </w:rPr>
        <w:t>建立“产学研用”一体化发展机制，支持省内高校、科研院所建立人才培育基地，涵养人才“蓄水池”。支持山东传媒职业学院建设国内高水平传媒类职业院校，为广电视听产业发展提供人才支持。（省教育厅、省广电局按职责分工负责）</w:t>
      </w:r>
    </w:p>
    <w:p w14:paraId="065CA22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（二十七）实施人才回流计划。</w:t>
      </w:r>
      <w:r>
        <w:rPr>
          <w:rFonts w:hint="eastAsia" w:ascii="Times New Roman" w:hAnsi="Times New Roman" w:eastAsia="方正仿宋简体" w:cs="方正仿宋简体"/>
          <w:color w:val="000000"/>
          <w:sz w:val="32"/>
          <w:szCs w:val="32"/>
        </w:rPr>
        <w:t>畅通鲁籍人才交流渠道，搭建人才互动平台，定期召开鲁籍广电视听人才交流会，吸引优秀人才回乡创新创业，在财政、金融等方面予以倾斜支持。（省财政厅、省委金融办、省广电局、中国人民银行山东省分行按职责分工负责）</w:t>
      </w:r>
    </w:p>
    <w:p w14:paraId="063BD99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省广电局牵头推动全省广电视听产业高质量发展有关工作，加强整体统筹，及时协调解决相关问题，有关部门按照分工加强协作配合，形成工作合力。落实国家关于文化企业发展、高新技术创新等优惠政策，支持各地因地制宜出台扶持政策，鼓励基础条件较好的地方积极探索、加快发展。发挥省新旧动能转换基金作用，吸引社会资本加大对视听企业、重点项目的金融支持力度。完善广电视听产业统计评价体系，建立评估机制，定期发布统计信息，为产业发展提供数据支撑。</w:t>
      </w:r>
    </w:p>
    <w:p w14:paraId="5C8BEA9B">
      <w:pPr>
        <w:snapToGrid w:val="0"/>
        <w:spacing w:after="0" w:line="570" w:lineRule="exact"/>
        <w:jc w:val="both"/>
        <w:rPr>
          <w:rFonts w:hint="eastAsia" w:ascii="Times New Roman" w:hAnsi="Times New Roman" w:eastAsia="方正仿宋简体" w:cs="方正仿宋简体"/>
          <w:color w:val="000000"/>
          <w:sz w:val="32"/>
          <w:szCs w:val="32"/>
        </w:rPr>
      </w:pPr>
    </w:p>
    <w:p w14:paraId="41672ADE">
      <w:pPr>
        <w:snapToGrid w:val="0"/>
        <w:spacing w:after="0" w:line="570" w:lineRule="exact"/>
        <w:jc w:val="center"/>
        <w:rPr>
          <w:rFonts w:hint="eastAsia" w:ascii="Times New Roman" w:hAnsi="Times New Roman" w:eastAsia="方正小标宋简体" w:cs="方正小标宋简体"/>
          <w:sz w:val="44"/>
          <w:szCs w:val="44"/>
        </w:rPr>
      </w:pPr>
    </w:p>
    <w:p w14:paraId="13FA9A98">
      <w:pPr>
        <w:snapToGrid w:val="0"/>
        <w:spacing w:after="0" w:line="570" w:lineRule="exact"/>
        <w:jc w:val="center"/>
        <w:rPr>
          <w:rFonts w:hint="eastAsia" w:ascii="Times New Roman" w:hAnsi="Times New Roman" w:eastAsia="方正小标宋简体" w:cs="方正小标宋简体"/>
          <w:sz w:val="44"/>
          <w:szCs w:val="44"/>
        </w:rPr>
      </w:pPr>
    </w:p>
    <w:p w14:paraId="6419E696">
      <w:pPr>
        <w:snapToGrid w:val="0"/>
        <w:spacing w:after="0" w:line="570" w:lineRule="exact"/>
        <w:jc w:val="center"/>
        <w:rPr>
          <w:rFonts w:hint="eastAsia" w:ascii="Times New Roman" w:hAnsi="Times New Roman" w:eastAsia="方正小标宋简体" w:cs="方正小标宋简体"/>
          <w:sz w:val="44"/>
          <w:szCs w:val="44"/>
        </w:rPr>
      </w:pPr>
    </w:p>
    <w:p w14:paraId="0CE32357">
      <w:pPr>
        <w:snapToGrid w:val="0"/>
        <w:spacing w:after="0" w:line="570" w:lineRule="exact"/>
        <w:jc w:val="center"/>
        <w:rPr>
          <w:rFonts w:hint="eastAsia" w:ascii="Times New Roman" w:hAnsi="Times New Roman" w:eastAsia="方正小标宋简体" w:cs="方正小标宋简体"/>
          <w:sz w:val="44"/>
          <w:szCs w:val="44"/>
        </w:rPr>
      </w:pPr>
    </w:p>
    <w:p w14:paraId="46B45E78">
      <w:pPr>
        <w:snapToGrid w:val="0"/>
        <w:spacing w:after="0" w:line="570" w:lineRule="exact"/>
        <w:jc w:val="center"/>
        <w:rPr>
          <w:rFonts w:hint="eastAsia" w:ascii="Times New Roman" w:hAnsi="Times New Roman" w:eastAsia="方正小标宋简体" w:cs="方正小标宋简体"/>
          <w:sz w:val="44"/>
          <w:szCs w:val="44"/>
        </w:rPr>
      </w:pPr>
    </w:p>
    <w:p w14:paraId="3B268D7B">
      <w:pPr>
        <w:snapToGrid w:val="0"/>
        <w:spacing w:after="0" w:line="570" w:lineRule="exact"/>
        <w:jc w:val="center"/>
        <w:rPr>
          <w:rFonts w:hint="eastAsia" w:ascii="Times New Roman" w:hAnsi="Times New Roman" w:eastAsia="方正小标宋简体" w:cs="方正小标宋简体"/>
          <w:sz w:val="44"/>
          <w:szCs w:val="44"/>
        </w:rPr>
      </w:pPr>
    </w:p>
    <w:p w14:paraId="042D60B2">
      <w:pPr>
        <w:snapToGrid w:val="0"/>
        <w:spacing w:after="0" w:line="570" w:lineRule="exact"/>
        <w:jc w:val="center"/>
        <w:rPr>
          <w:rFonts w:hint="eastAsia" w:ascii="Times New Roman" w:hAnsi="Times New Roman" w:eastAsia="方正小标宋简体" w:cs="方正小标宋简体"/>
          <w:sz w:val="44"/>
          <w:szCs w:val="44"/>
        </w:rPr>
      </w:pPr>
    </w:p>
    <w:p w14:paraId="1F8CE624">
      <w:pPr>
        <w:snapToGrid w:val="0"/>
        <w:spacing w:after="0" w:line="570" w:lineRule="exact"/>
        <w:jc w:val="center"/>
        <w:rPr>
          <w:rFonts w:hint="eastAsia" w:ascii="Times New Roman" w:hAnsi="Times New Roman" w:eastAsia="方正小标宋简体" w:cs="方正小标宋简体"/>
          <w:sz w:val="44"/>
          <w:szCs w:val="44"/>
        </w:rPr>
      </w:pPr>
    </w:p>
    <w:p w14:paraId="4C74840A">
      <w:pPr>
        <w:snapToGrid w:val="0"/>
        <w:spacing w:after="0" w:line="570" w:lineRule="exact"/>
        <w:jc w:val="center"/>
        <w:rPr>
          <w:rFonts w:hint="eastAsia" w:ascii="Times New Roman" w:hAnsi="Times New Roman" w:eastAsia="方正小标宋简体" w:cs="方正小标宋简体"/>
          <w:sz w:val="44"/>
          <w:szCs w:val="44"/>
        </w:rPr>
      </w:pPr>
    </w:p>
    <w:p w14:paraId="00E63C0D">
      <w:pPr>
        <w:snapToGrid w:val="0"/>
        <w:spacing w:after="0" w:line="570" w:lineRule="exact"/>
        <w:jc w:val="center"/>
        <w:rPr>
          <w:rFonts w:hint="eastAsia" w:ascii="Times New Roman" w:hAnsi="Times New Roman" w:eastAsia="方正小标宋简体" w:cs="方正小标宋简体"/>
          <w:sz w:val="44"/>
          <w:szCs w:val="44"/>
        </w:rPr>
      </w:pPr>
    </w:p>
    <w:p w14:paraId="63B86579">
      <w:pPr>
        <w:snapToGrid w:val="0"/>
        <w:spacing w:after="0" w:line="570" w:lineRule="exact"/>
        <w:jc w:val="center"/>
        <w:rPr>
          <w:rFonts w:hint="eastAsia" w:ascii="Times New Roman" w:hAnsi="Times New Roman" w:eastAsia="方正小标宋简体" w:cs="方正小标宋简体"/>
          <w:sz w:val="44"/>
          <w:szCs w:val="44"/>
        </w:rPr>
      </w:pPr>
    </w:p>
    <w:p w14:paraId="3A17FCAC">
      <w:pPr>
        <w:snapToGrid w:val="0"/>
        <w:spacing w:after="0" w:line="570" w:lineRule="exact"/>
        <w:jc w:val="center"/>
        <w:rPr>
          <w:rFonts w:hint="eastAsia" w:ascii="Times New Roman" w:hAnsi="Times New Roman" w:eastAsia="方正小标宋简体" w:cs="方正小标宋简体"/>
          <w:sz w:val="44"/>
          <w:szCs w:val="44"/>
        </w:rPr>
      </w:pPr>
    </w:p>
    <w:p w14:paraId="3C4344BE">
      <w:pPr>
        <w:snapToGrid w:val="0"/>
        <w:spacing w:after="0" w:line="570" w:lineRule="exact"/>
        <w:jc w:val="center"/>
        <w:rPr>
          <w:rFonts w:hint="eastAsia" w:ascii="Times New Roman" w:hAnsi="Times New Roman" w:eastAsia="方正小标宋简体" w:cs="方正小标宋简体"/>
          <w:sz w:val="44"/>
          <w:szCs w:val="44"/>
        </w:rPr>
      </w:pPr>
    </w:p>
    <w:p w14:paraId="5F13CF2E">
      <w:pPr>
        <w:snapToGrid w:val="0"/>
        <w:spacing w:after="0" w:line="570" w:lineRule="exact"/>
        <w:jc w:val="center"/>
        <w:rPr>
          <w:rFonts w:hint="eastAsia" w:ascii="Times New Roman" w:hAnsi="Times New Roman" w:eastAsia="方正小标宋简体" w:cs="方正小标宋简体"/>
          <w:sz w:val="44"/>
          <w:szCs w:val="44"/>
        </w:rPr>
      </w:pPr>
    </w:p>
    <w:p w14:paraId="0AC780DC">
      <w:pPr>
        <w:snapToGrid w:val="0"/>
        <w:spacing w:after="0" w:line="570" w:lineRule="exact"/>
        <w:jc w:val="center"/>
        <w:rPr>
          <w:rFonts w:hint="eastAsia" w:ascii="Times New Roman" w:hAnsi="Times New Roman" w:eastAsia="方正小标宋简体" w:cs="方正小标宋简体"/>
          <w:sz w:val="44"/>
          <w:szCs w:val="44"/>
        </w:rPr>
      </w:pPr>
    </w:p>
    <w:p w14:paraId="0764B174">
      <w:pPr>
        <w:snapToGrid w:val="0"/>
        <w:spacing w:after="0" w:line="570" w:lineRule="exact"/>
        <w:jc w:val="center"/>
        <w:rPr>
          <w:rFonts w:hint="eastAsia" w:ascii="Times New Roman" w:hAnsi="Times New Roman" w:eastAsia="方正小标宋简体" w:cs="方正小标宋简体"/>
          <w:sz w:val="44"/>
          <w:szCs w:val="44"/>
        </w:rPr>
      </w:pPr>
    </w:p>
    <w:p w14:paraId="6BA11EA9">
      <w:pPr>
        <w:snapToGrid w:val="0"/>
        <w:spacing w:after="0" w:line="570" w:lineRule="exact"/>
        <w:jc w:val="center"/>
        <w:rPr>
          <w:rFonts w:hint="eastAsia" w:ascii="Times New Roman" w:hAnsi="Times New Roman" w:eastAsia="方正小标宋简体" w:cs="方正小标宋简体"/>
          <w:sz w:val="44"/>
          <w:szCs w:val="44"/>
        </w:rPr>
      </w:pPr>
    </w:p>
    <w:p w14:paraId="780283EC">
      <w:pPr>
        <w:snapToGrid w:val="0"/>
        <w:spacing w:after="0" w:line="570" w:lineRule="exact"/>
        <w:jc w:val="center"/>
        <w:rPr>
          <w:rFonts w:hint="eastAsia" w:ascii="Times New Roman" w:hAnsi="Times New Roman" w:eastAsia="方正小标宋简体" w:cs="方正小标宋简体"/>
          <w:sz w:val="44"/>
          <w:szCs w:val="44"/>
        </w:rPr>
      </w:pPr>
    </w:p>
    <w:p w14:paraId="151264BF">
      <w:pPr>
        <w:snapToGrid w:val="0"/>
        <w:spacing w:after="0" w:line="570" w:lineRule="exact"/>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0D18299B">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关于印发《山东省精细化工产业高质量发展行动方案（2025—2027年）》的通知</w:t>
      </w:r>
    </w:p>
    <w:p w14:paraId="56246A27">
      <w:pPr>
        <w:spacing w:after="0" w:line="240" w:lineRule="auto"/>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各市工业和信息化局、发展改革委（能源局）、财政局、生态环境局、农业农村局、应急局：</w:t>
      </w:r>
    </w:p>
    <w:p w14:paraId="180627D8">
      <w:pPr>
        <w:spacing w:after="0" w:line="240" w:lineRule="auto"/>
        <w:jc w:val="both"/>
        <w:rPr>
          <w:rFonts w:hint="eastAsia" w:ascii="Times New Roman" w:hAnsi="Times New Roman" w:eastAsia="方正仿宋简体" w:cs="方正仿宋简体"/>
          <w:color w:val="000000"/>
          <w:sz w:val="32"/>
          <w:szCs w:val="32"/>
        </w:rPr>
      </w:pPr>
    </w:p>
    <w:p w14:paraId="17278AE3">
      <w:pPr>
        <w:spacing w:after="0" w:line="240" w:lineRule="auto"/>
        <w:ind w:firstLine="7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现将《山东省精细化工产业高质量发展行动方案（2025—2027年）》印发给你们，请认真抓好贯彻落实。</w:t>
      </w:r>
    </w:p>
    <w:p w14:paraId="1B287698">
      <w:pPr>
        <w:widowControl/>
        <w:shd w:val="clear" w:color="auto" w:fill="FFFFFF"/>
        <w:spacing w:after="0" w:line="432" w:lineRule="atLeast"/>
        <w:jc w:val="both"/>
        <w:rPr>
          <w:rFonts w:hint="eastAsia" w:ascii="Times New Roman" w:hAnsi="Times New Roman" w:eastAsia="微软雅黑" w:cs="微软雅黑"/>
          <w:color w:val="000000"/>
          <w:kern w:val="0"/>
          <w:sz w:val="21"/>
          <w:szCs w:val="21"/>
        </w:rPr>
      </w:pPr>
    </w:p>
    <w:p w14:paraId="16B282A4">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山东省工业和信息化厅</w:t>
      </w:r>
    </w:p>
    <w:p w14:paraId="4B12E72D">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山东省发展和改革委员会</w:t>
      </w:r>
    </w:p>
    <w:p w14:paraId="032B878F">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山东省财政厅</w:t>
      </w:r>
    </w:p>
    <w:p w14:paraId="2663B2FC">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山东省生态环境厅</w:t>
      </w:r>
    </w:p>
    <w:p w14:paraId="51EE6D51">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山东省农业农村厅</w:t>
      </w:r>
    </w:p>
    <w:p w14:paraId="489903BE">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山东省应急管理厅</w:t>
      </w:r>
    </w:p>
    <w:p w14:paraId="15FE72C3">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山东省能源局</w:t>
      </w:r>
    </w:p>
    <w:p w14:paraId="6689FEE9">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1CB1DE6A">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2024年12月24日</w:t>
      </w:r>
    </w:p>
    <w:p w14:paraId="2978F94A">
      <w:pPr>
        <w:snapToGrid w:val="0"/>
        <w:spacing w:after="0" w:line="570" w:lineRule="exact"/>
        <w:jc w:val="center"/>
        <w:rPr>
          <w:rFonts w:hint="eastAsia" w:ascii="Times New Roman" w:hAnsi="Times New Roman" w:eastAsia="方正小标宋简体" w:cs="方正小标宋简体"/>
          <w:sz w:val="44"/>
          <w:szCs w:val="44"/>
        </w:rPr>
      </w:pPr>
    </w:p>
    <w:p w14:paraId="7F54BF61">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山东省精细化工产业高质量发展行动方案（2025-2027年）</w:t>
      </w:r>
    </w:p>
    <w:p w14:paraId="0B3979A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根据工业和信息化部等九部门关于精细化工产业创新发展的部署要求，为充分发挥我省化工产业基础优势，推动化工产业向精细化学品和化工新材料方向发展，助力全省先进制造强省建设，制定本行动方案。</w:t>
      </w:r>
    </w:p>
    <w:p w14:paraId="38963C9E">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一、总体要求</w:t>
      </w:r>
    </w:p>
    <w:p w14:paraId="6ACB4BB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以习近平新时代中国特色社会主义思想为指导，深入贯彻党的二十大和二十届三中全会精神，完整、准确、全面贯彻新发展理念，服务融入新发展格局，把发展精细化工作为调整化工产业结构、提高化工产业质量的战略重点，坚持市场主导、创新协同、高端高质、安全绿色发展原则，统筹高质量发展和高水平安全，打造现代精细化工产业体系，加快培育化工产业新质生产力，为建设先进制造强省提供坚实基础。</w:t>
      </w:r>
    </w:p>
    <w:p w14:paraId="0B81637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到2027年，全省精细化工产业营业收入年均增长8%左右，初步形成主导产业突出、区域布局合理、创新体系健全、资源要素集聚、链群深度融合的发展格局。</w:t>
      </w:r>
    </w:p>
    <w:p w14:paraId="08278D7F">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二、发展重点</w:t>
      </w:r>
    </w:p>
    <w:p w14:paraId="68B05AE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（一）延伸一批化工产业链条。</w:t>
      </w:r>
      <w:r>
        <w:rPr>
          <w:rFonts w:hint="eastAsia" w:ascii="Times New Roman" w:hAnsi="Times New Roman" w:eastAsia="方正仿宋简体" w:cs="方正仿宋简体"/>
          <w:color w:val="000000"/>
          <w:sz w:val="32"/>
          <w:szCs w:val="32"/>
        </w:rPr>
        <w:t>发挥石化、煤化、盐化等传统化工产业的技术和规模优势，围绕乙烯、丙烯、丁烯、聚氨酯、尼龙、PX、煤基精细化工、氟硅、高端功能化学品等产业链，加快向高端、精细、特色、终端方向“建延补强”。</w:t>
      </w:r>
    </w:p>
    <w:tbl>
      <w:tblPr>
        <w:tblStyle w:val="11"/>
        <w:tblW w:w="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6636"/>
      </w:tblGrid>
      <w:tr w14:paraId="38CDED0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single" w:color="auto" w:sz="4" w:space="0"/>
              <w:left w:val="single" w:color="auto" w:sz="4" w:space="0"/>
              <w:bottom w:val="single" w:color="auto" w:sz="4" w:space="0"/>
              <w:right w:val="single" w:color="auto" w:sz="4" w:space="0"/>
            </w:tcBorders>
            <w:noWrap w:val="0"/>
            <w:tcMar>
              <w:left w:w="84" w:type="dxa"/>
              <w:right w:w="84" w:type="dxa"/>
            </w:tcMar>
            <w:vAlign w:val="center"/>
          </w:tcPr>
          <w:p w14:paraId="234EFB9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专栏1</w:t>
            </w:r>
          </w:p>
        </w:tc>
      </w:tr>
      <w:tr w14:paraId="5EA230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nil"/>
              <w:left w:val="single" w:color="auto" w:sz="4" w:space="0"/>
              <w:bottom w:val="single" w:color="auto" w:sz="4" w:space="0"/>
              <w:right w:val="single" w:color="auto" w:sz="4" w:space="0"/>
            </w:tcBorders>
            <w:noWrap w:val="0"/>
            <w:tcMar>
              <w:left w:w="84" w:type="dxa"/>
              <w:right w:w="84" w:type="dxa"/>
            </w:tcMar>
            <w:vAlign w:val="center"/>
          </w:tcPr>
          <w:p w14:paraId="67DB475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石油化工。发展高端聚烯烃、特种工程塑料、特种合成橡胶、功能特种油品及新能源电池用碳基材料。拓展特种牌号聚丙烯，向高端医疗防护、柔性材料延伸。发展面向食品包装、汽车、航空航天等领域的高端聚氨酯等产品。攻关面向锂电池、通信海缆领域的高密度聚乙烯，航空航天、轨道交通、新能源汽车等领域的特种橡胶，炼厂低碳轻烃资源高值化利用的先进工艺及催化剂等技术。</w:t>
            </w:r>
          </w:p>
          <w:p w14:paraId="239B0C9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2.煤化工。发展高吸水性树脂、高性能纤维、</w:t>
            </w:r>
            <w:r>
              <w:rPr>
                <w:rFonts w:ascii="Times New Roman" w:hAnsi="Times New Roman" w:eastAsia="方正仿宋简体" w:cs="Arial"/>
                <w:color w:val="000000"/>
                <w:sz w:val="32"/>
                <w:szCs w:val="32"/>
              </w:rPr>
              <w:t>‌</w:t>
            </w:r>
            <w:r>
              <w:rPr>
                <w:rFonts w:hint="eastAsia" w:ascii="Times New Roman" w:hAnsi="Times New Roman" w:eastAsia="微软雅黑" w:cs="微软雅黑"/>
                <w:color w:val="000000"/>
                <w:sz w:val="32"/>
                <w:szCs w:val="32"/>
              </w:rPr>
              <w:t>高性能膜材料、特种沥青、新型碳材料、可降解材料，以及医药、农药、染料中间体，专用助剂等。开发胺基新材料产业链技术，推进煤焦油中环烷烃、含氧化合物、芳烃等高值组分的综合利用。</w:t>
            </w:r>
          </w:p>
          <w:p w14:paraId="249C97F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3.盐化工。发展高端聚氯乙烯、氯化高聚物，超净高纯氢氟酸、特种含氟化学品、先进硅材料、新型阻燃材料、药用中间体等。探索氯碱—氢能—绿电自用新模式，加强烧碱蒸发和固碱加工先进技术研发应用。</w:t>
            </w:r>
          </w:p>
          <w:p w14:paraId="34BBB28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 </w:t>
            </w:r>
          </w:p>
        </w:tc>
      </w:tr>
    </w:tbl>
    <w:p w14:paraId="44885E7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（二）突破一批化工“卡脖子”技术。</w:t>
      </w:r>
      <w:r>
        <w:rPr>
          <w:rFonts w:hint="eastAsia" w:ascii="Times New Roman" w:hAnsi="Times New Roman" w:eastAsia="方正仿宋简体" w:cs="方正仿宋简体"/>
          <w:color w:val="000000"/>
          <w:sz w:val="32"/>
          <w:szCs w:val="32"/>
        </w:rPr>
        <w:t>紧跟化工新材料、海洋化工、生物化工、电子化学品等新兴化工领域的发展趋势，聚焦国家重大战略、行业发展和民生领域等需求，引导精细化工企业与下游应用企业结对攻关，超前布局前沿技术，进一步积蓄竞争优势。 </w:t>
      </w:r>
    </w:p>
    <w:p w14:paraId="204B4D3A">
      <w:pPr>
        <w:snapToGrid w:val="0"/>
        <w:spacing w:after="0" w:line="570" w:lineRule="exact"/>
        <w:ind w:firstLine="620"/>
        <w:jc w:val="both"/>
        <w:rPr>
          <w:rFonts w:hint="eastAsia" w:ascii="Times New Roman" w:hAnsi="Times New Roman" w:eastAsia="方正仿宋简体" w:cs="方正仿宋简体"/>
          <w:color w:val="000000"/>
          <w:sz w:val="32"/>
          <w:szCs w:val="32"/>
        </w:rPr>
      </w:pPr>
    </w:p>
    <w:tbl>
      <w:tblPr>
        <w:tblStyle w:val="11"/>
        <w:tblW w:w="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6636"/>
      </w:tblGrid>
      <w:tr w14:paraId="06B62D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single" w:color="auto" w:sz="4" w:space="0"/>
              <w:left w:val="single" w:color="auto" w:sz="4" w:space="0"/>
              <w:bottom w:val="single" w:color="auto" w:sz="4" w:space="0"/>
              <w:right w:val="single" w:color="auto" w:sz="4" w:space="0"/>
            </w:tcBorders>
            <w:noWrap w:val="0"/>
            <w:tcMar>
              <w:left w:w="84" w:type="dxa"/>
              <w:right w:w="84" w:type="dxa"/>
            </w:tcMar>
            <w:vAlign w:val="center"/>
          </w:tcPr>
          <w:p w14:paraId="6A26527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专栏2</w:t>
            </w:r>
          </w:p>
        </w:tc>
      </w:tr>
      <w:tr w14:paraId="4B79726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nil"/>
              <w:left w:val="single" w:color="auto" w:sz="4" w:space="0"/>
              <w:bottom w:val="single" w:color="auto" w:sz="4" w:space="0"/>
              <w:right w:val="single" w:color="auto" w:sz="4" w:space="0"/>
            </w:tcBorders>
            <w:noWrap w:val="0"/>
            <w:tcMar>
              <w:left w:w="84" w:type="dxa"/>
              <w:right w:w="84" w:type="dxa"/>
            </w:tcMar>
            <w:vAlign w:val="center"/>
          </w:tcPr>
          <w:p w14:paraId="6B980F1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1.化工新材料。加快通信、医疗、集成电路等领域用的聚苯醚、聚碳酸酯、光学胶膜等技术开发和产业化。丰富聚碳酸酯、尼龙系列等产品牌号，拓展在汽车、高铁、医疗等高端领域的应用，开发新应用场景。</w:t>
            </w:r>
          </w:p>
          <w:p w14:paraId="46378EA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2.海洋化工。开发海藻酸盐、海洋新型功能涂料、海洋生物医用材料、海洋特种功能纺织新材料、海洋功能食品、海洋化妆品等。</w:t>
            </w:r>
          </w:p>
          <w:p w14:paraId="1E856F5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生物化工。开发特种树脂、高端铸造材料、高性能硬碳材料等高性能生物基材料，推进终端市场应用。延伸发展丁二酸、反式乌头酸等生物可降解高分子材料、生物基医药中间体、尼龙56纤维、尼龙56工程塑料等产品。挖掘废旧生物质资源的生物属性和价值，开发系列生物基化学品。</w:t>
            </w:r>
          </w:p>
          <w:p w14:paraId="475B2B6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电子化学品。加快光刻胶、芯片封装用电子级特种环氧树脂、中间体、光学胶用特种酯等产品研发。推进集成电路用的湿化学品工程化试验。加快集成电路用电子特气以及高电压正极、钠离子负极等电池材料产业化。</w:t>
            </w:r>
          </w:p>
          <w:p w14:paraId="75BC733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 </w:t>
            </w:r>
          </w:p>
        </w:tc>
      </w:tr>
    </w:tbl>
    <w:p w14:paraId="7DE4A93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（三）提升一批终端产品品质。</w:t>
      </w:r>
      <w:r>
        <w:rPr>
          <w:rFonts w:hint="eastAsia" w:ascii="Times New Roman" w:hAnsi="Times New Roman" w:eastAsia="方正仿宋简体" w:cs="方正仿宋简体"/>
          <w:color w:val="000000"/>
          <w:sz w:val="32"/>
          <w:szCs w:val="32"/>
        </w:rPr>
        <w:t>聚焦涂料、染（颜）料、农药、专用化学品、日用化学品等终端领域，推动增品种、提品质、创品牌，大力发展服务型制造，注重打造化工行业新业态、新场景，提升行业影响力。</w:t>
      </w:r>
    </w:p>
    <w:tbl>
      <w:tblPr>
        <w:tblStyle w:val="11"/>
        <w:tblW w:w="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6636"/>
      </w:tblGrid>
      <w:tr w14:paraId="501132A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single" w:color="auto" w:sz="4" w:space="0"/>
              <w:left w:val="single" w:color="auto" w:sz="4" w:space="0"/>
              <w:bottom w:val="single" w:color="auto" w:sz="4" w:space="0"/>
              <w:right w:val="single" w:color="auto" w:sz="4" w:space="0"/>
            </w:tcBorders>
            <w:noWrap w:val="0"/>
            <w:tcMar>
              <w:left w:w="84" w:type="dxa"/>
              <w:right w:w="84" w:type="dxa"/>
            </w:tcMar>
            <w:vAlign w:val="center"/>
          </w:tcPr>
          <w:p w14:paraId="1F0D882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ascii="Times New Roman" w:hAnsi="Times New Roman" w:eastAsia="方正仿宋简体" w:cs="方正仿宋简体"/>
                <w:color w:val="000000"/>
                <w:sz w:val="32"/>
                <w:szCs w:val="32"/>
              </w:rPr>
              <w:t>专栏3</w:t>
            </w:r>
          </w:p>
        </w:tc>
      </w:tr>
      <w:tr w14:paraId="2B7EC9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3" w:hRule="atLeast"/>
          <w:jc w:val="center"/>
        </w:trPr>
        <w:tc>
          <w:tcPr>
            <w:tcW w:w="6636" w:type="dxa"/>
            <w:tcBorders>
              <w:top w:val="nil"/>
              <w:left w:val="single" w:color="auto" w:sz="4" w:space="0"/>
              <w:bottom w:val="single" w:color="auto" w:sz="4" w:space="0"/>
              <w:right w:val="single" w:color="auto" w:sz="4" w:space="0"/>
            </w:tcBorders>
            <w:noWrap w:val="0"/>
            <w:tcMar>
              <w:left w:w="84" w:type="dxa"/>
              <w:right w:w="84" w:type="dxa"/>
            </w:tcMar>
            <w:vAlign w:val="center"/>
          </w:tcPr>
          <w:p w14:paraId="61E9137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1.涂料。发展环境友好、资源节约型涂料；开发海洋防腐等工业涂料，以及用于大飞机、高铁、大型船舶、家具家电、通用机械等领域的高性能涂料。</w:t>
            </w:r>
          </w:p>
          <w:p w14:paraId="6C51645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2.染（颜）料。开发纺织印染、陶瓷加工等领域用的新型染（颜）料。加强高固色、低盐或无盐、功能性、合成生物、可生物降解等环境友好型染颜料的关键技术攻关。</w:t>
            </w:r>
          </w:p>
          <w:p w14:paraId="60DEEC0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3.农药。加大高效、低毒、低残留农药新产品的研发和推广力度，开拓非农业用的新产品。结合种业和药械发展趋势，加快发展水基化、超低容量等剂型。加大微通道反应器及管式反应器等安全工艺技术推广应用。推动不对称合成、定向转化/拆分技术、生物酶催化技术、近红外在线分析技术等在农药行业的应用研究。</w:t>
            </w:r>
          </w:p>
          <w:p w14:paraId="32D412D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4.专用化学品。加快绿色高效新型催化剂、溶助剂、表面活性剂、超净高纯试剂等产品开发。提升太阳能光伏组件用密封胶的性能,开发高导热性能热界面材料，高强度、耐腐蚀的结构粘接胶，以及高绝缘性、高耐温性的灌封胶等。</w:t>
            </w:r>
          </w:p>
          <w:p w14:paraId="63D541A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5.日用化学品。重点发展透明质酸、海藻酸盐、聚谷氨酸，以及植物提取产品等。开发无磷、无荧光剂、易降解和定制化洗涤用品，芳樟醇、柠檬醛、叶醇、二氢茉莉酮酸甲酯等大品种系列和杂环类香料，以及异构高碳醇/酸、异构高碳烷烃等高附加值功能化学品。</w:t>
            </w:r>
          </w:p>
        </w:tc>
      </w:tr>
    </w:tbl>
    <w:p w14:paraId="5D348AB4">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三、推进措施</w:t>
      </w:r>
    </w:p>
    <w:p w14:paraId="740E2DA3">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（一）着力强化技术创新突破。</w:t>
      </w:r>
    </w:p>
    <w:p w14:paraId="3886CD1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1.强化关键技术攻关。</w:t>
      </w:r>
      <w:r>
        <w:rPr>
          <w:rFonts w:hint="eastAsia" w:ascii="Times New Roman" w:hAnsi="Times New Roman" w:eastAsia="方正仿宋简体" w:cs="方正仿宋简体"/>
          <w:color w:val="000000"/>
          <w:sz w:val="32"/>
          <w:szCs w:val="32"/>
        </w:rPr>
        <w:t>定期梳理更新精细化工领域“卡脖子”技术和产品，强化企业创新主体作用，引导产业链龙头企业联合相关企业、高校、科研院所等组建创新联合体，采用“揭榜挂帅”“赛马机制”等方式开展协同创新，突破一批关键共性技术和产品。</w:t>
      </w:r>
    </w:p>
    <w:p w14:paraId="316460C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2.加强创新平台建设。</w:t>
      </w:r>
      <w:r>
        <w:rPr>
          <w:rFonts w:hint="eastAsia" w:ascii="Times New Roman" w:hAnsi="Times New Roman" w:eastAsia="方正仿宋简体" w:cs="方正仿宋简体"/>
          <w:color w:val="000000"/>
          <w:sz w:val="32"/>
          <w:szCs w:val="32"/>
        </w:rPr>
        <w:t>鼓励重点园区、重点企业、重点院所积极建设研发中心、实验室、产业孵化器等创新平台，支持建设精细化工领域国家重点实验室、国家技术创新中心、制造业创新中心等重大科技创新平台。加强产业、应急、环保等政策协同，健全中试项目管理，科学布局建设一批化工中试平台，积极开展关键工序和新工艺中试。</w:t>
      </w:r>
    </w:p>
    <w:p w14:paraId="47D8055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3.加快科研成果转化。</w:t>
      </w:r>
      <w:r>
        <w:rPr>
          <w:rFonts w:hint="eastAsia" w:ascii="Times New Roman" w:hAnsi="Times New Roman" w:eastAsia="方正仿宋简体" w:cs="方正仿宋简体"/>
          <w:color w:val="000000"/>
          <w:sz w:val="32"/>
          <w:szCs w:val="32"/>
        </w:rPr>
        <w:t>用好“山东科技大市场”“山东好成果”等资源，建立精细化工领域高校院所创新成果库和重点企业需求库，搭建常态化对接机制，定期举办产学研精准对接和新技术新产品推介会，促进创新成果落地达效。</w:t>
      </w:r>
    </w:p>
    <w:p w14:paraId="08E81AC6">
      <w:pPr>
        <w:keepNext/>
        <w:keepLines/>
        <w:widowControl/>
        <w:spacing w:after="0" w:line="240" w:lineRule="auto"/>
        <w:ind w:firstLine="643" w:firstLineChars="200"/>
        <w:jc w:val="left"/>
        <w:outlineLvl w:val="1"/>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（二）大力提升企业投资质效。</w:t>
      </w:r>
    </w:p>
    <w:p w14:paraId="55BC6F0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4.推动企业精准投资。</w:t>
      </w:r>
      <w:r>
        <w:rPr>
          <w:rFonts w:hint="eastAsia" w:ascii="Times New Roman" w:hAnsi="Times New Roman" w:eastAsia="方正仿宋简体" w:cs="方正仿宋简体"/>
          <w:color w:val="000000"/>
          <w:sz w:val="32"/>
          <w:szCs w:val="32"/>
        </w:rPr>
        <w:t>严格执行产业结构调整指导目录，加快发展鼓励类的化工技术和产品。抢抓大规模设备更新、数实融合赋能行动等政策机遇，统筹推进安全绿色智能化改造与产品结构提质升级。落实化工产业智能化标杆奖补政策，加快重点领域技术改造，提升企业发展水平。</w:t>
      </w:r>
    </w:p>
    <w:p w14:paraId="22D6DA6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5.开展“三品”提质行动。</w:t>
      </w:r>
      <w:r>
        <w:rPr>
          <w:rFonts w:hint="eastAsia" w:ascii="Times New Roman" w:hAnsi="Times New Roman" w:eastAsia="方正仿宋简体" w:cs="方正仿宋简体"/>
          <w:color w:val="000000"/>
          <w:sz w:val="32"/>
          <w:szCs w:val="32"/>
        </w:rPr>
        <w:t>推动日用化学品、涂料、染（颜）料、氟硅有机材料等具有比较优势的行业增品种、提品质、创品牌，加大在新型原料研发、特色产品创新、标准制定、改进营销模式等方面的推进力度。增强客户粘性，开发定制产品，提供个性化解决方案，接轨一线城市和国际市场。</w:t>
      </w:r>
    </w:p>
    <w:p w14:paraId="2E8886C2">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（三）持续加大重点企业培育。</w:t>
      </w:r>
    </w:p>
    <w:p w14:paraId="018AE057">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6.增强龙头企业带动能力。</w:t>
      </w:r>
      <w:r>
        <w:rPr>
          <w:rFonts w:hint="eastAsia" w:ascii="Times New Roman" w:hAnsi="Times New Roman" w:eastAsia="方正仿宋简体" w:cs="方正仿宋简体"/>
          <w:color w:val="000000"/>
          <w:sz w:val="32"/>
          <w:szCs w:val="32"/>
        </w:rPr>
        <w:t>深化“链长制”机制作用，引导领航企业对标世界一流提升价值创造力，增强资源配置和整合能力。支持龙头骨干企业向中小企业开放创新资源要素、协用产能资源，通过定向扶持、内部孵化、技术分享、数据联通、订单保障等方式，加速科技型中小企业孵化成长。</w:t>
      </w:r>
    </w:p>
    <w:p w14:paraId="7D8BE99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7.推进优质企业上市发展。</w:t>
      </w:r>
      <w:r>
        <w:rPr>
          <w:rFonts w:hint="eastAsia" w:ascii="Times New Roman" w:hAnsi="Times New Roman" w:eastAsia="方正仿宋简体" w:cs="方正仿宋简体"/>
          <w:color w:val="000000"/>
          <w:sz w:val="32"/>
          <w:szCs w:val="32"/>
        </w:rPr>
        <w:t>紧抓国家股票发行全面注册制改革机遇，建立山东化工上市企业后备资源库。围绕人才汇聚、并购重组、技术创新、拓展市场等方面，支持精细化工上市公司做强做优做大，加快培育一批单项冠军、专精特新、瞪羚企业和独角兽企业。</w:t>
      </w:r>
    </w:p>
    <w:p w14:paraId="2F732786">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（四）扎实推进产业布局优化。</w:t>
      </w:r>
    </w:p>
    <w:p w14:paraId="6B27A0B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8.加快化工企业进区入园。</w:t>
      </w:r>
      <w:r>
        <w:rPr>
          <w:rFonts w:hint="eastAsia" w:ascii="Times New Roman" w:hAnsi="Times New Roman" w:eastAsia="方正仿宋简体" w:cs="方正仿宋简体"/>
          <w:color w:val="000000"/>
          <w:sz w:val="32"/>
          <w:szCs w:val="32"/>
        </w:rPr>
        <w:t>坚持“培育主导产业、打造园区特色”，以化工园区特别是专业化工园区为主要载体，综合考虑资源禀赋、环境容量、运输半径、消费市场等因素，稳妥推进园区外精细化工生产企业转型升级、入园发展。鼓励各地调整优化本地精细化工产业发展布局，结合安全隐患整治、环境污染治理、节能降碳改造等任务，统筹协调推进。</w:t>
      </w:r>
    </w:p>
    <w:p w14:paraId="7063B65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9.推动园区企业聚链成群。</w:t>
      </w:r>
      <w:r>
        <w:rPr>
          <w:rFonts w:hint="eastAsia" w:ascii="Times New Roman" w:hAnsi="Times New Roman" w:eastAsia="方正仿宋简体" w:cs="方正仿宋简体"/>
          <w:color w:val="000000"/>
          <w:sz w:val="32"/>
          <w:szCs w:val="32"/>
        </w:rPr>
        <w:t>推进精细化工企业与上游的基础化工原料生产企业联合布局，促进产业协同耦合、资源循环利用、能源梯次利用；加强与下游的轻工、纺织、建材等行业对接融合，鼓励企业间长期战略合作，实现集群式联动和生态式发展，打造“雁阵形”集群。</w:t>
      </w:r>
    </w:p>
    <w:p w14:paraId="375E9F5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（五）切实提升安全绿色水平</w:t>
      </w:r>
      <w:r>
        <w:rPr>
          <w:rFonts w:hint="eastAsia" w:ascii="Times New Roman" w:hAnsi="Times New Roman" w:eastAsia="方正仿宋简体" w:cs="方正仿宋简体"/>
          <w:color w:val="000000"/>
          <w:sz w:val="32"/>
          <w:szCs w:val="32"/>
        </w:rPr>
        <w:t>。</w:t>
      </w:r>
    </w:p>
    <w:p w14:paraId="035456A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10.提升本质安全水平。</w:t>
      </w:r>
      <w:r>
        <w:rPr>
          <w:rFonts w:hint="eastAsia" w:ascii="Times New Roman" w:hAnsi="Times New Roman" w:eastAsia="方正仿宋简体" w:cs="方正仿宋简体"/>
          <w:color w:val="000000"/>
          <w:sz w:val="32"/>
          <w:szCs w:val="32"/>
        </w:rPr>
        <w:t>推动开发应用一批本质安全共性技术和成套装备。鼓励精细化工企业对标行业标杆，加快老旧生产设备更新，推进控制室防爆抗爆改造、落后危险化学品安全生产设备低风险替代、危险工艺全流程自动化改造，提升关键环节数字化水平，提高装置运行效率和精益化服务能力。</w:t>
      </w:r>
    </w:p>
    <w:p w14:paraId="6C4180E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11.推进绿色低碳发展。</w:t>
      </w:r>
      <w:r>
        <w:rPr>
          <w:rFonts w:hint="eastAsia" w:ascii="Times New Roman" w:hAnsi="Times New Roman" w:eastAsia="方正仿宋简体" w:cs="方正仿宋简体"/>
          <w:color w:val="000000"/>
          <w:sz w:val="32"/>
          <w:szCs w:val="32"/>
        </w:rPr>
        <w:t>强化项目科学化、精准化管理，新建项目满足环保绩效A级指标要求。加快绿色工艺、绿色产品以及先进共性技术在传统化工工艺和装置中的推广应用，引导企业积极参加绿色石化工艺、绿色工厂、绿色产品和绿色供应链认定。引导绿色工厂对标国际先进水平改造升级，建设一批“超级能效”和“零碳”精细化工企业。</w:t>
      </w:r>
    </w:p>
    <w:p w14:paraId="3E8D8A21">
      <w:pPr>
        <w:keepNext/>
        <w:keepLines/>
        <w:widowControl/>
        <w:spacing w:after="0" w:line="240" w:lineRule="auto"/>
        <w:ind w:firstLine="643" w:firstLineChars="200"/>
        <w:jc w:val="left"/>
        <w:outlineLvl w:val="1"/>
        <w:rPr>
          <w:rFonts w:ascii="Times New Roman" w:hAnsi="Times New Roman" w:eastAsia="方正楷体简字" w:cs="Times New Roman"/>
          <w:b/>
          <w:kern w:val="0"/>
          <w:sz w:val="32"/>
        </w:rPr>
      </w:pPr>
      <w:r>
        <w:rPr>
          <w:rFonts w:hint="eastAsia" w:ascii="Times New Roman" w:hAnsi="Times New Roman" w:eastAsia="方正楷体简字" w:cs="Times New Roman"/>
          <w:b/>
          <w:kern w:val="0"/>
          <w:sz w:val="32"/>
        </w:rPr>
        <w:t>（六）不断改善产业发展环境。</w:t>
      </w:r>
    </w:p>
    <w:p w14:paraId="6C3A6DB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12.加大人才引育力度。</w:t>
      </w:r>
      <w:r>
        <w:rPr>
          <w:rFonts w:hint="eastAsia" w:ascii="Times New Roman" w:hAnsi="Times New Roman" w:eastAsia="方正仿宋简体" w:cs="方正仿宋简体"/>
          <w:color w:val="000000"/>
          <w:sz w:val="32"/>
          <w:szCs w:val="32"/>
        </w:rPr>
        <w:t>紧跟学科交叉、跨界融合、技术集成等新阶段创新趋势，瞄准新兴领域和关键材料开发，积极引进国外精细化工领域高层次人才，打造专业化、国际化的研发团队。适应精细化工产品营销模式转型，在工程设计、项目建设、生产运行和市场营销等方面培养前瞻性人才。引导高校加强精细化工领域学科建设，深化产教融合、协同育人。</w:t>
      </w:r>
    </w:p>
    <w:p w14:paraId="303F7C6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Times New Roman"/>
          <w:b/>
          <w:kern w:val="0"/>
          <w:sz w:val="32"/>
        </w:rPr>
        <w:t>13.深入推动开放合作。</w:t>
      </w:r>
      <w:r>
        <w:rPr>
          <w:rFonts w:hint="eastAsia" w:ascii="Times New Roman" w:hAnsi="Times New Roman" w:eastAsia="方正仿宋简体" w:cs="方正仿宋简体"/>
          <w:color w:val="000000"/>
          <w:sz w:val="32"/>
          <w:szCs w:val="32"/>
        </w:rPr>
        <w:t>统筹开放和安全，践行国际科技合作倡议，支持企业用好“一带一路”、RCEP、上合组织、金砖国家等合作发展机遇，引进先进技术，“出海”拓展市场，加强全球产业链供应链合作，提高要素资源统筹配置能力。扎实组织融链固链专项活动，支持精细化工企业积极参会、推介融合，增强企业发展活力。</w:t>
      </w:r>
    </w:p>
    <w:p w14:paraId="6096621C">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四、组织保障</w:t>
      </w:r>
    </w:p>
    <w:p w14:paraId="3078FCD0">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（一）加强统筹协调。</w:t>
      </w:r>
      <w:r>
        <w:rPr>
          <w:rFonts w:hint="eastAsia" w:ascii="Times New Roman" w:hAnsi="Times New Roman" w:eastAsia="方正仿宋简体" w:cs="方正仿宋简体"/>
          <w:color w:val="000000"/>
          <w:sz w:val="32"/>
          <w:szCs w:val="32"/>
        </w:rPr>
        <w:t>把精细化工产业纳入省高端化工产业专班和“链长制”工作运行机制，强化统筹指导，及时调度进展情况，协调解决工作推进中的困难和问题。加强省、市、县、化工园区整体联动，引导地方结合自身产业基础、资源禀赋和市场空间，构筑高效绿色、安全融合的精细化工产业体系。</w:t>
      </w:r>
    </w:p>
    <w:p w14:paraId="10825D4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（二）加大政策支持。</w:t>
      </w:r>
      <w:r>
        <w:rPr>
          <w:rFonts w:hint="eastAsia" w:ascii="Times New Roman" w:hAnsi="Times New Roman" w:eastAsia="方正仿宋简体" w:cs="方正仿宋简体"/>
          <w:color w:val="000000"/>
          <w:sz w:val="32"/>
          <w:szCs w:val="32"/>
        </w:rPr>
        <w:t>加强财政资金的引导作用，统筹落实技术改造设备更新、高耗能产业结构调整、人口密集区危化品企业搬迁改造等奖补政策，激发精细化工产业发展动力。聚焦精细化工优势领域开展“好品山东”品牌认证，优先推荐申报省级新材料首批次认定，支持创新产品推广应用。优化政府绿色采购政策，促进绿色精细化工发展。落实土地、环保、安全生产、节能等政策，稳妥有序推进化工企业进区入园。</w:t>
      </w:r>
    </w:p>
    <w:p w14:paraId="0D0136C8">
      <w:pPr>
        <w:snapToGrid w:val="0"/>
        <w:spacing w:after="0" w:line="570" w:lineRule="exact"/>
        <w:ind w:firstLine="620"/>
        <w:jc w:val="both"/>
        <w:rPr>
          <w:rFonts w:hint="eastAsia" w:ascii="Times New Roman" w:hAnsi="Times New Roman" w:eastAsia="方正小标宋简体" w:cs="方正小标宋简体"/>
          <w:sz w:val="44"/>
          <w:szCs w:val="44"/>
        </w:rPr>
      </w:pPr>
      <w:r>
        <w:rPr>
          <w:rFonts w:hint="eastAsia" w:ascii="Times New Roman" w:hAnsi="Times New Roman" w:eastAsia="方正楷体简字" w:cs="Times New Roman"/>
          <w:b/>
          <w:kern w:val="0"/>
          <w:sz w:val="32"/>
        </w:rPr>
        <w:t>（三）提升服务水平。</w:t>
      </w:r>
      <w:r>
        <w:rPr>
          <w:rFonts w:hint="eastAsia" w:ascii="Times New Roman" w:hAnsi="Times New Roman" w:eastAsia="方正仿宋简体" w:cs="方正仿宋简体"/>
          <w:color w:val="000000"/>
          <w:sz w:val="32"/>
          <w:szCs w:val="32"/>
        </w:rPr>
        <w:t>建立精细化工产业统计指标体系，加强行业运行监测分析。围绕工艺技术绿色化智能化、产品性能专用化高端化、技术创新融合化集成化，遴选一批重点企业和项目，符合要求的优先列入省级重点项目。充分发挥行业协会和中介组织的桥梁纽带作用，在信息交流、行业自律、人才培训、咨询研究、维护企业权益等方面积极开展工作，合力促进精细化工产业高质量发展。</w:t>
      </w:r>
    </w:p>
    <w:p w14:paraId="7E651389">
      <w:pPr>
        <w:widowControl/>
        <w:shd w:val="clear" w:color="auto" w:fill="FFFFFF"/>
        <w:spacing w:after="0" w:line="240" w:lineRule="auto"/>
        <w:jc w:val="center"/>
        <w:rPr>
          <w:rFonts w:hint="eastAsia" w:ascii="Times New Roman" w:hAnsi="Times New Roman" w:eastAsia="方正小标宋简体" w:cs="方正小标宋简体"/>
          <w:sz w:val="44"/>
          <w:szCs w:val="44"/>
        </w:rPr>
        <w:sectPr>
          <w:pgSz w:w="11906" w:h="16838"/>
          <w:pgMar w:top="1120" w:right="1449" w:bottom="1960" w:left="1542" w:header="708" w:footer="1080" w:gutter="0"/>
          <w:pgNumType w:fmt="decimal"/>
          <w:cols w:space="720" w:num="1"/>
        </w:sectPr>
      </w:pPr>
    </w:p>
    <w:p w14:paraId="23659703">
      <w:pPr>
        <w:widowControl/>
        <w:shd w:val="clear" w:color="auto" w:fill="FFFFFF"/>
        <w:spacing w:after="0" w:line="240" w:lineRule="auto"/>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山东省人民政府办公厅印发《关于推动传统产业优化升级培育发展新质生产力的实施方案》的通知</w:t>
      </w:r>
    </w:p>
    <w:p w14:paraId="1EEABB8F">
      <w:pPr>
        <w:spacing w:after="0" w:line="240" w:lineRule="auto"/>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各市人民政府，各县（市、区）人民政府，省政府各部门、各直属机构，各大企业，各高等院校：</w:t>
      </w:r>
    </w:p>
    <w:p w14:paraId="5A8535F0">
      <w:pPr>
        <w:spacing w:after="0" w:line="240" w:lineRule="auto"/>
        <w:jc w:val="both"/>
        <w:rPr>
          <w:rFonts w:hint="eastAsia" w:ascii="Times New Roman" w:hAnsi="Times New Roman" w:eastAsia="方正仿宋简体" w:cs="方正仿宋简体"/>
          <w:color w:val="000000"/>
          <w:sz w:val="32"/>
          <w:szCs w:val="32"/>
        </w:rPr>
      </w:pPr>
    </w:p>
    <w:p w14:paraId="3673FE23">
      <w:pPr>
        <w:spacing w:after="0" w:line="240" w:lineRule="auto"/>
        <w:ind w:firstLine="7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《关于推动传统产业优化升级培育发展新质生产力的实施方案》已经省委、省政府同意，现印发给你们，请认真贯彻执行。</w:t>
      </w:r>
    </w:p>
    <w:p w14:paraId="327D67F0">
      <w:pPr>
        <w:widowControl/>
        <w:shd w:val="clear" w:color="auto" w:fill="FFFFFF"/>
        <w:spacing w:after="0" w:line="240" w:lineRule="auto"/>
        <w:ind w:firstLine="420"/>
        <w:jc w:val="left"/>
        <w:rPr>
          <w:rFonts w:hint="eastAsia" w:ascii="Times New Roman" w:hAnsi="Times New Roman" w:eastAsia="微软雅黑" w:cs="微软雅黑"/>
          <w:color w:val="333333"/>
          <w:kern w:val="0"/>
          <w:sz w:val="19"/>
          <w:szCs w:val="19"/>
        </w:rPr>
      </w:pPr>
    </w:p>
    <w:p w14:paraId="20318F7E">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山东省人民政府办公厅</w:t>
      </w:r>
    </w:p>
    <w:p w14:paraId="771F13D0">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7C579253">
      <w:pPr>
        <w:tabs>
          <w:tab w:val="left" w:pos="2348"/>
        </w:tabs>
        <w:spacing w:after="0" w:line="240" w:lineRule="auto"/>
        <w:jc w:val="right"/>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2024年12月4日</w:t>
      </w:r>
    </w:p>
    <w:p w14:paraId="55791246">
      <w:pPr>
        <w:tabs>
          <w:tab w:val="left" w:pos="2348"/>
        </w:tabs>
        <w:spacing w:after="0" w:line="240" w:lineRule="auto"/>
        <w:jc w:val="right"/>
        <w:rPr>
          <w:rFonts w:hint="eastAsia" w:ascii="Times New Roman" w:hAnsi="Times New Roman" w:eastAsia="方正仿宋简体" w:cs="方正仿宋简体"/>
          <w:color w:val="000000"/>
          <w:sz w:val="32"/>
          <w:szCs w:val="32"/>
        </w:rPr>
      </w:pPr>
    </w:p>
    <w:p w14:paraId="452EC654">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关于推动传统产业优化升级</w:t>
      </w:r>
    </w:p>
    <w:p w14:paraId="6AE15D4A">
      <w:pPr>
        <w:snapToGrid w:val="0"/>
        <w:spacing w:after="0"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培育发展新质生产力的实施方案</w:t>
      </w:r>
    </w:p>
    <w:p w14:paraId="4385152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为进一步优化提升传统产业，促进产业深度转型升级，加快向产业链价值链高端跃升，培育发展新质生产力，制定本实施方案。</w:t>
      </w:r>
    </w:p>
    <w:p w14:paraId="33104963">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一、总体目标</w:t>
      </w:r>
    </w:p>
    <w:p w14:paraId="3F39F8F2">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聚焦石化、钢铁、有色、建材、机械、船舶、汽车、轻工、纺织、医药、矿产、煤电、种植养殖、交通运输等14个传统产业重点领域，协同推进重大生产力布局优化、前沿技术工艺赋能应用、数字化低碳化转型、标准质量引领提升，大幅提高先进产能占比和全要素生产率，有效释放传统产业蕴含的新质生产力，形成绿色低碳高质量发展新动能新优势。</w:t>
      </w:r>
    </w:p>
    <w:p w14:paraId="348CF0E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仿宋简体" w:cs="方正仿宋简体"/>
          <w:color w:val="000000"/>
          <w:sz w:val="32"/>
          <w:szCs w:val="32"/>
        </w:rPr>
        <w:t>到2027年，传统产业加速转型升级，产业基础高级化和产业链现代化水平明显提升，产业竞争力和品牌影响力显著增强。产业链韧性不断提升，重点行业先进产能占比超过60%。智能化改造增效赋能，“智能制造”“智慧农业”“智慧能源”“智慧交通”纵深推进，规模以上工业企业关键工序数控化率超过75%，企业生产效率、两化融合发展水平明显提升，新产业、新模式、新业态蓬勃涌现。绿色化转型全面提速，节能降碳改造深入推进，绿色制造体系不断完善，绿色产品供给能力大幅提升，绿色生产力发展取得显著成效。集群化发展优势凸显，产业链上下游协同创新、大中小企业融通发展，打造形成世界级先进钢铁、高端石化、先进铝业、现代轻工纺织产业基地。</w:t>
      </w:r>
    </w:p>
    <w:p w14:paraId="65104C44">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二、增强产业高端供给能力</w:t>
      </w:r>
    </w:p>
    <w:p w14:paraId="76EDEC8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（一）加强关键共性技术攻关及推广应用。</w:t>
      </w:r>
      <w:r>
        <w:rPr>
          <w:rFonts w:hint="eastAsia" w:ascii="Times New Roman" w:hAnsi="Times New Roman" w:eastAsia="方正仿宋简体" w:cs="方正仿宋简体"/>
          <w:color w:val="000000"/>
          <w:sz w:val="32"/>
          <w:szCs w:val="32"/>
        </w:rPr>
        <w:t>鼓励企业与高校院所共建高能级创新平台，组织开展高效生产技术、节能环保技术、重大质量技术等关键共性技术研发及示范应用。常态化发布“山东好成果”，开展专利转化专项行动，支持建设技术集成、熟化和工程化的中试和应用验证平台，推动科技成果挂牌交易稳步提升。（责任单位：省科技厅、省发展改革委、省工业和信息化厅、省市场监管局，列第一位的为牵头单位，下同。）</w:t>
      </w:r>
    </w:p>
    <w:p w14:paraId="3D2A1E2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（二）实施产业基础再造。</w:t>
      </w:r>
      <w:r>
        <w:rPr>
          <w:rFonts w:hint="eastAsia" w:ascii="Times New Roman" w:hAnsi="Times New Roman" w:eastAsia="方正仿宋简体" w:cs="方正仿宋简体"/>
          <w:color w:val="000000"/>
          <w:sz w:val="32"/>
          <w:szCs w:val="32"/>
        </w:rPr>
        <w:t>聚焦产业链短板弱项，组织上下游企业、高校院所开展协同创新，建设一批产业基础共性技术中心，攻克一批产业基础再造关键核心技术。强化需求牵引和场景应用，促进整机（系统）和基础产品技术互动发展，扩大创新产品应用市场。建立产业链供应链安全风险评估、应对救济机制，强化产业链关键环节产能储备和备份，支持企业积极融入国家重点产业链体系。完善战略性矿产资源探产供储销统筹和衔接体系，深入推进新一轮找矿突破战略行动。到2027年，每年谋划实施一批产业链高质量发展重大项目，新推广首台（套）装备、首批次材料、首版次软件600项以上。（责任单位：省发展改革委、省工业和信息化厅、省科技厅、省自然资源厅）</w:t>
      </w:r>
    </w:p>
    <w:p w14:paraId="23791BC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（三）加快产品迭代升级。</w:t>
      </w:r>
      <w:r>
        <w:rPr>
          <w:rFonts w:hint="eastAsia" w:ascii="Times New Roman" w:hAnsi="Times New Roman" w:eastAsia="方正仿宋简体" w:cs="方正仿宋简体"/>
          <w:color w:val="000000"/>
          <w:sz w:val="32"/>
          <w:szCs w:val="32"/>
        </w:rPr>
        <w:t>支持企业建设工业设计中心，大力发展智能化产品、个性化定制等新产品、新模式、新业态，增强对产业链关键节点的掌控力。引导企业聚焦消费升级需求，围绕金属材料、智能装备、优质种质、特色农业等领域，提升高端产品占比。到2027年，省级以上工业设计中心达到800家左右。（责任单位：省工业和信息化厅、省发展改革委、省农业农村厅、省畜牧局）</w:t>
      </w:r>
    </w:p>
    <w:p w14:paraId="1C19F1F1">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三、强化数智技术赋能</w:t>
      </w:r>
    </w:p>
    <w:p w14:paraId="23C15C74">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（四）加快数字化改造。</w:t>
      </w:r>
      <w:r>
        <w:rPr>
          <w:rFonts w:hint="eastAsia" w:ascii="Times New Roman" w:hAnsi="Times New Roman" w:eastAsia="方正仿宋简体" w:cs="方正仿宋简体"/>
          <w:color w:val="000000"/>
          <w:sz w:val="32"/>
          <w:szCs w:val="32"/>
        </w:rPr>
        <w:t>实施制造业数字化转型提标行动，高标准建设国家中小企业数字化转型促进中心，推进高标准数字园区建设。实施数字农业突破行动，拓展物联网、大数据、遥感技术应用深度，提升农业农村综合管理数字化水平。到2027年，规模以上工业企业、矿山作业数字化转型实现全覆盖，建好100家数字园区，形成500个数字化转型解决方案。（责任单位：省工业和信息化厅、省农业农村厅、省大数据局）</w:t>
      </w:r>
    </w:p>
    <w:p w14:paraId="13E190DF">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（五）推进智能化升级。</w:t>
      </w:r>
      <w:r>
        <w:rPr>
          <w:rFonts w:hint="eastAsia" w:ascii="Times New Roman" w:hAnsi="Times New Roman" w:eastAsia="方正仿宋简体" w:cs="方正仿宋简体"/>
          <w:color w:val="000000"/>
          <w:sz w:val="32"/>
          <w:szCs w:val="32"/>
        </w:rPr>
        <w:t>加强人工智能、大数据、云计算等关键技术装备开发应用，推动重点制造业行业大规模应用自动化、智能化设备，打造一批智能制造典型场景。深化海洋传统产业数字赋能，大力发展智能海工装备、智慧港口、智慧海洋文旅等，高水平建设“智慧海上粮仓”。加快智慧农业建设，大力发展智能温室、智慧渔场、精准农业、智能农机，建立农产品智能溯源系统。加强数字交通基础设施建设，打造一批智慧交通应用场景。推动矿山行业采掘、运输、安全保障各环节智慧化改造，建设一批智慧矿山。到2027年，建成50家以上国家级智能工厂、70个左右省级“产业大脑”、1000个以上智慧农业应用基地。（责任单位：省工业和信息化厅、省发展改革委、省农业农村厅）</w:t>
      </w:r>
    </w:p>
    <w:p w14:paraId="00C9231D">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（六）加强网络化协同。</w:t>
      </w:r>
      <w:r>
        <w:rPr>
          <w:rFonts w:hint="eastAsia" w:ascii="Times New Roman" w:hAnsi="Times New Roman" w:eastAsia="方正仿宋简体" w:cs="方正仿宋简体"/>
          <w:color w:val="000000"/>
          <w:sz w:val="32"/>
          <w:szCs w:val="32"/>
        </w:rPr>
        <w:t>完善5G、千兆光网、移动物联网等网络覆盖，提升数据中心、智算中心等算力供给能力。健全工业互联网平台培优机制，提升平台服务能力、扩大服务量级，推动工业互联网规模化应用。（责任单位：省工业和信息化厅、省大数据局、省通信管理局）</w:t>
      </w:r>
    </w:p>
    <w:p w14:paraId="5BE2102B">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四、加快绿色低碳转型</w:t>
      </w:r>
    </w:p>
    <w:p w14:paraId="176200E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（七）加强绿色技术创新和应用推广。</w:t>
      </w:r>
      <w:r>
        <w:rPr>
          <w:rFonts w:hint="eastAsia" w:ascii="Times New Roman" w:hAnsi="Times New Roman" w:eastAsia="方正仿宋简体" w:cs="方正仿宋简体"/>
          <w:color w:val="000000"/>
          <w:sz w:val="32"/>
          <w:szCs w:val="32"/>
        </w:rPr>
        <w:t>加大绿色低碳先进技术攻关力度，到2027年每年发布100项左右绿色低碳技术成果目录。支持碳捕集封存技术在石化、钢铁、建材等高碳排放行业示范推广，加大二氧化碳在油气开采、大棚种植、高端化工品转化等领域的应用力度。（责任单位：省科技厅、省发展改革委、省工业和信息化厅）</w:t>
      </w:r>
    </w:p>
    <w:p w14:paraId="75A24B7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（八）推进工业领域节能降碳。</w:t>
      </w:r>
      <w:r>
        <w:rPr>
          <w:rFonts w:hint="eastAsia" w:ascii="Times New Roman" w:hAnsi="Times New Roman" w:eastAsia="方正仿宋简体" w:cs="方正仿宋简体"/>
          <w:color w:val="000000"/>
          <w:sz w:val="32"/>
          <w:szCs w:val="32"/>
        </w:rPr>
        <w:t>深入实施工业领域碳达峰工程，引导企业开展设备更新、工艺升级、流程优化。实施高耗能、高排放项目精准管理，加快推进钢铁、焦化、水泥行业超低排放改造，推进煤电机组三改联动，提升重点行业绿电消费比例，发展电炉短流程炼钢、氢冶金。“十四五”期间规模以上工业单位增加值能耗下降17%左右，到2027年，规模以上工业单位增加值二氧化碳排放下降幅度好于全社会平均下降幅度。（责任单位：省发展改革委、省工业和信息化厅、省生态环境厅、省能源局）</w:t>
      </w:r>
    </w:p>
    <w:p w14:paraId="75F7D59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（九）推动资源高效循环利用。</w:t>
      </w:r>
      <w:r>
        <w:rPr>
          <w:rFonts w:hint="eastAsia" w:ascii="Times New Roman" w:hAnsi="Times New Roman" w:eastAsia="方正仿宋简体" w:cs="方正仿宋简体"/>
          <w:color w:val="000000"/>
          <w:sz w:val="32"/>
          <w:szCs w:val="32"/>
        </w:rPr>
        <w:t>推进尾矿、粉煤灰、秸秆等废弃物回收利用，加强废有色金属、废旧动力电池、废旧家电、废旧纺织品等再生资源高值化循环利用，提升工业废水循环利用、余热余压综合利用水平。到2027年，培育一批省级工业资源综合利用试点基地（园区），全省工业固体废物（赤泥除外）综合利用率达到90%以上。（责任单位：省发展改革委、省工业和信息化厅、省生态环境厅、省住房城乡建设厅、省农业农村厅）</w:t>
      </w:r>
    </w:p>
    <w:p w14:paraId="4B5EAD7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（十）构建绿色生产服务体系。</w:t>
      </w:r>
      <w:r>
        <w:rPr>
          <w:rFonts w:hint="eastAsia" w:ascii="Times New Roman" w:hAnsi="Times New Roman" w:eastAsia="方正仿宋简体" w:cs="方正仿宋简体"/>
          <w:color w:val="000000"/>
          <w:sz w:val="32"/>
          <w:szCs w:val="32"/>
        </w:rPr>
        <w:t>完善绿色制造体系，建设绿色工厂、绿色工业园区、绿色供应链管理企业，到2027年，建成省级以上绿色工厂800家、绿色工业园区80个、绿色供应链管理企业200家以上。发展绿色农业，实施化肥减量增效、病虫害绿色防控、水产绿色健康养殖、畜禽粪污资源化利用等技术推广行动。推进绿色物流，在煤电、钢铁等行业和物流园区推广新能源中重型货车，推动工程机械新能源更新改造，发展新能源和清洁能源船舶。（责任单位：省发展改革委、省工业和信息化厅、省交通运输厅、省农业农村厅、省市场监管局、省畜牧局）</w:t>
      </w:r>
    </w:p>
    <w:p w14:paraId="15A0D7B6">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五、提升集聚集约水平</w:t>
      </w:r>
    </w:p>
    <w:p w14:paraId="06EA3B0C">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（十一）优化重大生产力布局。</w:t>
      </w:r>
      <w:r>
        <w:rPr>
          <w:rFonts w:hint="eastAsia" w:ascii="Times New Roman" w:hAnsi="Times New Roman" w:eastAsia="方正仿宋简体" w:cs="方正仿宋简体"/>
          <w:color w:val="000000"/>
          <w:sz w:val="32"/>
          <w:szCs w:val="32"/>
        </w:rPr>
        <w:t>坚持省级统筹、错位发展，推动优势主导产业区域集聚、主体集中。加快推进钢铁产能沿海转移，集中做强日—临沿海钢铁基地，打造2家两千万吨级钢铁企业。加快推进重大石化项目建设，布局形成“一基地、两集群”石化产业发展格局，打造5家以上规模过千亿元的化工企业。加快汽车产业电动化转型，加大适销车型导入布局力度，集中打造济南、青岛两大国内一流的汽车产业基地。（责任单位：省发展改革委、省工业和信息化厅）</w:t>
      </w:r>
    </w:p>
    <w:p w14:paraId="7FE058F1">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（十二）培育优势产业集群。</w:t>
      </w:r>
      <w:r>
        <w:rPr>
          <w:rFonts w:hint="eastAsia" w:ascii="Times New Roman" w:hAnsi="Times New Roman" w:eastAsia="方正仿宋简体" w:cs="方正仿宋简体"/>
          <w:color w:val="000000"/>
          <w:sz w:val="32"/>
          <w:szCs w:val="32"/>
        </w:rPr>
        <w:t>梯次推进先进制造业集群、中小企业特色产业集群、雁阵形产业集群培育，争创一批国家级先进制造业集群。支持地理相邻、产业相关地区联合培育产业集群，防止盲目布点和低水平重复建设。到2027年，打造30个先进制造业集群、45个头雁领航产业集群、150个中小企业特色产业集群。（责任单位：省工业和信息化厅、省发展改革委）</w:t>
      </w:r>
    </w:p>
    <w:p w14:paraId="2419161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（十三）提升产业园区能级水平。</w:t>
      </w:r>
      <w:r>
        <w:rPr>
          <w:rFonts w:hint="eastAsia" w:ascii="Times New Roman" w:hAnsi="Times New Roman" w:eastAsia="方正仿宋简体" w:cs="方正仿宋简体"/>
          <w:color w:val="000000"/>
          <w:sz w:val="32"/>
          <w:szCs w:val="32"/>
        </w:rPr>
        <w:t>深化开发区管理制度改革，有序推动开发区扩区增容，明确产业园区发展定位，每个园区培育1—2个主导产业集群。推进化工园区整治提升和集聚发展，力争到2027年，化工企业入园率达到60%以上。做大做强济南新旧动能转换起步区、济青烟国际招商产业园，精准引进更多具有支撑性、引领性的高端产业项目。（责任单位：省发展改革委、省科技厅、省工业和信息化厅、省商务厅）</w:t>
      </w:r>
    </w:p>
    <w:p w14:paraId="3CC42E43">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六、持续深化产业融合互促</w:t>
      </w:r>
    </w:p>
    <w:p w14:paraId="2F385FC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（十四）推动产业链融通发展。</w:t>
      </w:r>
      <w:r>
        <w:rPr>
          <w:rFonts w:hint="eastAsia" w:ascii="Times New Roman" w:hAnsi="Times New Roman" w:eastAsia="方正仿宋简体" w:cs="方正仿宋简体"/>
          <w:color w:val="000000"/>
          <w:sz w:val="32"/>
          <w:szCs w:val="32"/>
        </w:rPr>
        <w:t>深入实施标志性产业链工程、质量强链行动，支持“链主”企业建立供应链管理服务中心，推动中小企业卡位入链，推动供应链标准化、智能化、协同化发展；鼓励产业链上下游企业合作，搭建技术研发、检验检测、标准制定等公共服务平台，推动大中小企业融合共生。力争到2027年，每年新培育“专精特新”企业1000家、国家级单项冠军企业40家。（责任单位：省工业和信息化厅、省发展改革委、省市场监管局）</w:t>
      </w:r>
    </w:p>
    <w:p w14:paraId="5579910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（十五）促进行业耦合发展。</w:t>
      </w:r>
      <w:r>
        <w:rPr>
          <w:rFonts w:hint="eastAsia" w:ascii="Times New Roman" w:hAnsi="Times New Roman" w:eastAsia="方正仿宋简体" w:cs="方正仿宋简体"/>
          <w:color w:val="000000"/>
          <w:sz w:val="32"/>
          <w:szCs w:val="32"/>
        </w:rPr>
        <w:t>推动有色、建材、煤电等产业互为供需、循环衔接，探索炼化集成、资源协同利用、生产装置互联互通等新模式，打造一批钢化联产、钢焦化氢示范项目。面向机械、汽车、船舶等行业关键环节，到2027年布局建设10家左右铸锻中心，打造区域性共享制造平台。搭建跨行业交流对接平台，支持企业开展技术产品跨行业交叉应用。（责任单位：省工业和信息化厅、省发展改革委）</w:t>
      </w:r>
    </w:p>
    <w:p w14:paraId="24E2AF28">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（十六）推动三产深度融合。</w:t>
      </w:r>
      <w:r>
        <w:rPr>
          <w:rFonts w:hint="eastAsia" w:ascii="Times New Roman" w:hAnsi="Times New Roman" w:eastAsia="方正仿宋简体" w:cs="方正仿宋简体"/>
          <w:color w:val="000000"/>
          <w:sz w:val="32"/>
          <w:szCs w:val="32"/>
        </w:rPr>
        <w:t>积极发展服务型制造，引导工业企业发展定制化服务、供应链管理、全生命周期管理等新业态新模式。扩大先进制造业和现代服务业融合发展试点，培育形成120家融合发展典型。鼓励工业企业向农业领域延伸产业链，推动设施农业、农产品加工、预制菜产业发展。（责任单位：省发展改革委、省工业和信息化厅、省农业农村厅、省畜牧局）</w:t>
      </w:r>
    </w:p>
    <w:p w14:paraId="33DA8791">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七、促进产业提标提质提效</w:t>
      </w:r>
    </w:p>
    <w:p w14:paraId="5221E4B3">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（十七）加强行业标准化建设。</w:t>
      </w:r>
      <w:r>
        <w:rPr>
          <w:rFonts w:hint="eastAsia" w:ascii="Times New Roman" w:hAnsi="Times New Roman" w:eastAsia="方正仿宋简体" w:cs="方正仿宋简体"/>
          <w:color w:val="000000"/>
          <w:sz w:val="32"/>
          <w:szCs w:val="32"/>
        </w:rPr>
        <w:t>加快推进建材、机械、纺织等重点领域标准研制，发布技术、工艺、装备、产品等先进标准，到2027年，参与制修订国家标准100项左右。加强工业企业节能降碳减污、再生原料产品循环利用等标准研制，加快碳计量中心建设，大力推广节能产品等间接涉碳类认证，到2027年，探索开展300家企业碳足迹认证试点。（责任单位：省市场监管局、省工业和信息化厅、省生态环境厅）</w:t>
      </w:r>
    </w:p>
    <w:p w14:paraId="748E8FCE">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（十八）开展质量提升行动。</w:t>
      </w:r>
      <w:r>
        <w:rPr>
          <w:rFonts w:hint="eastAsia" w:ascii="Times New Roman" w:hAnsi="Times New Roman" w:eastAsia="方正仿宋简体" w:cs="方正仿宋简体"/>
          <w:color w:val="000000"/>
          <w:sz w:val="32"/>
          <w:szCs w:val="32"/>
        </w:rPr>
        <w:t>实施制造业卓越质量工程，加强研发设计、生产制造、检验检测等过程识别验证，培育建设一批产业计量测试中心、工业产品质量控制技术评价和质量检测实验室。到2027年，创建70项左右国家制造业质量标杆，建设质量基础设施“一站式”服务平台150个以上。（责任单位：省市场监管局、省工业和信息化厅）</w:t>
      </w:r>
    </w:p>
    <w:p w14:paraId="5E3A25E6">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（十九）加快塑强品牌优势。</w:t>
      </w:r>
      <w:r>
        <w:rPr>
          <w:rFonts w:hint="eastAsia" w:ascii="Times New Roman" w:hAnsi="Times New Roman" w:eastAsia="方正仿宋简体" w:cs="方正仿宋简体"/>
          <w:color w:val="000000"/>
          <w:sz w:val="32"/>
          <w:szCs w:val="32"/>
        </w:rPr>
        <w:t>加强品牌保护，严厉打击商标侵权等违法行为。深入实施品牌强省战略，开展制造业、农业、服务业等高端品牌培育，支持企业建设品牌专业化服务平台、开展国际化品牌建设。持续推进“泰山品质”认证，每年推介100项左右“山东制造·齐鲁精品”。（责任单位：省市场监管局、省工业和信息化厅、省农业农村厅）</w:t>
      </w:r>
    </w:p>
    <w:p w14:paraId="417A076B">
      <w:pPr>
        <w:keepNext/>
        <w:keepLines/>
        <w:widowControl/>
        <w:spacing w:after="0" w:line="240" w:lineRule="auto"/>
        <w:ind w:firstLine="640" w:firstLineChars="200"/>
        <w:jc w:val="left"/>
        <w:outlineLvl w:val="0"/>
        <w:rPr>
          <w:rFonts w:ascii="Times New Roman" w:hAnsi="Times New Roman" w:eastAsia="方正黑体简体" w:cs="Times New Roman"/>
          <w:kern w:val="44"/>
          <w:sz w:val="32"/>
        </w:rPr>
      </w:pPr>
      <w:r>
        <w:rPr>
          <w:rFonts w:hint="eastAsia" w:ascii="Times New Roman" w:hAnsi="Times New Roman" w:eastAsia="方正黑体简体" w:cs="Times New Roman"/>
          <w:kern w:val="44"/>
          <w:sz w:val="32"/>
        </w:rPr>
        <w:t>八、保障措施</w:t>
      </w:r>
    </w:p>
    <w:p w14:paraId="2FCB1899">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（二十）强化推进落实。</w:t>
      </w:r>
      <w:r>
        <w:rPr>
          <w:rFonts w:hint="eastAsia" w:ascii="Times New Roman" w:hAnsi="Times New Roman" w:eastAsia="方正仿宋简体" w:cs="方正仿宋简体"/>
          <w:color w:val="000000"/>
          <w:sz w:val="32"/>
          <w:szCs w:val="32"/>
        </w:rPr>
        <w:t>各部门严格按照任务分工，细化政策措施，形成工作合力。各市落实主体责任，结合本地实际，抓好工作落实。（责任单位：省有关部门）</w:t>
      </w:r>
    </w:p>
    <w:p w14:paraId="18521E9B">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（二十一）加快设备更新。</w:t>
      </w:r>
      <w:r>
        <w:rPr>
          <w:rFonts w:hint="eastAsia" w:ascii="Times New Roman" w:hAnsi="Times New Roman" w:eastAsia="方正仿宋简体" w:cs="方正仿宋简体"/>
          <w:color w:val="000000"/>
          <w:sz w:val="32"/>
          <w:szCs w:val="32"/>
        </w:rPr>
        <w:t>聚焦重点领域，建立设备更新项目库，加强重点项目的谋划储备和组织实施，统筹用好超长期特别国债、工业转型发展资金等政策工具，支持企业淘汰落后设备，推动硬件设备更新和软件系统升级，提高生产效率和技术水平。（责任单位：省发展改革委、省工业和信息化厅）</w:t>
      </w:r>
    </w:p>
    <w:p w14:paraId="2F72F9A5">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（二十二）发展转型金融。</w:t>
      </w:r>
      <w:r>
        <w:rPr>
          <w:rFonts w:hint="eastAsia" w:ascii="Times New Roman" w:hAnsi="Times New Roman" w:eastAsia="方正仿宋简体" w:cs="方正仿宋简体"/>
          <w:color w:val="000000"/>
          <w:sz w:val="32"/>
          <w:szCs w:val="32"/>
        </w:rPr>
        <w:t>开展常态化银企对接活动，引导金融机构逐步扩大设备更新贷款、信用贷款、知识产权质押贷款和产业集群信贷投放。聚焦重点行业绿色化改造，推出一批绿色金融产品，精准支持节能降碳改造项目和绿色技术装备推广应用。（责任单位：中国人民银行山东省分行、省发展改革委、山东金融监管局、青岛金融监管局）</w:t>
      </w:r>
    </w:p>
    <w:p w14:paraId="7F1C7E9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（二十三）开展评级评价。</w:t>
      </w:r>
      <w:r>
        <w:rPr>
          <w:rFonts w:hint="eastAsia" w:ascii="Times New Roman" w:hAnsi="Times New Roman" w:eastAsia="方正仿宋简体" w:cs="方正仿宋简体"/>
          <w:color w:val="000000"/>
          <w:sz w:val="32"/>
          <w:szCs w:val="32"/>
        </w:rPr>
        <w:t>开展行业企业分级评价，发挥评价结果的正向激励和反向倒逼作用，配套实施差别化电价等政策措施，引导资源要素向优质企业集中，推动低效落后产能加快转型升级或退出。（责任单位：省工业和信息化厅、省发展改革委）</w:t>
      </w:r>
    </w:p>
    <w:p w14:paraId="036B2B6A">
      <w:pPr>
        <w:snapToGrid w:val="0"/>
        <w:spacing w:after="0" w:line="570" w:lineRule="exact"/>
        <w:ind w:firstLine="620"/>
        <w:jc w:val="both"/>
        <w:rPr>
          <w:rFonts w:hint="eastAsia" w:ascii="Times New Roman" w:hAnsi="Times New Roman" w:eastAsia="方正仿宋简体" w:cs="方正仿宋简体"/>
          <w:color w:val="000000"/>
          <w:sz w:val="32"/>
          <w:szCs w:val="32"/>
        </w:rPr>
      </w:pPr>
      <w:r>
        <w:rPr>
          <w:rFonts w:hint="eastAsia" w:ascii="Times New Roman" w:hAnsi="Times New Roman" w:eastAsia="方正楷体简字" w:cs="Times New Roman"/>
          <w:b/>
          <w:kern w:val="0"/>
          <w:sz w:val="32"/>
        </w:rPr>
        <w:t>（二十四）加强政策支持。</w:t>
      </w:r>
      <w:r>
        <w:rPr>
          <w:rFonts w:hint="eastAsia" w:ascii="Times New Roman" w:hAnsi="Times New Roman" w:eastAsia="方正仿宋简体" w:cs="方正仿宋简体"/>
          <w:color w:val="000000"/>
          <w:sz w:val="32"/>
          <w:szCs w:val="32"/>
        </w:rPr>
        <w:t>研究支持传统产业优化升级配套措施，强化项目储备，对新质生产力发展项目库中符合条件的项目，支持申请中央预算内投资、超长期特别国债等政策性资金，省级收储的能耗和碳排放指标依规予以保障。完善产能监测预警机制，防止产能冗余过剩。（责任单位：省发展改革委、省工业和信息化厅、省生态环境厅）</w:t>
      </w:r>
    </w:p>
    <w:p w14:paraId="3969E2F1">
      <w:pPr>
        <w:snapToGrid w:val="0"/>
        <w:spacing w:line="570" w:lineRule="exact"/>
        <w:ind w:firstLine="640" w:firstLineChars="200"/>
        <w:jc w:val="left"/>
        <w:rPr>
          <w:rFonts w:hint="eastAsia" w:ascii="Times New Roman" w:hAnsi="Times New Roman" w:eastAsia="方正仿宋简体"/>
          <w:sz w:val="32"/>
          <w:szCs w:val="32"/>
        </w:rPr>
      </w:pPr>
    </w:p>
    <w:p w14:paraId="2DF6ADAA">
      <w:pPr>
        <w:snapToGrid w:val="0"/>
        <w:spacing w:line="570" w:lineRule="exact"/>
        <w:ind w:firstLine="640" w:firstLineChars="200"/>
        <w:jc w:val="left"/>
        <w:rPr>
          <w:rFonts w:hint="eastAsia" w:ascii="Times New Roman" w:hAnsi="Times New Roman" w:eastAsia="方正仿宋简体"/>
          <w:sz w:val="32"/>
          <w:szCs w:val="32"/>
        </w:rPr>
      </w:pPr>
    </w:p>
    <w:p w14:paraId="7059E966">
      <w:pPr>
        <w:widowControl w:val="0"/>
        <w:spacing w:before="240" w:after="60" w:line="24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广东省人民政府办公厅印发《关于用好超长期特别国债资金加力支持消费品以旧换新的实施方案》的通知</w:t>
      </w:r>
    </w:p>
    <w:p w14:paraId="39B6C58A">
      <w:pPr>
        <w:shd w:val="clear" w:color="auto" w:fill="FFFFFF"/>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061D7B81">
      <w:pPr>
        <w:shd w:val="clear" w:color="auto" w:fill="FFFFFF"/>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《关于用好超长期特别国债资金加力支持消费品以旧换新的实施方案》已经省政府同意，现印发给你们，请认真组织实施。实施中遇到的问题，请径向省商务厅、发展改革委反映。</w:t>
      </w:r>
    </w:p>
    <w:p w14:paraId="031FFD56">
      <w:pPr>
        <w:shd w:val="clear" w:color="auto" w:fill="FFFFFF"/>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2BE2299B">
      <w:pPr>
        <w:shd w:val="clear" w:color="auto" w:fill="FFFFFF"/>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4D168F44">
      <w:pPr>
        <w:shd w:val="clear" w:color="auto" w:fill="FFFFFF"/>
        <w:spacing w:line="570" w:lineRule="exac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省政府办公厅</w:t>
      </w:r>
    </w:p>
    <w:p w14:paraId="6C6F2B4E">
      <w:pPr>
        <w:shd w:val="clear" w:color="auto" w:fill="FFFFFF"/>
        <w:spacing w:line="570" w:lineRule="exac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2024年8月22日</w:t>
      </w:r>
    </w:p>
    <w:p w14:paraId="0FD20890">
      <w:pPr>
        <w:shd w:val="clear" w:color="auto" w:fill="FFFFFF"/>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（本文有删减）</w:t>
      </w:r>
    </w:p>
    <w:p w14:paraId="24B9DA6F">
      <w:pPr>
        <w:keepNext/>
        <w:keepLines/>
        <w:shd w:val="clear" w:color="auto" w:fill="FFFFFF"/>
        <w:spacing w:line="570" w:lineRule="exact"/>
        <w:jc w:val="center"/>
        <w:rPr>
          <w:rFonts w:ascii="Times New Roman" w:hAnsi="Times New Roman" w:eastAsia="方正仿宋简体" w:cs="方正仿宋简体"/>
          <w:b/>
          <w:bCs/>
          <w:color w:val="000000"/>
          <w:sz w:val="32"/>
          <w:szCs w:val="32"/>
          <w:shd w:val="clear" w:color="auto" w:fill="FFFFFF"/>
        </w:rPr>
      </w:pPr>
      <w:r>
        <w:rPr>
          <w:rFonts w:hint="eastAsia" w:ascii="Times New Roman" w:hAnsi="Times New Roman" w:eastAsia="方正仿宋简体" w:cs="方正仿宋简体"/>
          <w:b/>
          <w:bCs/>
          <w:color w:val="000000"/>
          <w:sz w:val="32"/>
          <w:szCs w:val="32"/>
          <w:shd w:val="clear" w:color="auto" w:fill="FFFFFF"/>
          <w:lang w:bidi="ar"/>
        </w:rPr>
        <w:t>关于用好超长期特别国债资金加力支持消费品以旧换新的实施方案</w:t>
      </w:r>
    </w:p>
    <w:p w14:paraId="66D6FBA3">
      <w:pPr>
        <w:shd w:val="clear" w:color="auto" w:fill="FFFFFF"/>
        <w:spacing w:line="570" w:lineRule="exact"/>
        <w:ind w:firstLine="640"/>
        <w:jc w:val="left"/>
        <w:rPr>
          <w:rFonts w:ascii="Times New Roman" w:hAnsi="Times New Roman" w:eastAsia="方正仿宋简体" w:cs="方正仿宋简体"/>
          <w:color w:val="424242"/>
          <w:kern w:val="0"/>
          <w:sz w:val="32"/>
          <w:szCs w:val="32"/>
          <w:shd w:val="clear" w:color="auto" w:fill="FFFFFF"/>
          <w:lang w:bidi="ar"/>
        </w:rPr>
      </w:pPr>
      <w:r>
        <w:rPr>
          <w:rFonts w:hint="eastAsia" w:ascii="Times New Roman" w:hAnsi="Times New Roman" w:eastAsia="方正仿宋简体" w:cs="方正仿宋简体"/>
          <w:color w:val="424242"/>
          <w:kern w:val="0"/>
          <w:sz w:val="32"/>
          <w:szCs w:val="32"/>
          <w:shd w:val="clear" w:color="auto" w:fill="FFFFFF"/>
          <w:lang w:bidi="ar"/>
        </w:rPr>
        <w:t>为全面贯彻党的二十大和二十届二中、三中全会精神，认真落实党中央、国务院决策部署，根据《推动大规模设备更新和消费品以旧换新行动方案》（国发〔2024〕7号）、《国家发展改革委 财政部印发〈关于加力支持大规模设备更新和消费品以旧换新的若干措施〉的通知》（发改环资〔2024〕1104号）要求，加力推进消费品以旧换新，制定本实施方案。</w:t>
      </w:r>
    </w:p>
    <w:p w14:paraId="671A0F2A">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一、加力支持消费品以旧换新</w:t>
      </w:r>
    </w:p>
    <w:p w14:paraId="4E74690A">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（一）加力支持家电产品以旧换新。</w:t>
      </w:r>
    </w:p>
    <w:p w14:paraId="334867BA">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ascii="Times New Roman" w:hAnsi="Times New Roman" w:eastAsia="方正仿宋简体" w:cs="Times New Roman"/>
          <w:b/>
          <w:bCs/>
          <w:color w:val="000000"/>
          <w:sz w:val="32"/>
          <w:szCs w:val="32"/>
        </w:rPr>
        <w:t>1.</w:t>
      </w:r>
      <w:r>
        <w:rPr>
          <w:rFonts w:hint="eastAsia" w:ascii="Times New Roman" w:hAnsi="Times New Roman" w:eastAsia="方正仿宋简体" w:cs="方正仿宋简体"/>
          <w:b/>
          <w:bCs/>
          <w:color w:val="000000"/>
          <w:sz w:val="32"/>
          <w:szCs w:val="32"/>
        </w:rPr>
        <w:t xml:space="preserve"> 品类和标准。</w:t>
      </w:r>
    </w:p>
    <w:p w14:paraId="5C6CBF00">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根据《关于加力支持大规模设备更新和消费品以旧换新的若干措施》（发改环资〔2024〕1104号），对个人消费者购买2级及以上能效或水效标准的冰箱、洗衣机、电视、空调、电脑、热水器、家用灶具、吸油烟机等8类家电产品给予补贴，补贴标准为产品销售价格的15%。对购买1级及以上能效或水效标准的产品，额外再给予产品销售价格5%的补贴。每位消费者每类产品可补贴1件，每件补贴不超过2000元。</w:t>
      </w:r>
    </w:p>
    <w:p w14:paraId="59666DA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sz w:val="32"/>
          <w:szCs w:val="32"/>
        </w:rPr>
        <w:t>结合广东实际，对个人消费者购买手机、平板、智能穿戴设备等3类产品给予补贴，手机补贴标准为产品销售价格的1%，每件补贴不超过1000元；平板、智能穿戴设备补贴标准为产品销售价格的15%，每件补贴不超过2000元。各地市可结合实际将补贴范围扩展到上述“8+3”类品种以外的“N”类家电产品，补贴按照不高于以上类似产品的标准制定。“3+N”类产品每位消费者每类产品可补贴1件。</w:t>
      </w:r>
    </w:p>
    <w:p w14:paraId="72F92761">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　2. 工作目标。</w:t>
      </w:r>
      <w:r>
        <w:rPr>
          <w:rFonts w:hint="eastAsia" w:ascii="Times New Roman" w:hAnsi="Times New Roman" w:eastAsia="方正仿宋简体" w:cs="方正仿宋简体"/>
          <w:sz w:val="32"/>
          <w:szCs w:val="32"/>
        </w:rPr>
        <w:t>全省（不含深圳市）新一轮家电以旧换新活动家电销售量力争201万台。</w:t>
      </w:r>
    </w:p>
    <w:p w14:paraId="1F71350E">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　3. 操作流程。</w:t>
      </w:r>
      <w:r>
        <w:rPr>
          <w:rFonts w:hint="eastAsia" w:ascii="Times New Roman" w:hAnsi="Times New Roman" w:eastAsia="方正仿宋简体" w:cs="方正仿宋简体"/>
          <w:sz w:val="32"/>
          <w:szCs w:val="32"/>
        </w:rPr>
        <w:t>家电以旧换新由各地市按照统一标准具体组织实施。突出广东制造业优势，鼓励各地市指导当地龙头企业通过线上线下融合渠道开展家电以旧换新。消费者在各地市明确的商家或电商平台交付旧家电并购买新家电，按照前述品类和标准享受优惠。如国家对回收家电有新工作要求，按国家有关部委工作指引执行。</w:t>
      </w:r>
    </w:p>
    <w:p w14:paraId="5707CFE7">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商务部门负责总体组织协调，审核补贴资金。财政部门负责办理资金下达和拨付，对预算执行进行监控。税务部门负责开展家电销售发票审核。工业和信息化部门负责发动生产制造企业参与活动。各地级以上市人民政府在省统一部署下，结合本地区实际情况，组织开展家电以旧换新活动、做好活动宣传等。</w:t>
      </w:r>
    </w:p>
    <w:p w14:paraId="67016092">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（省商务厅牵头，省工业和信息化厅、省财政厅、省税务局，各地级以上市人民政府按职责分工负责）</w:t>
      </w:r>
    </w:p>
    <w:p w14:paraId="0C064909">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val="0"/>
          <w:sz w:val="32"/>
          <w:szCs w:val="32"/>
        </w:rPr>
        <w:t>　</w:t>
      </w:r>
      <w:r>
        <w:rPr>
          <w:rFonts w:hint="eastAsia" w:ascii="Times New Roman" w:hAnsi="Times New Roman" w:eastAsia="方正楷体简体" w:cs="Times New Roman"/>
          <w:b/>
          <w:sz w:val="32"/>
          <w:szCs w:val="32"/>
        </w:rPr>
        <w:t>（二）加力支持汽车报废更新。</w:t>
      </w:r>
    </w:p>
    <w:p w14:paraId="1AEA0312">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在落实《汽车以旧换新补贴实施细则》（商消费函〔2024〕75号）基础上，对个人消费者报废国三及以下排放标准燃油乘用车或2018年4月30日（含当日）前注册登记的新能源乘用车，并购买纳入《减免车辆购置税的新能源汽车车型目录》的新能源乘用车或2.0升及以下排量燃油乘用车的，补贴标准提高至购买新能源乘用车补2万元/辆、购买2.0升及以下排量燃油乘用车补1.5万元/辆。相应报废机动车须在2024年7月25日（含当日）前登记在本人名下。自《汽车以旧换新补贴实施细则》印发之日起申请补贴的消费者，均按照以上标准给予补贴。</w:t>
      </w:r>
    </w:p>
    <w:p w14:paraId="086D8DE7">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2. 工作目标。</w:t>
      </w:r>
      <w:r>
        <w:rPr>
          <w:rFonts w:hint="eastAsia" w:ascii="Times New Roman" w:hAnsi="Times New Roman" w:eastAsia="方正仿宋简体" w:cs="方正仿宋简体"/>
          <w:sz w:val="32"/>
          <w:szCs w:val="32"/>
        </w:rPr>
        <w:t>全省（不含深圳市）汽车报废更新力争13.5万辆。</w:t>
      </w:r>
    </w:p>
    <w:p w14:paraId="2440D2B3">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个人消费者登录全国汽车流通信息管理系统网站或“汽车以旧换新”小程序，填报个人身份信息，报废汽车的车辆识别代号、《报废机动车回收证明》和《机动车注销证明》原件照片或扫描件，新车的车辆识别代号、《机动车销售统一发票》和《机动车登记证书》原件照片或扫描件等，提交补贴申请。商务部门会同财政、公安、工业和信息化等部门按职责对消费者填报的个人身份信息、车辆信息及相关证件材料真实性、合规性进行审核，通过全国汽车以旧换新平台反馈审核结果。税务部门配合做好新车销售发票审核。财政部门按程序将资金拨付至申请人提供的银行账户。</w:t>
      </w:r>
    </w:p>
    <w:p w14:paraId="4C0FF850">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商务部门负责总体组织协调，会同相关部门开展申请审核。财政部门对预算执行进行监控，配合商务部门开展资金审核，会同商务部门做好资金拨付。公安部门负责开展消费者个人身份信息、报废机动车注销、新车注册登记等信息审核。工业和信息化部门负责开展新能源汽车车型目录匹配审核。税务部门负责配合开展新车销售发票审核。</w:t>
      </w:r>
    </w:p>
    <w:p w14:paraId="7D80B6DF">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（省商务厅牵头，省工业和信息化厅、省公安厅、省财政厅、省税务局，各地级以上市人民政府按职责分工负责）</w:t>
      </w:r>
    </w:p>
    <w:p w14:paraId="0D575F8F">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（三）加力支持老旧货车报废更新。</w:t>
      </w:r>
    </w:p>
    <w:p w14:paraId="5FBC655F">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根据《关于实施老旧营运货车报废更新的通知》（交规划发〔2024〕90号），对提前报废国三及以下排放标准营运柴油货车、提前报废并新购国六排放标准货车或新能源货车、仅新购符合条件的新能源货车，分档次予以补贴。</w:t>
      </w:r>
    </w:p>
    <w:p w14:paraId="5FFD370F">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（1）提前报废老旧营运柴油货车补贴标准见表1。</w:t>
      </w:r>
    </w:p>
    <w:p w14:paraId="78B7DBD6">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2）提前报废老旧营运货车，并新购营运货车补贴标准为：报废并新购国六排放标准营运柴油货车补贴=提前报废老旧营运柴油货车补贴+新购国六排放标准营运柴油货车补贴；报废并新购新能源货车补贴=提前报废老旧营运柴油货车补贴+新购新能源营运货车补贴。其中，新购国六排放标准营运柴油货车补贴或新购新能源营运货车补贴见表2。</w:t>
      </w:r>
    </w:p>
    <w:p w14:paraId="44F3C045">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（3）仅新购新能源城市冷链配送货车补贴标准为3.5万元/辆。</w:t>
      </w:r>
    </w:p>
    <w:p w14:paraId="6F8619F7">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表1　提前报废老旧营运柴油货车补贴标准</w:t>
      </w:r>
    </w:p>
    <w:p w14:paraId="3B58F8D3">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表2　新购营运货车补贴标准</w:t>
      </w:r>
    </w:p>
    <w:p w14:paraId="5C1DADE1">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2. 工作目标。</w:t>
      </w:r>
      <w:r>
        <w:rPr>
          <w:rFonts w:hint="eastAsia" w:ascii="Times New Roman" w:hAnsi="Times New Roman" w:eastAsia="方正仿宋简体" w:cs="方正仿宋简体"/>
          <w:sz w:val="32"/>
          <w:szCs w:val="32"/>
        </w:rPr>
        <w:t>截至2024年12月31日，全省（不含深圳市）报废国三及以下排放标准老旧营运货车2189台，更新符合条件的营运货车1939台，新增新能源城市冷链配送货车1110台。</w:t>
      </w:r>
    </w:p>
    <w:p w14:paraId="0EE1BA41">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按照《关于实施老旧营运货车报废更新的通知》（交规划发〔2024〕90号）执行。</w:t>
      </w:r>
    </w:p>
    <w:p w14:paraId="1895FC02">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交通运输部门牵头负责指导各地市按要求开展老旧营运货车报废更新工作，并会同财政部门对申报条件、操作流程等作进一步明确。财政部门负责办理资金下达和拨付，对预算执行进行监控。商务部门负责指导机动车回收拆解企业及时做好老旧营运货车回收拆解工作并发放《报废机动车回收证明》。公安部门负责做好报废营运货车注销登记以及更新营运货车注册登记等工作。</w:t>
      </w:r>
    </w:p>
    <w:p w14:paraId="290B7095">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（省交通运输厅牵头，省公安厅、省财政厅、省商务厅，各地级以上市人民政府按职责分工负责）</w:t>
      </w:r>
    </w:p>
    <w:p w14:paraId="2520E063">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（四）加力支持新能源公交车及动力电池更新。</w:t>
      </w:r>
    </w:p>
    <w:p w14:paraId="63B978CA">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报废更新新能源城市公交车，每辆车平均补贴8万元；更换新能源城市公交车动力电池，每套补贴4.2万元。</w:t>
      </w:r>
    </w:p>
    <w:p w14:paraId="14F0D9EA">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2. 工作目标。</w:t>
      </w:r>
      <w:r>
        <w:rPr>
          <w:rFonts w:hint="eastAsia" w:ascii="Times New Roman" w:hAnsi="Times New Roman" w:eastAsia="方正仿宋简体" w:cs="方正仿宋简体"/>
          <w:sz w:val="32"/>
          <w:szCs w:val="32"/>
        </w:rPr>
        <w:t>截至2024年12月31日，全省（不含深圳市）更新新能源公交车约2076辆，更新动力电池约2712套。</w:t>
      </w:r>
    </w:p>
    <w:p w14:paraId="7CCE59E9">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按照《新能源城市公交车及动力电池更新补贴实施细则的通知》（交运函〔2024〕390号）执行。</w:t>
      </w:r>
    </w:p>
    <w:p w14:paraId="1CDEF9CA">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　4. 责任分工。</w:t>
      </w:r>
      <w:r>
        <w:rPr>
          <w:rFonts w:hint="eastAsia" w:ascii="Times New Roman" w:hAnsi="Times New Roman" w:eastAsia="方正仿宋简体" w:cs="方正仿宋简体"/>
          <w:sz w:val="32"/>
          <w:szCs w:val="32"/>
        </w:rPr>
        <w:t>交通运输部门牵头开展新能源城市公交车及动力电池更新工作，细化申报条件和操作流程。财政部门负责办理资金下达和拨付，对预算执行进行监控。商务部门负责指导机动车回收拆解企业及时做好报废新能源城市公交车回收拆解工作并发放《报废机动车回收证明》。公安部门负责做好报废新能源城市公交车注销登记，以及更新新能源城市公交车注册登记等工作。</w:t>
      </w:r>
    </w:p>
    <w:p w14:paraId="0DA13F19">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（省交通运输厅牵头，省公安厅、省财政厅、省商务厅，各地级以上市人民政府按职责分工负责）</w:t>
      </w:r>
    </w:p>
    <w:p w14:paraId="433A2F2E">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（五）加力支持老旧农机报废更新。</w:t>
      </w:r>
    </w:p>
    <w:p w14:paraId="34E4D94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在《广东省推动农业机械报废更新工作方案》（粤农农规〔2024〕2号）基础上，按照要求提高报废20马力以下的拖拉机补贴额。报废联合收割机、播种机等并新购置同种类机具，在现行补贴标准基础上，按50%提高报废补贴标准。结合我省实际，在新增纳入农用无人驾驶航空器（植保无人机）、烘干机的基础上，再新增4个农机种类纳入补贴范围，具体由省农业农村厅会同省有关部门研究确定。</w:t>
      </w:r>
    </w:p>
    <w:p w14:paraId="3286BB12">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2. 工作目标。</w:t>
      </w:r>
      <w:r>
        <w:rPr>
          <w:rFonts w:hint="eastAsia" w:ascii="Times New Roman" w:hAnsi="Times New Roman" w:eastAsia="方正仿宋简体" w:cs="方正仿宋简体"/>
          <w:sz w:val="32"/>
          <w:szCs w:val="32"/>
        </w:rPr>
        <w:t>截至2024年12月31日，全省（不含深圳市）报废更新老旧农业机械130台（套）。</w:t>
      </w:r>
    </w:p>
    <w:p w14:paraId="617684CA">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按照《关于加大工作力度持续实施好农业机械报废更新补贴政策的通知》（农办机〔2024〕4号）和后续相关文件落实。</w:t>
      </w:r>
    </w:p>
    <w:p w14:paraId="6CEF9A6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农业农村部门组织实施老旧农机报废更新工作。财政部门负责办理资金下达和拨付，对预算执行进行监控。商务部门负责发动机动车回收拆解企业积极承担老旧农机回收拆解工作，协助农业农村部门确定报废农机回收企业。</w:t>
      </w:r>
    </w:p>
    <w:p w14:paraId="31C61D65">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（省农业农村厅牵头，省财政厅、省商务厅，各地级以上市人民政府按职责分工负责）</w:t>
      </w:r>
    </w:p>
    <w:p w14:paraId="4A52B351">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（六）加力支持个人消费者乘用车置换更新。</w:t>
      </w:r>
    </w:p>
    <w:p w14:paraId="16E3C996">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对个人消费者在2024年4月1日至2024年12月31日期间转让本人名下注册登记的乘用车，并且在2024年9月1日至2024年12月31日期间在广东购买乘用车新车的，发放一次性购车补贴。转让车辆需在本实施方案印发之日前注册登记在个人消费者本人名下。补贴标准按照购买新车价格分为三档，购车价格为7万元（含）至15万元（不含）的，购买燃油车补贴8000元/辆；购车价格为15万元（含）至25万元（不含）的，购买燃油车补贴12000元/辆；购车价格为25万元（含）以上的，购买燃油车补贴15000元/辆。购买新能源车的在上述各档基础上增加补贴1000元。同一辆新车不得同时享受汽车报废更新补贴和个人消费者乘用车置换更新补贴。如国家对个人消费者乘用车置换更新补贴明确标准，按国家有关部委工作指引执行。</w:t>
      </w:r>
    </w:p>
    <w:p w14:paraId="204CA2AA">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　2. 工作目标</w:t>
      </w:r>
      <w:r>
        <w:rPr>
          <w:rFonts w:hint="eastAsia" w:ascii="Times New Roman" w:hAnsi="Times New Roman" w:eastAsia="方正仿宋简体" w:cs="方正仿宋简体"/>
          <w:sz w:val="32"/>
          <w:szCs w:val="32"/>
        </w:rPr>
        <w:t>：全省（不含深圳市）汽车置换更新力争14.3万辆。</w:t>
      </w:r>
    </w:p>
    <w:p w14:paraId="6578422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汽车置换更新由各地市按照省统一标准具体组织实施。个人消费者完成旧车置换并购买新车，在完成新车注册登记手续后，通过活动平台提交补贴申请，各地市商务主管部门会同公安、税务等部门按职责对消费者个人身份信息、车辆交易发票及车辆注册登记信息进行审核。审核通过的，由各地市按程序向申请人发放补贴。</w:t>
      </w:r>
    </w:p>
    <w:p w14:paraId="78745C2E">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商务部门负责总体组织协调，会同相关部门指导地市开展审核。财政部门负责办理资金下达和拨付，对预算执行进行监控。公安部门负责配合开展消费者个人身份信息、二手车转移登记、新车注册登记信息审核。税务部门负责配合开展二手车和新车交易发票审核。各地级以上市人民政府在省统一部署下，结合本地区实际情况，负责组织实施汽车置换更新活动、开展活动宣传等。</w:t>
      </w:r>
    </w:p>
    <w:p w14:paraId="10A5551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（省商务厅牵头，省公安厅、省财政厅、省税务局，各地级以上市人民政府按职责分工负责）</w:t>
      </w:r>
    </w:p>
    <w:p w14:paraId="304A4DEC">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　（七）加力支持电动自行车以旧换新。</w:t>
      </w:r>
    </w:p>
    <w:p w14:paraId="784A24E8">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对消费者将个人名下老旧电动自行车报废并购买符合有关要求的合格电动自行车予以补贴，具体品类和标准按照国家有关部委的工作指引执行。</w:t>
      </w:r>
    </w:p>
    <w:p w14:paraId="06B3A790">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2. 工作目标。</w:t>
      </w:r>
      <w:r>
        <w:rPr>
          <w:rFonts w:hint="eastAsia" w:ascii="Times New Roman" w:hAnsi="Times New Roman" w:eastAsia="方正仿宋简体" w:cs="方正仿宋简体"/>
          <w:sz w:val="32"/>
          <w:szCs w:val="32"/>
        </w:rPr>
        <w:t>全省（不含深圳市）实现电动自行车以旧换新力争40万辆。</w:t>
      </w:r>
    </w:p>
    <w:p w14:paraId="62C7195B">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消费者将个人名下老旧电动自行车报废并购买符合条件的新车后，凭新车销售发票、车辆登记证书和报废回收证明，向各地商务部门提交补贴申请。各地商务部门收到申请材料后，会同市场监管、公安、税务、财政等部门按职责进行审核。审核通过的，按程序将补贴资金拨付至申请人提供的银行账户。具体流程以国家有关部委的工作指引为准。</w:t>
      </w:r>
    </w:p>
    <w:p w14:paraId="21C9764D">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商务部门负责牵头制定电动自行车以旧换新具体实施方案，并协同相关部门组织实施。市场监管部门负责遴选并明确符合要求的销售商家和电动自行车产品，加大对参与以旧换新活动产品的抽查力度，依法查处销售不符合国家标准电动自行车的行为。财政部门负责办理资金下达和拨付，对预算执行进行监控。税务部门负责新车销售发票审核。公安部门负责办理电动自行车的报废注销和新车注册登记。商务、工信、生态环境部门协同负责电动自行车回收拆解工作，其中商务部门负责组织报废机动车回收拆解企业参与电动自行车回收拆解工作，工信部门负责废旧锂离子蓄电池的回收处理工作，生态环境部门负责废旧铅酸蓄电池的回收处理工作。应急管理、消防救援部门负责在电动自行车安全隐患全链条整治工作中促进电动自行车以旧换新。</w:t>
      </w:r>
    </w:p>
    <w:p w14:paraId="53E1DFBE">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（省商务厅牵头，省工业和信息化厅、省公安厅、省财政厅、省生态环境厅、省应急管理厅、省市场监管局、省消防救援总队、省税务局，各地级以上市人民政府按职责分工负责）</w:t>
      </w:r>
    </w:p>
    <w:p w14:paraId="7E1EC8B7">
      <w:pPr>
        <w:spacing w:line="570" w:lineRule="exact"/>
        <w:rPr>
          <w:rFonts w:ascii="Times New Roman" w:hAnsi="Times New Roman" w:eastAsia="方正仿宋简体" w:cs="Times New Roman"/>
          <w:sz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（八）加力支持旧房装修和厨卫、居家适老化改造。</w:t>
      </w:r>
    </w:p>
    <w:p w14:paraId="53D60487">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1. 品类和标准。</w:t>
      </w:r>
      <w:r>
        <w:rPr>
          <w:rFonts w:hint="eastAsia" w:ascii="Times New Roman" w:hAnsi="Times New Roman" w:eastAsia="方正仿宋简体" w:cs="方正仿宋简体"/>
          <w:sz w:val="32"/>
          <w:szCs w:val="32"/>
        </w:rPr>
        <w:t>聚焦绿色、智能、适老，对消费者购买旧房装修和厨卫等局部改造、居家适老化改造所用物品和材料给予补贴，促进智能家居消费。具体品类和标准按照国家有关部委的工作指引执行。</w:t>
      </w:r>
    </w:p>
    <w:p w14:paraId="3A9E9323">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　2. 工作目标。</w:t>
      </w:r>
      <w:r>
        <w:rPr>
          <w:rFonts w:hint="eastAsia" w:ascii="Times New Roman" w:hAnsi="Times New Roman" w:eastAsia="方正仿宋简体" w:cs="方正仿宋简体"/>
          <w:sz w:val="32"/>
          <w:szCs w:val="32"/>
        </w:rPr>
        <w:t>力争通过政策带动限额以上家具类、建筑及装潢材料类零售额较大幅度增长。</w:t>
      </w:r>
    </w:p>
    <w:p w14:paraId="4E5172F2">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3. 操作流程。</w:t>
      </w:r>
      <w:r>
        <w:rPr>
          <w:rFonts w:hint="eastAsia" w:ascii="Times New Roman" w:hAnsi="Times New Roman" w:eastAsia="方正仿宋简体" w:cs="方正仿宋简体"/>
          <w:sz w:val="32"/>
          <w:szCs w:val="32"/>
        </w:rPr>
        <w:t>消费者在各地市明确的商家或平台购买补贴品类中的家装产品，按照标准享受补贴。鼓励各地市结合实际创造性开展本项工作。</w:t>
      </w:r>
    </w:p>
    <w:p w14:paraId="4C77AAE5">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仿宋简体" w:cs="方正仿宋简体"/>
          <w:b/>
          <w:bCs/>
          <w:sz w:val="32"/>
          <w:szCs w:val="32"/>
        </w:rPr>
        <w:t>4. 责任分工。</w:t>
      </w:r>
      <w:r>
        <w:rPr>
          <w:rFonts w:hint="eastAsia" w:ascii="Times New Roman" w:hAnsi="Times New Roman" w:eastAsia="方正仿宋简体" w:cs="方正仿宋简体"/>
          <w:sz w:val="32"/>
          <w:szCs w:val="32"/>
        </w:rPr>
        <w:t>住建部门负责研究制定旧房装修和厨卫、居家适老化改造认定标准。商务部门组织相关产品的经销商参与。财政部门负责办理资金下达和拨付，对预算执行进行监控。民政部门配合推动居家适老化改造相关工作。</w:t>
      </w:r>
    </w:p>
    <w:p w14:paraId="3E8489FE">
      <w:pPr>
        <w:spacing w:line="570" w:lineRule="exact"/>
        <w:rPr>
          <w:rFonts w:ascii="Times New Roman" w:hAnsi="Times New Roman" w:eastAsia="方正黑体简体" w:cs="Times New Roman"/>
          <w:sz w:val="32"/>
        </w:rPr>
      </w:pPr>
      <w:r>
        <w:rPr>
          <w:rFonts w:hint="eastAsia" w:ascii="Times New Roman" w:hAnsi="Times New Roman" w:eastAsia="方正仿宋简体" w:cs="方正仿宋简体"/>
          <w:sz w:val="32"/>
          <w:szCs w:val="32"/>
        </w:rPr>
        <w:t>　　（省商务厅、省住房城乡建设厅、省民政厅、省财政厅，各地级以上市人民政府按职责分工负责）</w:t>
      </w:r>
    </w:p>
    <w:p w14:paraId="52A56E6D">
      <w:pPr>
        <w:keepNext/>
        <w:keepLines/>
        <w:widowControl/>
        <w:spacing w:before="240" w:after="80" w:line="570" w:lineRule="exact"/>
        <w:ind w:firstLine="640" w:firstLineChars="200"/>
        <w:jc w:val="left"/>
        <w:outlineLvl w:val="0"/>
        <w:rPr>
          <w:rFonts w:ascii="Times New Roman" w:hAnsi="Times New Roman" w:eastAsia="方正仿宋简体" w:cs="方正仿宋简体"/>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二</w:t>
      </w:r>
      <w:r>
        <w:rPr>
          <w:rFonts w:hint="eastAsia" w:ascii="Times New Roman" w:hAnsi="Times New Roman" w:eastAsia="方正黑体简体" w:cs="Times New Roman"/>
          <w:kern w:val="2"/>
          <w:sz w:val="32"/>
          <w:szCs w:val="32"/>
          <w:lang w:val="en-US" w:eastAsia="zh-CN" w:bidi="ar"/>
        </w:rPr>
        <w:t>、加强组织实施</w:t>
      </w:r>
    </w:p>
    <w:p w14:paraId="6620812B">
      <w:pPr>
        <w:spacing w:line="570" w:lineRule="exact"/>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（九）强化组织领导。</w:t>
      </w:r>
      <w:r>
        <w:rPr>
          <w:rFonts w:hint="eastAsia" w:ascii="Times New Roman" w:hAnsi="Times New Roman" w:eastAsia="方正仿宋简体" w:cs="方正仿宋简体"/>
          <w:sz w:val="32"/>
          <w:szCs w:val="32"/>
        </w:rPr>
        <w:t>省发展改革委、省商务厅、省财政厅牵头抓好工作统筹，加力推进消费品以旧换新。省住房城乡建设厅、省交通运输厅、省农业农村厅、省商务厅、省市场监管局按职责分工细化相关领域补贴标准和操作指引，组织各地市落实本实施方案所列支持政策。省公安厅、省工业和信息化厅、省应急管理厅、省消防救援总队、省税务局、人民银行广东省分行、广东金融监管局、财政部广东监管局等相关部门要立足职责，积极支持消费品以旧换新工作开展。（省发展改革委、省财政厅、省商务厅牵头，省公安厅、省工业和信息化厅、省住房城乡建设厅、省交通运输厅、省农业农村厅、省应急管理厅、省市场监管局、省消防救援总队、省税务局、人民银行广东省分行、广东金融监管局、财政部广东监管局按职责分工负责）</w:t>
      </w:r>
    </w:p>
    <w:p w14:paraId="7E12891F">
      <w:pPr>
        <w:spacing w:line="570" w:lineRule="exac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sz w:val="32"/>
          <w:szCs w:val="32"/>
        </w:rPr>
        <w:t>　　</w:t>
      </w:r>
      <w:r>
        <w:rPr>
          <w:rFonts w:hint="eastAsia" w:ascii="Times New Roman" w:hAnsi="Times New Roman" w:eastAsia="方正楷体简体" w:cs="Times New Roman"/>
          <w:b/>
          <w:sz w:val="32"/>
          <w:szCs w:val="32"/>
        </w:rPr>
        <w:t>（十）有序有力推进。</w:t>
      </w:r>
      <w:r>
        <w:rPr>
          <w:rFonts w:hint="eastAsia" w:ascii="Times New Roman" w:hAnsi="Times New Roman" w:eastAsia="方正仿宋简体" w:cs="方正仿宋简体"/>
          <w:sz w:val="32"/>
          <w:szCs w:val="32"/>
        </w:rPr>
        <w:t>省相关部门和各地市按照国家部署，统筹推进各领域以旧换新。对于家电以旧换新（冰箱、洗衣机、电视、空调、电脑、热水器、家用灶具、吸油烟机等8类家电产品</w:t>
      </w:r>
      <w:r>
        <w:rPr>
          <w:rFonts w:hint="eastAsia" w:ascii="Times New Roman" w:hAnsi="Times New Roman" w:eastAsia="方正仿宋简体" w:cs="方正仿宋简体"/>
          <w:color w:val="424242"/>
          <w:kern w:val="0"/>
          <w:sz w:val="32"/>
          <w:szCs w:val="32"/>
          <w:shd w:val="clear" w:color="auto" w:fill="FFFFFF"/>
          <w:lang w:bidi="ar"/>
        </w:rPr>
        <w:t>）、汽车报废更新、老旧货车报废更新、新能源公交车及动力电池更新、老旧农机报废更新等5类国家政策已明确品类和标准的，要抓紧组织实施，尽快拨付资金。对于个人消费者乘用车置换更新、“3+N”家电等2类国家明确支持但尚未制定补贴标准，广东具有突出产业优势的，要结合国家要求和广东实际，抓紧研究明确品类和标准，尽快启动相关工作。对于电动自行车以旧换新、旧房装修和厨卫居家适老化改造等2类国家支持但尚未明确品类和标准的，要积极准备，做好政策衔接，确保国家专项实施细则出台后可立即启动实施。要密切跟进国家政策制定情况，如有新工作要求，及时对应调整完善我省政策，确保严格按国家规定执行。（省住房城乡建设厅、省交通运输厅、省农业农村厅、省商务厅，各地级以上市人民政府按职责分工负责）</w:t>
      </w:r>
    </w:p>
    <w:p w14:paraId="5329BB62">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（十一）压实地市责任。</w:t>
      </w:r>
      <w:r>
        <w:rPr>
          <w:rFonts w:hint="eastAsia" w:ascii="Times New Roman" w:hAnsi="Times New Roman" w:eastAsia="方正仿宋简体" w:cs="方正仿宋简体"/>
          <w:color w:val="424242"/>
          <w:kern w:val="0"/>
          <w:sz w:val="32"/>
          <w:szCs w:val="32"/>
          <w:shd w:val="clear" w:color="auto" w:fill="FFFFFF"/>
          <w:lang w:bidi="ar"/>
        </w:rPr>
        <w:t>各地级以上市人民政府要制定具体方案，明确任务分工，聚焦企业和消费者实际需求，细化目标任务和落实举措，推动各项政策落实落细。鼓励各地市结合实际，充分发挥创造力，在符合中央和省有关规定的基础上，制定本地区加力支持政策措施。（各地级以上市人民政府负责）</w:t>
      </w:r>
    </w:p>
    <w:p w14:paraId="377E1762">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（十二）推进模式创新。</w:t>
      </w:r>
      <w:r>
        <w:rPr>
          <w:rFonts w:hint="eastAsia" w:ascii="Times New Roman" w:hAnsi="Times New Roman" w:eastAsia="方正仿宋简体" w:cs="方正仿宋简体"/>
          <w:color w:val="424242"/>
          <w:kern w:val="0"/>
          <w:sz w:val="32"/>
          <w:szCs w:val="32"/>
          <w:shd w:val="clear" w:color="auto" w:fill="FFFFFF"/>
          <w:lang w:bidi="ar"/>
        </w:rPr>
        <w:t>统筹线上线下两种渠道，充分发挥电商平台联接生产企业、聚集销售企业、面向广大消费者的优势，更好引导消费者以旧换新，扩大政策覆盖面，加快资金支出进度，提高消费满意度。要推动政银企对接，鼓励银行机构充分运用金融工具，丰富消费金融产品，着力拓展汽车、高端家电等大宗消费金融服务。鼓励生产和销售企业提供产品优惠让利，形成“政府补贴+金融支持+企业让利”的叠加效应。要对接好国家平台，积极引导更多市场主体、平台使用“粤焕新”公益品牌，形成良好示范效应和规模效应。（省委金融办、省发展改革委、省工业和信息化厅、省住房城乡建设厅、省交通运输厅、省农业农村厅、省商务厅、人民银行广东省分行、广东金融监管局，各地级以上市人民政府按职责分工负责）</w:t>
      </w:r>
    </w:p>
    <w:p w14:paraId="0A0A652B">
      <w:pPr>
        <w:shd w:val="clear" w:color="auto" w:fill="FFFFFF"/>
        <w:wordWrap w:val="0"/>
        <w:spacing w:line="420" w:lineRule="atLeast"/>
        <w:jc w:val="lef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（十三）及时跟踪问效。</w:t>
      </w:r>
      <w:r>
        <w:rPr>
          <w:rFonts w:hint="eastAsia" w:ascii="Times New Roman" w:hAnsi="Times New Roman" w:eastAsia="方正仿宋简体" w:cs="方正仿宋简体"/>
          <w:color w:val="424242"/>
          <w:kern w:val="0"/>
          <w:sz w:val="32"/>
          <w:szCs w:val="32"/>
          <w:shd w:val="clear" w:color="auto" w:fill="FFFFFF"/>
          <w:lang w:bidi="ar"/>
        </w:rPr>
        <w:t>省发展改革委、商务厅要做好政策协同，协调政策取向一致性，完善“日报告、周调度”机制，及时协调解决消费品以旧换新工作推进中的问题。省商务厅、交通运输厅、农业农村厅、住房城乡建设厅、市场监管局和各地市对工作推进、项目实施、资金使用、绩效目标等情况开展自评自查，将资金使用和绩效目标完成情况报送省发展改革委、财政厅。省发展改革委商省财政厅汇总形成绩效评估报告，并将评估结果作为后续优化资金安排的重要依据。（省发展改革委、省财政厅、省商务厅牵头，省住房城乡建设厅、省交通运输厅、省农业农村厅、省市场监管局按职责分工负责）</w:t>
      </w:r>
    </w:p>
    <w:p w14:paraId="37F9ECD3">
      <w:pPr>
        <w:keepNext/>
        <w:keepLines/>
        <w:widowControl/>
        <w:bidi w:val="0"/>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三、加强资金管理</w:t>
      </w:r>
    </w:p>
    <w:p w14:paraId="5FEFEA7B">
      <w:pPr>
        <w:shd w:val="clear" w:color="auto" w:fill="FFFFFF"/>
        <w:wordWrap w:val="0"/>
        <w:spacing w:line="570" w:lineRule="exac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（十四）严格资金使用。</w:t>
      </w:r>
      <w:r>
        <w:rPr>
          <w:rFonts w:hint="eastAsia" w:ascii="Times New Roman" w:hAnsi="Times New Roman" w:eastAsia="方正仿宋简体" w:cs="方正仿宋简体"/>
          <w:color w:val="424242"/>
          <w:kern w:val="0"/>
          <w:sz w:val="32"/>
          <w:szCs w:val="32"/>
          <w:shd w:val="clear" w:color="auto" w:fill="FFFFFF"/>
          <w:lang w:bidi="ar"/>
        </w:rPr>
        <w:t>省发展改革委要发挥综合协调作用，牵头做好资金分配。省财政厅对以旧换新超长期国债资金单独调拨、专款专用，抓紧研究统筹做好我省配套资金安排和分配工作，配合省发展改革委和行业主管部门科学合理制定资金测算方案，把握力度节奏，合理拨付资金，做好监控预警，加强监督核查，切实提高资金使用效益。截至2024年12月31日未用完的中央和省级下达资金额度予以收回。（省发展改革委、省财政厅牵头，省住房城乡建设厅、省交通运输厅、省农业农村厅、省商务厅，各地级以上市人民政府按职责分工负责）</w:t>
      </w:r>
    </w:p>
    <w:p w14:paraId="7B77EBEA">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（十五）加快资金支出进度。</w:t>
      </w:r>
      <w:r>
        <w:rPr>
          <w:rFonts w:hint="eastAsia" w:ascii="Times New Roman" w:hAnsi="Times New Roman" w:eastAsia="方正仿宋简体" w:cs="方正仿宋简体"/>
          <w:color w:val="424242"/>
          <w:kern w:val="0"/>
          <w:sz w:val="32"/>
          <w:szCs w:val="32"/>
          <w:shd w:val="clear" w:color="auto" w:fill="FFFFFF"/>
          <w:lang w:bidi="ar"/>
        </w:rPr>
        <w:t>突出资金支付的简便、快捷、顺畅，用好信息化工具，强化部门间协同审核，简化补贴审核流程，减少审核层级，缩短审核时间，加快资金拨付。省发展改革委、财政厅、商务厅会同省相关部门建立资金使用进度跟踪机制，把资金拨付效率和资金支出进度作为衡量工作成效的重要标准，紧盯各地市资金支出进度，梳理堵点难点，提出针对性措施。财政部广东监管局要优化工作流程，提高审核效率，推动资金使用规范有序。（省财政厅、省发展改革委牵头，省住房城乡建设厅、省交通运输厅、省农业农村厅、省商务厅、财政部广东监管局，各地级以上市人民政府按职责分工负责）</w:t>
      </w:r>
    </w:p>
    <w:p w14:paraId="076CF219">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（十六）灵活调配资金。</w:t>
      </w:r>
      <w:r>
        <w:rPr>
          <w:rFonts w:hint="eastAsia" w:ascii="Times New Roman" w:hAnsi="Times New Roman" w:eastAsia="方正仿宋简体" w:cs="方正仿宋简体"/>
          <w:color w:val="424242"/>
          <w:kern w:val="0"/>
          <w:sz w:val="32"/>
          <w:szCs w:val="32"/>
          <w:shd w:val="clear" w:color="auto" w:fill="FFFFFF"/>
          <w:lang w:bidi="ar"/>
        </w:rPr>
        <w:t>省发展改革委、财政厅会同省相关部门建立资金使用调度和灵活调配机制，对使用效率高、成效突出的地市，适当调增资金分配额度；对使用效率低、进度不达预期的地市，适当调减资金分配额度。若地市用完当年度国家和省下达资金额度，超出部分由其自行安排解决。（省发展改革委、省财政厅牵头，省住房城乡建设厅、省交通运输厅、省农业农村厅、省商务厅按职责分工负责）</w:t>
      </w:r>
    </w:p>
    <w:p w14:paraId="66BF3096">
      <w:pPr>
        <w:shd w:val="clear" w:color="auto" w:fill="FFFFFF"/>
        <w:wordWrap w:val="0"/>
        <w:spacing w:line="420" w:lineRule="atLeast"/>
        <w:jc w:val="lef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（十七）强化资金监管。</w:t>
      </w:r>
      <w:r>
        <w:rPr>
          <w:rFonts w:hint="eastAsia" w:ascii="Times New Roman" w:hAnsi="Times New Roman" w:eastAsia="方正仿宋简体" w:cs="方正仿宋简体"/>
          <w:color w:val="424242"/>
          <w:kern w:val="0"/>
          <w:sz w:val="32"/>
          <w:szCs w:val="32"/>
          <w:shd w:val="clear" w:color="auto" w:fill="FFFFFF"/>
          <w:lang w:bidi="ar"/>
        </w:rPr>
        <w:t>省发展改革委、财政厅牵头会同省相关部门制定资金管理办法，严格超长期特别国债资金管理。省相关部门按照职责分工加强对各地市的督促指导，统筹开展线上监控预警和线下实地核查，对资金分配不及时、使用迟缓、挤占挪用等问题，及时提醒并督促整改。各地市要严格管理超长期特别国债资金，严禁截留、挤占和挪作他用，不得用于平衡地方预算、偿还地方政府债务、地方“三保”。对于不符合上述要求、违反财经纪律的，要及时收回资金，严肃追究相关责任人员的责任。电商平台参与消费品以旧换新，必须由省有关部门或各地市政府依法依规遴选。要加强电商平台监管，切实防止空转套利等违法违规行为。（省发展改革委、省财政厅牵头，省住房城乡建设厅、省交通运输厅、省农业农村厅、省商务厅，各地级以上市人民政府按职责分工负责）</w:t>
      </w:r>
    </w:p>
    <w:p w14:paraId="5CE6B326">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四、加强政策宣贯</w:t>
      </w:r>
    </w:p>
    <w:p w14:paraId="259F995D">
      <w:pPr>
        <w:shd w:val="clear" w:color="auto" w:fill="FFFFFF"/>
        <w:wordWrap w:val="0"/>
        <w:spacing w:line="420" w:lineRule="atLeast"/>
        <w:ind w:firstLine="643"/>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（十八）营造良好市场环境。</w:t>
      </w:r>
      <w:r>
        <w:rPr>
          <w:rFonts w:hint="eastAsia" w:ascii="Times New Roman" w:hAnsi="Times New Roman" w:eastAsia="方正仿宋简体" w:cs="方正仿宋简体"/>
          <w:color w:val="424242"/>
          <w:kern w:val="0"/>
          <w:sz w:val="32"/>
          <w:szCs w:val="32"/>
          <w:shd w:val="clear" w:color="auto" w:fill="FFFFFF"/>
          <w:lang w:bidi="ar"/>
        </w:rPr>
        <w:t>各地市要一视同仁支持不同所有制、不同注册地企业参与消费品以旧换新，鼓励开通可享受优惠补贴的多元化支付方式。市场监管部门要及时跟进加强产品质量和价格监管，强化产品质量监督抽查，加大缺陷产品调查和召回力度，督促企业落实质量安全主体责任，严肃查处先涨价再折扣、以次充好出售低质产品、虚标能效水效等行为，切实维护消费者合法权益。对发现存在利用不正当手段骗取补贴资金等违法行为的，要依法依规严肃处理，涉嫌犯罪的移送司法机关依法严厉查处。（省市场监管局牵头，省发展改革委、省公安厅、省工业和信息化厅、省商务厅，各地级以上市人民政府按职责分工负责）</w:t>
      </w:r>
    </w:p>
    <w:p w14:paraId="4F8775B0">
      <w:pPr>
        <w:shd w:val="clear" w:color="auto" w:fill="FFFFFF"/>
        <w:wordWrap w:val="0"/>
        <w:spacing w:line="420" w:lineRule="atLeast"/>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（十九）强化宣传引导。</w:t>
      </w:r>
      <w:r>
        <w:rPr>
          <w:rFonts w:hint="eastAsia" w:ascii="Times New Roman" w:hAnsi="Times New Roman" w:eastAsia="方正仿宋简体" w:cs="方正仿宋简体"/>
          <w:color w:val="424242"/>
          <w:kern w:val="0"/>
          <w:sz w:val="32"/>
          <w:szCs w:val="32"/>
          <w:shd w:val="clear" w:color="auto" w:fill="FFFFFF"/>
          <w:lang w:bidi="ar"/>
        </w:rPr>
        <w:t>各地、各有关部门要通过政府网站、政务新媒体、政务服务平台及时发布消费品以旧换新相关信息，加强政策宣传解读，回应社会关切，引导社会各界积极参与，营造良好社会氛围，并适时总结推广各地先进经验和典型做法。鼓励各地市、行业协会组织加强供需对接，促进先进产品和模式交流推广。依托“12345”政府服务便民热线设立“两新”政策咨询热线等方式，进一步畅通沟通交流渠道，确保企业和群众反映的问题和合理诉求及时得到处置办理。（省商务厅、省发展改革委牵头，省交通运输厅、省农业农村厅、省政务和数据局，各地级以上市人民政府按职责分工负责）</w:t>
      </w:r>
    </w:p>
    <w:p w14:paraId="0BDEA597">
      <w:pPr>
        <w:shd w:val="clear" w:color="auto" w:fill="FFFFFF"/>
        <w:wordWrap w:val="0"/>
        <w:spacing w:line="420" w:lineRule="atLeast"/>
        <w:jc w:val="left"/>
        <w:rPr>
          <w:rFonts w:ascii="Times New Roman" w:hAnsi="Times New Roman" w:eastAsia="方正仿宋简体" w:cs="方正仿宋简体"/>
          <w:sz w:val="32"/>
          <w:szCs w:val="32"/>
        </w:rPr>
      </w:pPr>
      <w:r>
        <w:rPr>
          <w:rFonts w:hint="eastAsia" w:ascii="Times New Roman" w:hAnsi="Times New Roman" w:eastAsia="方正仿宋简体" w:cs="方正仿宋简体"/>
          <w:color w:val="424242"/>
          <w:kern w:val="0"/>
          <w:sz w:val="32"/>
          <w:szCs w:val="32"/>
          <w:shd w:val="clear" w:color="auto" w:fill="FFFFFF"/>
          <w:lang w:bidi="ar"/>
        </w:rPr>
        <w:t>来源：广东省商务厅</w:t>
      </w:r>
    </w:p>
    <w:p w14:paraId="4E939952">
      <w:pPr>
        <w:widowControl w:val="0"/>
        <w:spacing w:before="240" w:after="60" w:line="570" w:lineRule="exact"/>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广东省人民政府关于印发加快培育</w:t>
      </w:r>
    </w:p>
    <w:p w14:paraId="1251812F">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发展未来产业行动方案的通知</w:t>
      </w:r>
    </w:p>
    <w:p w14:paraId="110B0124">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粤府〔2024〕67号</w:t>
      </w:r>
    </w:p>
    <w:p w14:paraId="174DBBB4">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p>
    <w:p w14:paraId="3896A537">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63D83F1D">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现将《关于加快培育发展未来产业的行动方案》印发给你们，请认真组织实施。实施过程中遇到的问题，请径向省发展改革委反映。</w:t>
      </w:r>
    </w:p>
    <w:p w14:paraId="7B2E97D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3EDB7F99">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广东省人民政府</w:t>
      </w:r>
    </w:p>
    <w:p w14:paraId="77768AA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2024年9月14日</w:t>
      </w:r>
    </w:p>
    <w:p w14:paraId="46FCDE67">
      <w:pPr>
        <w:widowControl/>
        <w:shd w:val="clear" w:color="auto" w:fill="FFFFFF"/>
        <w:spacing w:line="480" w:lineRule="atLeast"/>
        <w:jc w:val="right"/>
        <w:rPr>
          <w:rFonts w:ascii="Times New Roman" w:hAnsi="Times New Roman" w:eastAsia="方正仿宋简体" w:cs="方正仿宋简体"/>
          <w:color w:val="424242"/>
          <w:kern w:val="0"/>
          <w:sz w:val="32"/>
          <w:szCs w:val="32"/>
          <w:shd w:val="clear" w:color="auto" w:fill="FFFFFF"/>
        </w:rPr>
      </w:pPr>
    </w:p>
    <w:p w14:paraId="0581B9BA">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（本文有删减）</w:t>
      </w:r>
    </w:p>
    <w:p w14:paraId="4A88C00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F1CF8F8">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关于加快培育发展未来产业的行动方案</w:t>
      </w:r>
    </w:p>
    <w:p w14:paraId="77EF9FF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4B343DA4">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未来产业是由前沿科技创新驱动，当前处于萌芽阶段或产业化初期，具备成长为先导产业和支柱产业的巨大发展潜力，对未来经济社会发展具有重大引领和变革作用的前瞻性新兴产业。培育发展未来产业是增强新动能、塑造新优势、促进经济高质量发展的重大战略举措。为贯彻落实国家关于加快培育发展未来产业的部署要求，抢抓新一轮科技革命和产业变革机遇，培育发展未来产业，加快形成新质生产力，现结合广东实际，制定本行动方案。</w:t>
      </w:r>
    </w:p>
    <w:p w14:paraId="41FDBC02">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一</w:t>
      </w:r>
      <w:r>
        <w:rPr>
          <w:rFonts w:hint="eastAsia" w:ascii="Times New Roman" w:hAnsi="Times New Roman" w:eastAsia="方正黑体简体" w:cs="Times New Roman"/>
          <w:kern w:val="2"/>
          <w:sz w:val="32"/>
          <w:szCs w:val="32"/>
          <w:lang w:val="en-US" w:eastAsia="zh-CN" w:bidi="ar"/>
        </w:rPr>
        <w:t>、总体</w:t>
      </w:r>
      <w:r>
        <w:rPr>
          <w:rFonts w:hint="eastAsia" w:ascii="Times New Roman" w:hAnsi="Times New Roman" w:eastAsia="方正黑体简体" w:cs="Times New Roman"/>
          <w:kern w:val="2"/>
          <w:sz w:val="32"/>
          <w:szCs w:val="32"/>
          <w:lang w:val="en-US" w:eastAsia="zh-CN" w:bidi="ar-SA"/>
        </w:rPr>
        <w:t>要求</w:t>
      </w:r>
    </w:p>
    <w:p w14:paraId="415EACED">
      <w:pPr>
        <w:shd w:val="clear" w:color="auto" w:fill="FFFFFF"/>
        <w:wordWrap w:val="0"/>
        <w:spacing w:line="420" w:lineRule="atLeast"/>
        <w:ind w:firstLine="643"/>
        <w:jc w:val="left"/>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（一）指导思想。</w:t>
      </w:r>
    </w:p>
    <w:p w14:paraId="4E52545E">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以习近平新时代中国特色社会主义思想为指导，全面贯彻党的二十大和二十届二中、三中全会精神，深入学习贯彻习近平总书记视察广东重要讲话、重要指示精神，立足新发展阶段，完整、准确、全面贯彻新发展理念，构建新发展格局，以颠覆性技术和前沿技术催生新产业、新模式、新动能，发展新质生产力。坚持以高质量发展为牵引，围绕落实省委“1310”具体部署，激活改革、开放、创新“三大动力”，将培育发展未来产业作为引领经济社会变革的重要力量，把握科技变革趋势，遵循科技创新和产业发展规律，锚定重点领域，加强前瞻谋划、政策引导，加快构建“基础研究+技术攻关+成果转化+科技金融+人才支撑”全过程创新链，强化要素支撑保障和体制机制创新，构建世界一流、全国领先的未来产业发展体系，将广东打造成为具有全球影响力的未来产业创新策源中心和发展高地。</w:t>
      </w:r>
    </w:p>
    <w:p w14:paraId="58B8002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（二）基本原则。</w:t>
      </w:r>
    </w:p>
    <w:p w14:paraId="31B8461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前瞻布局、创新驱动。瞄准国际产业科技发展前沿，以全球视野和战略眼光，结合广东发展实际，前瞻谋划、滚动培育未来产业重点方向。强化技术创新驱动，加速创新要素资源向未来产业集聚，推动未来技术产业化、重点领域未来化双向发力。强化多学科交叉、多技术集成、多领域融合、多路径探索，努力在重点领域率先实现突破。</w:t>
      </w:r>
    </w:p>
    <w:p w14:paraId="1D16619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企业主体、应用牵引。充分发挥市场在资源配置中的决定性作用，夯实企业在研发、技术创新和成果应用等方面的主体地位。以满足人民和经济社会发展需要为出发点和落脚点，充分发挥广东广阔市场优势，强化应用场景构建，加快产业培育发展。</w:t>
      </w:r>
    </w:p>
    <w:p w14:paraId="188FB92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内联外合、安全自主。坚持未来产业培育与扩大对外开放有效结合，深化粤港澳三地联动，加强面向“一带一路”的开放创新合作，推进未来产业领域技术、产品、市场、人才等高水平国际合作。坚持发展和安全并重，增强自主发展能力，提升产业链供应链韧性和安全水平。</w:t>
      </w:r>
    </w:p>
    <w:p w14:paraId="5DD5736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数智赋能、精准培育。发挥数据作为新型生产要素的作用，构建面向未来的数字基础设施体系，加强智能技术应用，培育数字时代的新产业新业态新模式，推动生产生活方式重构、组织治理体系重铸、科学研究范式重塑。紧盯全球未来产业发展趋势，立足广东现有产业基础和资源禀赋，引导差异化、特色化发展。</w:t>
      </w:r>
    </w:p>
    <w:p w14:paraId="2D6515ED">
      <w:pPr>
        <w:shd w:val="clear" w:color="auto" w:fill="FFFFFF"/>
        <w:wordWrap w:val="0"/>
        <w:spacing w:line="420" w:lineRule="atLeast"/>
        <w:ind w:firstLine="643"/>
        <w:jc w:val="left"/>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（三）发展目标。</w:t>
      </w:r>
    </w:p>
    <w:p w14:paraId="6444DDEF">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到2027年，突破一批重点领域关键核心技术，建成一批未来产业高水平创新平台载体，打造一批未来产业场景示范，培育一批有国际影响力的领军企业、创新企业，未来产业集聚发展态势基本形成，未来产业竞争力大幅提升。</w:t>
      </w:r>
    </w:p>
    <w:p w14:paraId="36000F1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科技创新能力显著提升。重大科技基础设施实现合理有序布局，有力支撑未来产业原始创新。建成3个左右未来产业研究院、未来技术学院等平台。源头创新供给明显改善，形成若干颠覆性技术和重大原创性科技成果。科技创新国际影响力明显提高，若干重要领域跻身世界领先行列。</w:t>
      </w:r>
    </w:p>
    <w:p w14:paraId="616A893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场景示范成果竞相涌现。形成重点突出、协调联动的未来产业场景创新机制，全省场景供需双方实现有效对接，培育打造20个以上具有推广价值和带动作用的应用场景和标杆示范，市场潜力充分激发，初步形成政产学研用各方协同合作的场景创新生态。</w:t>
      </w:r>
    </w:p>
    <w:p w14:paraId="4F96DC1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创新主体活力加速迸发。培育形成5家以上未来产业生态主导型、平台引领型企业，50家以上具有核心技术优势的细分行业骨干企业。建成10家以上未来产业孵化载体，涌现一批创新能力突出、产品特色明显的中小企业。企业创新成果不断涌现，部分产品技术达到国际领先水平。</w:t>
      </w:r>
    </w:p>
    <w:p w14:paraId="5A819E3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产业竞争力日益增强。聚焦各细分领域，加快产业化进程，推进概念验证、应用迭代与市场拓展。部分产业领域实现从无到有、从小到大转变。在优势领域形成5个左右具有国际影响力的未来产业集群，初步建成未来产业先导区，未来产业总体规模实现快速增长。</w:t>
      </w:r>
    </w:p>
    <w:p w14:paraId="245D3E66">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到2035年，未来产业全过程创新链基本完善，形成一批引领科技前沿的未来产业标杆性产品和服务。在未来网络、通用智能、生命与健康等领域，形成若干全球领先的未来产业集群，成为全球未来产业创新策源中心和发展高地。</w:t>
      </w:r>
    </w:p>
    <w:p w14:paraId="5643BA7F">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二、瞄准重点领域，构建广东未来产业发展体系</w:t>
      </w:r>
    </w:p>
    <w:p w14:paraId="44AFB64D">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面向全球科技和产业前沿，把握科技创新和产业发展趋势，立足广东现有基础，瞄准重点领域，构建广东未来产业培育体系，营造重点突出、特色鲜明、相互促进、协同发展的产业生态。结合前沿技术发展实际情况，对相关领域和方向进行动态调整。</w:t>
      </w:r>
    </w:p>
    <w:p w14:paraId="55EDB8AA">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（一）未来网络。</w:t>
      </w:r>
      <w:r>
        <w:rPr>
          <w:rFonts w:hint="eastAsia" w:ascii="Times New Roman" w:hAnsi="Times New Roman" w:eastAsia="方正仿宋简体" w:cs="方正仿宋简体"/>
          <w:color w:val="424242"/>
          <w:kern w:val="0"/>
          <w:sz w:val="32"/>
          <w:szCs w:val="32"/>
          <w:shd w:val="clear" w:color="auto" w:fill="FFFFFF"/>
          <w:lang w:bidi="ar"/>
        </w:rPr>
        <w:t>加快发展高速全光通信、下一代移动通信、算力网络、光计算与可见光通信，构建空天地一体、通感算一体、设施与应用深度融合的未来网络体系。</w:t>
      </w:r>
    </w:p>
    <w:p w14:paraId="7124A3A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（二）通用智能。</w:t>
      </w:r>
      <w:r>
        <w:rPr>
          <w:rFonts w:hint="eastAsia" w:ascii="Times New Roman" w:hAnsi="Times New Roman" w:eastAsia="方正仿宋简体" w:cs="方正仿宋简体"/>
          <w:color w:val="424242"/>
          <w:kern w:val="0"/>
          <w:sz w:val="32"/>
          <w:szCs w:val="32"/>
          <w:shd w:val="clear" w:color="auto" w:fill="FFFFFF"/>
          <w:lang w:bidi="ar"/>
        </w:rPr>
        <w:t>加快大模型、具身智能机器人、未来智能终端、智能无人系统等技术突破和产业化，前瞻布局类脑智能。</w:t>
      </w:r>
    </w:p>
    <w:p w14:paraId="69C8A8E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（三）生命与健康。</w:t>
      </w:r>
      <w:r>
        <w:rPr>
          <w:rFonts w:hint="eastAsia" w:ascii="Times New Roman" w:hAnsi="Times New Roman" w:eastAsia="方正仿宋简体" w:cs="方正仿宋简体"/>
          <w:color w:val="424242"/>
          <w:kern w:val="0"/>
          <w:sz w:val="32"/>
          <w:szCs w:val="32"/>
          <w:shd w:val="clear" w:color="auto" w:fill="FFFFFF"/>
          <w:lang w:bidi="ar"/>
        </w:rPr>
        <w:t>加快合成生物、AI+生物医药、细胞和基因治疗、脑科学与脑机接口、类器官等技术突破和产业化，推动生物技术和信息技术融合发展。</w:t>
      </w:r>
    </w:p>
    <w:p w14:paraId="01E9C33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（四）低碳能源。</w:t>
      </w:r>
      <w:r>
        <w:rPr>
          <w:rFonts w:hint="eastAsia" w:ascii="Times New Roman" w:hAnsi="Times New Roman" w:eastAsia="方正仿宋简体" w:cs="方正仿宋简体"/>
          <w:color w:val="424242"/>
          <w:kern w:val="0"/>
          <w:sz w:val="32"/>
          <w:szCs w:val="32"/>
          <w:shd w:val="clear" w:color="auto" w:fill="FFFFFF"/>
          <w:lang w:bidi="ar"/>
        </w:rPr>
        <w:t>加快发展新型储能、绿色氢能、先进核能、碳捕集利用与封存（CCUS）等技术，构建新型能源体系。</w:t>
      </w:r>
    </w:p>
    <w:p w14:paraId="3A1187D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（五）先进材料。</w:t>
      </w:r>
      <w:r>
        <w:rPr>
          <w:rFonts w:hint="eastAsia" w:ascii="Times New Roman" w:hAnsi="Times New Roman" w:eastAsia="方正仿宋简体" w:cs="方正仿宋简体"/>
          <w:color w:val="424242"/>
          <w:kern w:val="0"/>
          <w:sz w:val="32"/>
          <w:szCs w:val="32"/>
          <w:shd w:val="clear" w:color="auto" w:fill="FFFFFF"/>
          <w:lang w:bidi="ar"/>
        </w:rPr>
        <w:t>加快仿生智能材料、纳米材料、超导材料、先进金属等研发应用，推动材料、装备、制造体系循环迭代创新。</w:t>
      </w:r>
    </w:p>
    <w:p w14:paraId="666D482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（六）未来空间。</w:t>
      </w:r>
      <w:r>
        <w:rPr>
          <w:rFonts w:hint="eastAsia" w:ascii="Times New Roman" w:hAnsi="Times New Roman" w:eastAsia="方正仿宋简体" w:cs="方正仿宋简体"/>
          <w:color w:val="424242"/>
          <w:kern w:val="0"/>
          <w:sz w:val="32"/>
          <w:szCs w:val="32"/>
          <w:shd w:val="clear" w:color="auto" w:fill="FFFFFF"/>
          <w:lang w:bidi="ar"/>
        </w:rPr>
        <w:t>加快深海、网络等新空间的探测、开发、利用、保护等前沿技术工程化，推动低空经济、商业航天等新业态发展。</w:t>
      </w:r>
    </w:p>
    <w:p w14:paraId="6C7B047F">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（七）量子科技。</w:t>
      </w:r>
      <w:r>
        <w:rPr>
          <w:rFonts w:hint="eastAsia" w:ascii="Times New Roman" w:hAnsi="Times New Roman" w:eastAsia="方正仿宋简体" w:cs="方正仿宋简体"/>
          <w:color w:val="424242"/>
          <w:kern w:val="0"/>
          <w:sz w:val="32"/>
          <w:szCs w:val="32"/>
          <w:shd w:val="clear" w:color="auto" w:fill="FFFFFF"/>
          <w:lang w:bidi="ar"/>
        </w:rPr>
        <w:t>加快量子计算、量子精密测量、量子通信等技术突破和产业化，引领新一轮信息革命。</w:t>
      </w:r>
    </w:p>
    <w:p w14:paraId="42DE5C8F">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三、实施七大工程，打造全球未来产业发展高地</w:t>
      </w:r>
    </w:p>
    <w:p w14:paraId="5C62C39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（一）产业创新“策源”工程。</w:t>
      </w:r>
    </w:p>
    <w:p w14:paraId="15696D3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未来产业预见行动。建立“科学家+企业家+投资人”协同的技术挖掘与甄别机制，推动前沿技术“地平线扫描”，定期开展未来产业方向预测研判，强化技术“奇点”和市场引爆点识别能力。加强未来产业发展战略研究咨询，召集全球顶尖科学家、世界500强企业家、青年“极客”等，围绕全球科技进步、科技促进经济社会发展、科技应对全球性重大挑战等重点问题，开展前瞻性、针对性、储备性战略研究，为广东未来产业发展提供决策支持。（省发展改革委、科技厅、工业和信息化厅按职责分工负责，以下均需各相关地级以上市人民政府落实，不再列出）</w:t>
      </w:r>
    </w:p>
    <w:p w14:paraId="2F8FDB3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源头创新供给行动。深入实施基础研究十年“卓粤”计划，依托国家应用数学中心、粤港澳大湾区（广东）量子科学中心等重大科研平台，开展基础与应用基础研究，着力解决未来产业领域的重大科学问题。加强省自然科学基金对未来产业相关领域的支持，重点鼓励前沿原创探索和非共识创新。围绕重点领域实施前沿技术和颠覆性技术研发专项，紧跟国际科技发展动态，推动前沿技术和颠覆性技术创新突破。（省科技厅负责）</w:t>
      </w:r>
    </w:p>
    <w:p w14:paraId="3BCE68F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创新平台建设行动。培育未来产业研究院，围绕未来产业重点发展方向，聚合学术界、产业界等多方力量，以引领支撑未来技术进步、服务产业未来化为目标，打造一批覆盖从原始创新到大规模商用各创新环节的高水平综合性创新平台。加快国家实验室、全国重点实验室、广东省实验室、粤港澳联合实验室、“一带一路”联合实验室等实验室体系建设，推动各实验室开展未来产业跨学科、大协同攻关。（省发展改革委、科技厅、工业和信息化厅按职责分工负责）</w:t>
      </w:r>
    </w:p>
    <w:p w14:paraId="404F29C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企业梯队培育行动。发挥企业科技创新主体作用，将企业发展成为创新策源的主力军。实施未来产业优质企业梯度培育计划，鼓励科技领军企业勇闯科技前沿的“无人区”，挑战科学和技术难题，在理论、方法、工具、系统等方面实现革命性突破。聚焦未来产业重点领域，培育一批创新能力突出、核心竞争力强、行业影响力大的行业骨干企业。省市联动加强对未来产业中小企业的政策支持与服务，培育更多单项冠军企业、专精特新中小企业、“新物种”企业，催生更多新技术新业态新模式。（省发展改革委、科技厅、工业和信息化厅按职责分工负责）</w:t>
      </w:r>
    </w:p>
    <w:p w14:paraId="4940483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（二）基础设施“筑基”工程。</w:t>
      </w:r>
    </w:p>
    <w:p w14:paraId="1533DBA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高质量数据集建设行动。探索打造人工智能数据集中训练基地，支持多渠道收集、整合高质量多模态数据，建设大规模通用中文语料库。加强主流中英文数据的清洗及过滤，构建标准化语料资源池。整合多模态数据集，打造高质量代码、人类反馈指令数据、科技数据等专业知识数据集。面向工业、医药、电信、金融、教育等重点行业汇聚高质量、权威数据，打造行业训练数据资源库。支持精细化标注平台建设，提升数据标注库规模和质量。（省工业和信息化厅、科技厅、政务和数据局按职责分工负责）</w:t>
      </w:r>
    </w:p>
    <w:p w14:paraId="34E7863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数字基础设施建设行动。加快5G、千兆光网、新型城域网等网络设施建设，推动骨干网、城域网扩容提速。支持行业大数据中心和专业平台等数据处理基础设施建设，推动“一网共享”平台、行业可信数据空间、广州数据交易所、深圳数据交易所、开放广东等数据流通基础设施建设，支撑跨企业、跨行业、跨领域数据确权、定价、交易和流通。加快构建数据综合业务网，依托web3.0、区块链、分布式数字身份等技术完善个人和组织专属数字空间，探索打造数字身份。促进通用计算、智能计算、超级计算等多元算力融合发展，鼓励鹏城实验室、粤港澳大湾区大数据中心等单位探索建设多层级算力调度平台，实现异属异构异地算力“一点接入，即取即用”。探索打造先进存力中心和数据价值中心，加快实现重点行业核心数据、重要数据灾备覆盖率100%。鼓励数据安全和隐私保护增强技术平台建设。（省委网信办，省发展改革委、工业和信息化厅、政务和数据局，省通信管理局按职责分工负责）</w:t>
      </w:r>
    </w:p>
    <w:p w14:paraId="7F2F1BB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科技基础设施建设行动。以大湾区综合性国家科学中心建设为牵引，合理有序布局重大科技基础设施，支撑未来产业相关基础科学问题和底层技术研究。推动散裂中子源一期等已建成设施发挥作用，加快强流重离子加速器、加速器驱动嬗变等在建设施建设进度，推动散裂中子源二期、人类细胞谱系、冷泉生态系统、先进阿秒激光、鹏城云脑网络智能设施等列入国家规划的设施加快落地。支持生物样本库、种质资源库、实验动物中心等重要科研平台建设。布局建设一批高等级生物安全实验室，加强对不同等级风险生物技术研发活动的安全管理。支持天然气水合物钻采船码头和岩心库等基础设施建设。（省发展改革委、科技厅按职责分工负责）</w:t>
      </w:r>
    </w:p>
    <w:p w14:paraId="750949A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（三）创新成果“孵化”工程。</w:t>
      </w:r>
    </w:p>
    <w:p w14:paraId="0ECA041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创新主体成果转化能力提升行动。鼓励省内高校和科研院所成立适合自身特点的技术转移机构，组建专职技术转移人才队伍，将科技成果转化与产学研合作情况作为高校和科研院所的重要考核内容。推进技术转移机构高质量发展，发挥华南（广州）技术转移中心、广东高校科技成果转化中心、深交所科技成果与知识产权交易中心等机构资源聚集、交易促进、配套服务等功能，加快高校、科研院所技术与资本的有效对接和科技成果产业化。（省教育厅、科技厅、市场监管局按职责分工负责）</w:t>
      </w:r>
    </w:p>
    <w:p w14:paraId="146E992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孵化载体建设行动。建立一批专业化的未来产业概念验证中心，提供早期科技成果评估、技术可行性评价等概念验证服务。支持科技成果中试熟化与产业化基地建设，为市场主体提供中试熟化与产业化创新服务。打造一批未来产业孵化载体，构建“众创空间-孵化器-加速器-科技园”未来产业全链条孵化体系，为企业提供创业辅导、政策咨询、知识产权保护、投融资对接、市场推广等服务，推动一批未来产业技术成果转化。（省发展改革委、科技厅、工业和信息化厅按职责分工负责）</w:t>
      </w:r>
    </w:p>
    <w:p w14:paraId="33658CC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（四）场景示范“领航”工程。</w:t>
      </w:r>
    </w:p>
    <w:p w14:paraId="7AAD5F5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场景创新行动。针对目前仍处于基础研究和科学发现阶段，但未来实现技术突破后将对经济社会产生颠覆性影响的战略必争领域，主动谋划设计一批未来产业高价值重大场景项目，为前沿技术、颠覆性技术突破提供更加优质的验证平台。鼓励本地央企、国企、传统行业龙头企业开放场景机会，持续征集发布场景机会清单。支持举办场景项目供需对接与路演活动，鼓励大中小企业融通创新，由龙头企业牵头设计场景，中小企业等各类市场主体参与场景建设，丰富场景创新生态。组建粤港澳大湾区场景创新中心，制定常态化场景挖掘、场景策划、场景发布、场景对接等工作机制。（省发展改革委、科技厅、工业和信息化厅、国资委按职责分工负责）</w:t>
      </w:r>
    </w:p>
    <w:p w14:paraId="4AF4962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标杆示范行动。针对目前已进入试点阶段、应用场景较为明确、在3-5年内有望实现规模产业化的未来产业方向，鼓励有条件的地市实施应用标杆示范打造计划，支持建设若干应用综合示范区域。围绕“大模型+虚拟数字人”“数字空间+智慧城市”“智能无人系统+低空经济”“新型储能+绿色低碳”等经济社会高质量发展需求，加快形成具有商业价值的示范产品和可复制推广的标杆解决方案，吸引社会资本参与，推动未来产业加快规模化发展。（省发展改革委、科技厅、工业和信息化厅、政务和数据局按职责分工负责）</w:t>
      </w:r>
    </w:p>
    <w:p w14:paraId="0933F84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成果推广行动。落实政府采购支持首台（套）相关政策，鼓励国家机关、事业单位、国有企业和社会组织首购、订购新技术、新材料、新产品、新服务，促进未来产业重点领域首台（套）推广应用。完善市场需求对接机制，充分发挥市场潜力，加快推动创新成果商业价值实现。（省发展改革委、科技厅、工业和信息化厅、国资委按职责分工负责）</w:t>
      </w:r>
    </w:p>
    <w:p w14:paraId="0766E6C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（五）科技金融“赋能”工程。</w:t>
      </w:r>
    </w:p>
    <w:p w14:paraId="271B145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创投资本体系构建行动。支持天使投资发展，促进前沿技术、颠覆性技术研发和科技项目成果产业化。鼓励各级政府、国有资本发挥好天使投资、创业引导、产业引导等基金的引导撬动作用，支持政府引导类基金将归属财政出资部分的收益按一定比例或全额让渡给社会资本出资方，引导社会资本加大对未来产业领域种子期、初创期企业的投资力度，发挥“耐心资本”作用。开展“捐赠+投资”结合试点，建立财政投入、风险投资、社会捐赠等相结合的多元投入体系。（省委金融办，省发展改革委、科技厅、工业和信息化厅、财政厅、国资委按职责分工负责）</w:t>
      </w:r>
    </w:p>
    <w:p w14:paraId="456C78B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金融产品服务创新行动。用好用足再贷款、再贴现等政策工具，鼓励银行机构开发符合未来产业特点的金融产品，加大首贷、信用贷款、知识产权质押贷款等科技信贷投放力度。支持各级融资担保机构为企业开展创新创业活动提供融资担保服务。鼓励保险机构创新产品和服务，加快发展科技保险、专利保险。提升区域性股权市场服务科技创新效能。支持符合条件的科技创新型中小企业上市、挂牌。（省委金融办，省科技厅，中国人民银行广东省分行、广东金融监管局、广东证监局按职责分工负责）</w:t>
      </w:r>
    </w:p>
    <w:p w14:paraId="369E113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科技金融生态打造行动。建立健全多层次科技金融服务网络，打造一批未来产业领域“产学研招投”协同创新平台，探索搭建集聚天使投资人、高成长科创项目、初创科技型企业的天使投资专业化服务平台，强化对早期项目的发现及投资培育，打造有利于初创期科技型企业成长壮大的良好生态。在依法合规前提下，加快未来产业企业公共信用信息归集、整合、共享步伐，提高未来产业企业融资可获得性。（省科技厅、市场监管局按职责分工负责）</w:t>
      </w:r>
    </w:p>
    <w:p w14:paraId="5B3412D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（六）精英人才“引培”工程。</w:t>
      </w:r>
    </w:p>
    <w:p w14:paraId="0CC7C61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未来产业战略人才引培行动。依托广东省重大人才工程、人才项目，加大对未来产业重点领域的支持力度，引进培养具有前瞻性判断能力、跨学科理解能力、大兵团作战组织领导能力的战略科学家、战略型企业家。充分利用市场化、信息化手段遴选未来产业领军人才和青年拔尖人才，形成具有国际水平的未来产业战略人才成长梯队。支持科研院所、咨询机构等开展未来学研究，培养具备科学素养、分析能力、媒体影响力的未来学人才。（省委组织部，省科技厅、工业和信息化厅、人力资源社会保障厅按职责分工负责）</w:t>
      </w:r>
    </w:p>
    <w:p w14:paraId="0CB45B1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未来产业科技人才汇聚行动。开展全球创新人才扫描，支持用人单位通过市场化方式常态化精准引才、靶向引才。支持和鼓励高校、科研院所等事业单位聘用在专业技术岗位上的科研人员，按规定开展创新创业。设立创新人才课题或开放性研究课题，实施卓越青年团队项目、杰出青年基金项目，培养造就一批高水平青年科技人才。鼓励支持省内高校结合学科优势特色，聚焦一个或多个未来技术领域建设未来技术学院，打造能够引领未来科技发展和有效培养复合型、创新型人才的教学科研高地和人才培养平台。探索未来产业人才培养新模式，构建以“从0到1”挑战性问题为驱动的创新型人才培养开放平台，汇聚国内外顶尖科学家，面向青少年学生群体打造长周期人才培养体系。支持省内高校、科研院所与科技企业联合设立“创投学院”，提供植根于一线创新企业真实应用场景的体系化创业教育，打造人才培养-项目孵化-创业赋能的创新生态系统。（省委组织部，省教育厅、科技厅、工业和信息化厅、人力资源社会保障厅按职责分工负责）</w:t>
      </w:r>
    </w:p>
    <w:p w14:paraId="69B292B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人才创新活力激发行动。精简优化科研业务管理，加强部门间基础数据互联互通，减少科技业务办理中基础信息反复填报。推进以信任和绩效为核心的科研经费管理改革，赋予科学家更大的人财物支配权和技术路线决策权。深入推进科技人才评价改革试点，建立以创新价值、能力、贡献为导向的科技人才评价体系。改进科研项目验收管理，对自由探索和颠覆性创新活动建立免责制度，营造允许失败、宽容失败的未来产业科研氛围。（省教育厅、科技厅、人力资源社会保障厅按职责分工负责）</w:t>
      </w:r>
    </w:p>
    <w:p w14:paraId="44205F3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（七）开放合作“携手”工程。</w:t>
      </w:r>
    </w:p>
    <w:p w14:paraId="79CE5FD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国际交流合作行动。推动“卓粤”计划探索设立基础研究全球开放性课题，吸引全球优秀科学家及科研人员针对通用智能、生命健康、绿色低碳等未来产业主要技术演进方向的重大科学问题开展科学研究。加快人体蛋白质组导航（π-HuB）等国际大科学计划和大科学工程实施，打造跨学科、跨领域、跨组织的协作网络，吸引更多具有全球影响力的国际组织和科学家共同参与广东未来产业重大课题研究。推动建设国际联合实验室，面向国际科学前沿和国家战略需求，开展国际化科学研究，争取国内外大型企业、科研机构参与联合实验室建设，广泛汇聚创新资源。支持各地市、高校院所等设立国际技术转移中心、产业技术联合创新中心等对外科技合作平台，建设国际技术转移网络，促进创新成果落地转化。依托“大湾区科学论坛”等活动，平行举办未来产业主题论坛和会议，打造高质量国际未来产业交流合作平台。（省发展改革委、科技厅按职责分工负责）</w:t>
      </w:r>
    </w:p>
    <w:p w14:paraId="64B5C24E">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粤港澳协同行动。大力推进横琴、前海、南沙、河套等重大合作平台建设，加快粤港澳三地规则衔接、机制对接，深入开展“数字湾区”建设，进一步推动“钱过境、人往来、税平衡、物流通”，持续推动未来产业相关科研资金、仪器设备、大科学装置、技术信息、数据资源等创新要素跨境高效流动和开放共建共享。支持三地创新主体开展联合科研攻关，持续实施科技创新联合资助计划，推动省重点领域研发计划、基础研究重大项目等向港澳开放。充分发挥港澳在基础研究、原始创新、知识产权保护等方面优势，支持港澳高校在“自由探索”传统基础上，与广东联合开展“有组织、有目标”深度合作，加快未来技术成果产业化。（省发展改革委、教育厅、科技厅、政务和数据局按职责分工负责）</w:t>
      </w:r>
    </w:p>
    <w:p w14:paraId="69050A83">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四、聚焦“两核、双廊”，优化广东未来产业空间布局</w:t>
      </w:r>
    </w:p>
    <w:p w14:paraId="0A726270">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广州、深圳充分发挥核心引擎作用，紧盯全球科技和产业发展前沿，全面培育发展未来产业，以建设未来产业先导区为牵引，加速技术创新和产业培育，争当全球未来产业发展的引领者。在广深港、广珠澳科技创新走廊和深港河套、粤澳横琴科技创新极点开展高水平合作和高效率协同，不断集聚国际高端创新资源，构建开放型未来产业区域协同创新共同体。结合“百千万工程”实施，支持粤东粤西粤北地区结合本地优势积极发展未来产业，形成一批自主可控、技术先进的未来产业产品和装备。全省形成以广州、深圳为核心，以广深港、广珠澳“双廊”为主轴，其余各地特色发展的未来产业“两核双廊多极点”发展空间布局。</w:t>
      </w:r>
    </w:p>
    <w:p w14:paraId="7AB3B60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广州市。以广州科学城、中新广州知识城、广州国际生物岛、南沙科学城、广州民营科技园等为核心载体，聚焦未来网络、通用智能、生命与健康、低碳能源、先进材料、未来空间、量子科技等领域，重点发展细胞和基因治疗、脑科学与脑机接口、类器官、仿生智能材料、纳米材料、深海空间、网络空间、低空经济、量子精密测量等细分产业。</w:t>
      </w:r>
    </w:p>
    <w:p w14:paraId="36E1165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深圳市。以光明科学城、河套深港科技创新合作区、前海深港现代服务业合作区、西丽湖国际科教城等为核心载体，聚焦未来网络、通用智能、生命与健康、低碳能源、先进材料、未来空间、量子科技等领域，重点发展下一代移动通信、算力网络、大模型、通用智能终端、具身智能机器人、合成生物、AI+生物医药、细胞和基因治疗、脑科学与脑机接口、低空经济、量子计算等细分产业。</w:t>
      </w:r>
    </w:p>
    <w:p w14:paraId="58B01B0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珠海市。依托横琴粤澳深度合作区、珠海高新区等重点创新平台，聚焦低碳能源、未来空间、通用智能、生命与健康等领域，重点发展新型储能、深海空间、网络空间、未来智能终端、智能无人系统、脑科学与脑机接口、低空经济等细分产业。</w:t>
      </w:r>
    </w:p>
    <w:p w14:paraId="4EA2F1E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佛山市。以佛山国家高新区、三龙湾科技城、佛山人才创新灯塔产业园、佛山云东海医药健康产业园、佛山北滘机器人谷智造产业园等为载体，聚焦通用智能、生命与健康、先进材料、低碳能源、未来空间等领域，重点发展具身智能机器人、未来智能终端、AI+生物医药、细胞和基因治疗、绿色氢能、新型储能、深海空间等细分产业。</w:t>
      </w:r>
    </w:p>
    <w:p w14:paraId="443D4DB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惠州市。以大亚湾开发区、仲恺高新区、惠州新材料产业园为核心载体，聚焦未来网络、通用智能、低碳能源、先进材料等领域，重点发展智能无人系统、新型储能、先进核能、碳捕集利用与封存、纳米材料等细分产业。</w:t>
      </w:r>
    </w:p>
    <w:p w14:paraId="0CCE2C7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东莞市。以松山湖科学城、滨海湾片区、水乡片区等为核心载体，聚焦未来网络、通用智能、生命与健康、未来空间、低碳能源、先进材料等领域，重点发展下一代移动通信、未来智能终端、具身智能机器人、合成生物、网络空间、超导材料、先进金属材料、纳米材料、绿色氢能、新型储能等细分产业。</w:t>
      </w:r>
    </w:p>
    <w:p w14:paraId="3813412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中山市。以中山火炬开发区、翠亨新区、岐江新城为核心载体，聚焦未来网络、通用智能、生命与健康、低碳能源、先进材料、未来空间等领域，重点发展下一代移动通信、光计算与可见光通信、未来智能终端、智能无人系统、细胞和基因治疗、新型储能、绿色氢能、先进核能、先进金属、深海空间、低空经济、网络空间等细分产业。</w:t>
      </w:r>
    </w:p>
    <w:p w14:paraId="6FEAD8D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——江门市。加快江门人才岛科创中心、中科健康创新生物产业园等科技载体建设，聚焦先进材料、低碳能源、未来空间等领域，重点发展先进金属、先进核能、新型储能、深海空间等细分产业。</w:t>
      </w:r>
    </w:p>
    <w:p w14:paraId="0062704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肇庆市。依托珠三角（肇庆）国家自主创新示范区、西江高新技术产业开发区、金利高新技术产业开发区、广东省（肇庆）大型产业集聚区等科技创新载体，聚焦低碳能源等领域，重点发展新型储能等细分产业。</w:t>
      </w:r>
    </w:p>
    <w:p w14:paraId="1291FCF4">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粤东粤西粤北地区。各市结合资源禀赋和功能定位，聚焦低碳能源、未来空间等领域，重点发展绿色氢能、新型储能、先进核能、碳捕集利用与封存、深海空间等细分产业。全面加强与粤港澳大湾区合作，推动粤港澳大湾区科技成果在粤东粤西粤北地区转移转化，打造未来产业沿海发展带和北部应用示范区。</w:t>
      </w:r>
    </w:p>
    <w:p w14:paraId="26928192">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五、组织保障</w:t>
      </w:r>
    </w:p>
    <w:p w14:paraId="3BD034F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（一）强化组织实施。</w:t>
      </w:r>
      <w:r>
        <w:rPr>
          <w:rFonts w:hint="eastAsia" w:ascii="Times New Roman" w:hAnsi="Times New Roman" w:eastAsia="方正仿宋简体" w:cs="方正仿宋简体"/>
          <w:color w:val="424242"/>
          <w:kern w:val="0"/>
          <w:sz w:val="32"/>
          <w:szCs w:val="32"/>
          <w:shd w:val="clear" w:color="auto" w:fill="FFFFFF"/>
          <w:lang w:bidi="ar"/>
        </w:rPr>
        <w:t>省发展改革委会同省科技厅、省工业和信息化厅、省能源局等有关部门抓好本方案落地实施，确保各项工作落实落细。各地结合资源禀赋和特色优势，制定细化工作计划，明确未来产业发展目标，研究制定重点领域培育发展策略，梳理创新主体清单、重点项目清单，明确发展路线图、时间表，分层次、体系化布局未来产业，形成梯次培育发展格局，避免一哄而上造成资源浪费。（省发展改革委、科技厅、工业和信息化厅、能源局按职责分工负责）</w:t>
      </w:r>
    </w:p>
    <w:p w14:paraId="2022C55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（二）创新体制机制。</w:t>
      </w:r>
      <w:r>
        <w:rPr>
          <w:rFonts w:hint="eastAsia" w:ascii="Times New Roman" w:hAnsi="Times New Roman" w:eastAsia="方正仿宋简体" w:cs="方正仿宋简体"/>
          <w:color w:val="424242"/>
          <w:kern w:val="0"/>
          <w:sz w:val="32"/>
          <w:szCs w:val="32"/>
          <w:shd w:val="clear" w:color="auto" w:fill="FFFFFF"/>
          <w:lang w:bidi="ar"/>
        </w:rPr>
        <w:t>深化职务科技成果权属改革，探索推动职务科技成果单列管理，提升科技成果转化效率。探索构建鼓励创新、弹性包容的未来产业产品和服务准入、市场监督制度。探索“观察期”“包容期”等新型监管举措，在符合条件的领域试点“沙盒监管”。强化创新容错，深化科研人员减负松绑。积极争创国家未来产业先导区，推动一批先行先试的改革任务攻坚和创新政策试点。（省发展改革委、科技厅、市场监管局按职责分工负责）</w:t>
      </w:r>
    </w:p>
    <w:p w14:paraId="6703708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（三）开展监测评估。</w:t>
      </w:r>
      <w:r>
        <w:rPr>
          <w:rFonts w:hint="eastAsia" w:ascii="Times New Roman" w:hAnsi="Times New Roman" w:eastAsia="方正仿宋简体" w:cs="方正仿宋简体"/>
          <w:color w:val="424242"/>
          <w:kern w:val="0"/>
          <w:sz w:val="32"/>
          <w:szCs w:val="32"/>
          <w:shd w:val="clear" w:color="auto" w:fill="FFFFFF"/>
          <w:lang w:bidi="ar"/>
        </w:rPr>
        <w:t>根据未来产业发展特点，建立未来产业统计监测和评估体系，及时掌握各细分领域发展动态，设立追踪反馈、评价调整机制，适时完善和调整有关政策。建立动态调整机制，对于技术研发有突破、市场潜力明朗、产业化进程加速的领域，加大投入力争早日形成产业。（省发展改革委、科技厅、工业和信息化厅、统计局按职责分工负责）</w:t>
      </w:r>
    </w:p>
    <w:p w14:paraId="6508765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（四）营造良好氛围。</w:t>
      </w:r>
      <w:r>
        <w:rPr>
          <w:rFonts w:hint="eastAsia" w:ascii="Times New Roman" w:hAnsi="Times New Roman" w:eastAsia="方正仿宋简体" w:cs="方正仿宋简体"/>
          <w:color w:val="424242"/>
          <w:kern w:val="0"/>
          <w:sz w:val="32"/>
          <w:szCs w:val="32"/>
          <w:shd w:val="clear" w:color="auto" w:fill="FFFFFF"/>
          <w:lang w:bidi="ar"/>
        </w:rPr>
        <w:t>完善产权保护、市场准入、公平竞争等制度，打造市场化法治化国际化营商环境，全面推行科研诚信承诺制，加强对科研活动全过程诚信审核，营造尊重人才、鼓励创新、宽容失败的社会氛围和创新文化。举办好大湾区科学论坛，支持优势学科领域建立学术团体组织，营造浓厚的未来产业学术交流氛围，引导各方力量参与未来产业培育发展。（省发展改革委、科技厅、市场监管局按职责分工负责）</w:t>
      </w:r>
    </w:p>
    <w:p w14:paraId="5C7D659E">
      <w:pPr>
        <w:spacing w:line="570" w:lineRule="exact"/>
        <w:rPr>
          <w:rFonts w:ascii="Times New Roman" w:hAnsi="Times New Roman" w:eastAsia="方正仿宋简体" w:cs="方正仿宋简体"/>
          <w:sz w:val="32"/>
          <w:szCs w:val="32"/>
        </w:rPr>
      </w:pPr>
    </w:p>
    <w:p w14:paraId="38676925">
      <w:pPr>
        <w:widowControl w:val="0"/>
        <w:spacing w:before="240" w:after="60" w:line="570" w:lineRule="exact"/>
        <w:ind w:firstLine="880"/>
        <w:jc w:val="center"/>
        <w:outlineLvl w:val="9"/>
        <w:rPr>
          <w:rFonts w:hint="eastAsia" w:ascii="Times New Roman" w:hAnsi="Times New Roman" w:eastAsia="方正小标宋简体" w:cs="Times New Roman"/>
          <w:kern w:val="2"/>
          <w:sz w:val="44"/>
          <w:szCs w:val="24"/>
          <w:lang w:val="en-US" w:eastAsia="zh-CN" w:bidi="ar-SA"/>
        </w:rPr>
      </w:pPr>
    </w:p>
    <w:p w14:paraId="27DC4F34">
      <w:pPr>
        <w:widowControl w:val="0"/>
        <w:spacing w:before="240" w:after="60" w:line="570" w:lineRule="exact"/>
        <w:ind w:firstLine="880"/>
        <w:jc w:val="center"/>
        <w:outlineLvl w:val="9"/>
        <w:rPr>
          <w:rFonts w:hint="eastAsia" w:ascii="Times New Roman" w:hAnsi="Times New Roman" w:eastAsia="方正小标宋简体" w:cs="Times New Roman"/>
          <w:kern w:val="2"/>
          <w:sz w:val="44"/>
          <w:szCs w:val="24"/>
          <w:lang w:val="en-US" w:eastAsia="zh-CN" w:bidi="ar-SA"/>
        </w:rPr>
      </w:pPr>
    </w:p>
    <w:p w14:paraId="51A9A790">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广东省人民政府办公厅关于印发广东省加快推动光芯片产业创新发展行动方案</w:t>
      </w:r>
    </w:p>
    <w:p w14:paraId="353D10C0">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（2024—2030年）的通知</w:t>
      </w:r>
    </w:p>
    <w:p w14:paraId="75FF19A4">
      <w:pPr>
        <w:spacing w:line="570" w:lineRule="exact"/>
        <w:jc w:val="center"/>
        <w:rPr>
          <w:rFonts w:ascii="Times New Roman" w:hAnsi="Times New Roman" w:eastAsia="方正仿宋简体" w:cs="方正仿宋简体"/>
          <w:sz w:val="32"/>
          <w:szCs w:val="32"/>
        </w:rPr>
      </w:pPr>
      <w:r>
        <w:rPr>
          <w:rFonts w:hint="eastAsia" w:ascii="Times New Roman" w:hAnsi="Times New Roman" w:eastAsia="方正仿宋简体" w:cs="方正仿宋简体"/>
          <w:sz w:val="32"/>
          <w:szCs w:val="32"/>
          <w:lang w:bidi="ar"/>
        </w:rPr>
        <w:t>粤办函〔2024〕289号</w:t>
      </w:r>
    </w:p>
    <w:p w14:paraId="22A77E12">
      <w:pPr>
        <w:spacing w:line="570" w:lineRule="exact"/>
        <w:jc w:val="center"/>
        <w:rPr>
          <w:rFonts w:ascii="Times New Roman" w:hAnsi="Times New Roman" w:eastAsia="方正仿宋简体" w:cs="方正仿宋简体"/>
          <w:sz w:val="32"/>
          <w:szCs w:val="32"/>
        </w:rPr>
      </w:pPr>
    </w:p>
    <w:p w14:paraId="28F6CDAF">
      <w:pPr>
        <w:spacing w:line="570" w:lineRule="exact"/>
        <w:jc w:val="center"/>
        <w:rPr>
          <w:rFonts w:ascii="Times New Roman" w:hAnsi="Times New Roman" w:eastAsia="方正仿宋简体" w:cs="方正仿宋简体"/>
          <w:sz w:val="32"/>
          <w:szCs w:val="32"/>
        </w:rPr>
      </w:pPr>
    </w:p>
    <w:p w14:paraId="1F749178">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749317AB">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经省人民政府同意，现将《广东省加快推动光芯片产业创新发展行动方案（2024—2030年）》印发给你们，请结合实际认真贯彻执行。执行中遇到的问题，请径向省发展改革委反映。</w:t>
      </w:r>
    </w:p>
    <w:p w14:paraId="3D496F0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160007B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省政府办公厅</w:t>
      </w:r>
    </w:p>
    <w:p w14:paraId="4454E6A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2024年9月29日</w:t>
      </w:r>
    </w:p>
    <w:p w14:paraId="1F59108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CA4CB04">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广东省加快推动光芯片产业创新发展行动方案</w:t>
      </w:r>
    </w:p>
    <w:p w14:paraId="22BA1852">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（2024—2030年）</w:t>
      </w:r>
    </w:p>
    <w:p w14:paraId="43C6545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36648287">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光芯片是实现光电信号转换的基础元器件，相较于集成电路展现出更低的传输损耗、更宽的传输带宽、更小的时间延迟以及更强的抗电磁干扰能力，有望带动半导体产业变革式发展，有力支撑新一代网络通信、人工智能、智能网联汽车等产业高质量发展。为加快培育发展光芯片产业，力争到2030年取得10项以上光芯片领域关键核心技术突破，打造10个以上“拳头”产品，培育10家以上具有国际竞争力的一流领军企业，建设10个左右国家和省级创新平台，培育形成新的千亿级产业集群，建设成为具有全球影响力的光芯片产业创新高地，制定本行动方案。</w:t>
      </w:r>
    </w:p>
    <w:p w14:paraId="03A0349F">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一、重点任务</w:t>
      </w:r>
    </w:p>
    <w:p w14:paraId="1D7FA84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（一）突破产业关键技术。</w:t>
      </w:r>
    </w:p>
    <w:p w14:paraId="2880234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强化光芯片基础研究和原始创新能力。</w:t>
      </w:r>
      <w:r>
        <w:rPr>
          <w:rFonts w:hint="eastAsia" w:ascii="Times New Roman" w:hAnsi="Times New Roman" w:eastAsia="方正仿宋简体" w:cs="方正仿宋简体"/>
          <w:color w:val="424242"/>
          <w:kern w:val="0"/>
          <w:sz w:val="32"/>
          <w:szCs w:val="32"/>
          <w:shd w:val="clear" w:color="auto" w:fill="FFFFFF"/>
          <w:lang w:bidi="ar"/>
        </w:rPr>
        <w:t>鼓励有条件的企业、高校、科研院所等围绕单片集成、光子计算、超高速光子网络、柔性光子芯片、片上光学神经网络等未来前沿科学问题开展基础研究。支持科技领军企业、高校、科研院所积极承担国家级光芯片相关重大攻关任务，形成一批硬核成果。（省科技厅、发展改革委、教育厅、工业和信息化厅，省科学院、中国科学院广州分院，各地级以上市人民政府等按职责分工负责，以下均需各地级以上市人民政府参与，不再列出）</w:t>
      </w:r>
    </w:p>
    <w:p w14:paraId="573F835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省重点领域研发计划支持光芯片技术攻关。</w:t>
      </w:r>
      <w:r>
        <w:rPr>
          <w:rFonts w:hint="eastAsia" w:ascii="Times New Roman" w:hAnsi="Times New Roman" w:eastAsia="方正仿宋简体" w:cs="方正仿宋简体"/>
          <w:color w:val="424242"/>
          <w:kern w:val="0"/>
          <w:sz w:val="32"/>
          <w:szCs w:val="32"/>
          <w:shd w:val="clear" w:color="auto" w:fill="FFFFFF"/>
          <w:lang w:bidi="ar"/>
        </w:rPr>
        <w:t>加大对高速光通信芯片、高性能光传感芯片、通感融合芯片、薄膜铌酸锂材料、磷化铟衬底材料、有机半导体材料、硅光集成技术、柔性集成技术、磊晶生长和外延工艺、核心半导体设备等方向的研发投入力度，着力解决产业链供应链的“卡点”“堵点”问题。（省科技厅、发展改革委、教育厅、工业和信息化厅，省科学院、中国科学院广州分院等按职责分工负责）</w:t>
      </w:r>
    </w:p>
    <w:p w14:paraId="1149DDB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加大“强芯”工程对光芯片的支持力度。</w:t>
      </w:r>
      <w:r>
        <w:rPr>
          <w:rFonts w:hint="eastAsia" w:ascii="Times New Roman" w:hAnsi="Times New Roman" w:eastAsia="方正仿宋简体" w:cs="方正仿宋简体"/>
          <w:color w:val="424242"/>
          <w:kern w:val="0"/>
          <w:sz w:val="32"/>
          <w:szCs w:val="32"/>
          <w:shd w:val="clear" w:color="auto" w:fill="FFFFFF"/>
          <w:lang w:bidi="ar"/>
        </w:rPr>
        <w:t>扩大省级科技创新战略专项、制造业当家重点任务保障专项等支持范围，将面向集成电路产业底层算法和架构技术的研发补贴、量产前首轮流片奖补等产业政策，扩展至光芯片设计自动化软件（PDA工具）、硅光MPW流片等领域，强化光芯片领域产品研发和产业化应用。（省工业和信息化厅、发展改革委、教育厅、科技厅，省科学院、中国科学院广州分院等按职责分工负责）</w:t>
      </w:r>
    </w:p>
    <w:p w14:paraId="6205F48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（二）加快中试转化进程。</w:t>
      </w:r>
    </w:p>
    <w:p w14:paraId="19DAD4C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4. 加快建设一批概念验证中心、研发先导线和中试线。</w:t>
      </w:r>
      <w:r>
        <w:rPr>
          <w:rFonts w:hint="eastAsia" w:ascii="Times New Roman" w:hAnsi="Times New Roman" w:eastAsia="方正仿宋简体" w:cs="方正仿宋简体"/>
          <w:color w:val="424242"/>
          <w:kern w:val="0"/>
          <w:sz w:val="32"/>
          <w:szCs w:val="32"/>
          <w:shd w:val="clear" w:color="auto" w:fill="FFFFFF"/>
          <w:lang w:bidi="ar"/>
        </w:rPr>
        <w:t>支持企业、高校、科研院所等围绕高速光通信芯片、高性能光传感芯片、红外光传感芯片、高性能通感融合芯片、薄膜铌酸锂、化合物半导体、硅基（异质异构）集成、光电混合集成等领域，建设概念验证中心、研发先导线和中试线，加快科技成果转化进程。（省发展改革委、教育厅、科技厅、工业和信息化厅等按职责分工负责）</w:t>
      </w:r>
    </w:p>
    <w:p w14:paraId="1068217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5. 支持中试平台积极发挥效能。</w:t>
      </w:r>
      <w:r>
        <w:rPr>
          <w:rFonts w:hint="eastAsia" w:ascii="Times New Roman" w:hAnsi="Times New Roman" w:eastAsia="方正仿宋简体" w:cs="方正仿宋简体"/>
          <w:color w:val="424242"/>
          <w:kern w:val="0"/>
          <w:sz w:val="32"/>
          <w:szCs w:val="32"/>
          <w:shd w:val="clear" w:color="auto" w:fill="FFFFFF"/>
          <w:lang w:bidi="ar"/>
        </w:rPr>
        <w:t>支持中试平台围绕光芯片相关领域，向中小企业提供原型制造、质量性能检测、小批量试生产、工艺放大熟化等系列服务，推动新技术、新产品加快熟化。鼓励综合性专业化中试平台为光芯片领域首台套装备、首批次新材料等提供验证服务，符合条件的依法依规给予一定政策和资金支持。（省发展改革委、教育厅、科技厅、工业和信息化厅等按职责分工负责）</w:t>
      </w:r>
    </w:p>
    <w:p w14:paraId="0DC67BE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6. 鼓励中试平台孵化更多创新企业。</w:t>
      </w:r>
      <w:r>
        <w:rPr>
          <w:rFonts w:hint="eastAsia" w:ascii="Times New Roman" w:hAnsi="Times New Roman" w:eastAsia="方正仿宋简体" w:cs="方正仿宋简体"/>
          <w:color w:val="424242"/>
          <w:kern w:val="0"/>
          <w:sz w:val="32"/>
          <w:szCs w:val="32"/>
          <w:shd w:val="clear" w:color="auto" w:fill="FFFFFF"/>
          <w:lang w:bidi="ar"/>
        </w:rPr>
        <w:t>鼓励中试平台搭建众创空间、孵化器、加速器等各类孵化载体，并通过许可、出售等方式将成熟技术成果转让给企业，或将部分成果通过设立子公司的方式实现商业化，孵化培养更多光芯片领域新物种企业。（省发展改革委、教育厅、科技厅、工业和信息化厅等按职责分工负责）</w:t>
      </w:r>
    </w:p>
    <w:p w14:paraId="7552593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（三）建设创新平台体系。</w:t>
      </w:r>
    </w:p>
    <w:p w14:paraId="7E34778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7. 聚焦前沿技术领域建设一批战略性平台。</w:t>
      </w:r>
      <w:r>
        <w:rPr>
          <w:rFonts w:hint="eastAsia" w:ascii="Times New Roman" w:hAnsi="Times New Roman" w:eastAsia="方正仿宋简体" w:cs="方正仿宋简体"/>
          <w:color w:val="424242"/>
          <w:kern w:val="0"/>
          <w:sz w:val="32"/>
          <w:szCs w:val="32"/>
          <w:shd w:val="clear" w:color="auto" w:fill="FFFFFF"/>
          <w:lang w:bidi="ar"/>
        </w:rPr>
        <w:t>依托企业、高校、科研院所、新型研发机构等各类创新主体，布局建设一批光芯片领域共性技术研发平台，主要聚焦基础理论研究和新兴技术、颠覆性技术攻关，加快形成前沿性、交叉性、颠覆性技术原创成果，实现更多“从0到1”的突破。（省科技厅、发展改革委、教育厅、工业和信息化厅，省科学院、中国科学院广州分院等按职责分工负责）</w:t>
      </w:r>
    </w:p>
    <w:p w14:paraId="04280E8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8. 聚焦产业创新领域培育一批专业化平台。</w:t>
      </w:r>
      <w:r>
        <w:rPr>
          <w:rFonts w:hint="eastAsia" w:ascii="Times New Roman" w:hAnsi="Times New Roman" w:eastAsia="方正仿宋简体" w:cs="方正仿宋简体"/>
          <w:color w:val="424242"/>
          <w:kern w:val="0"/>
          <w:sz w:val="32"/>
          <w:szCs w:val="32"/>
          <w:shd w:val="clear" w:color="auto" w:fill="FFFFFF"/>
          <w:lang w:bidi="ar"/>
        </w:rPr>
        <w:t>引进国内外战略科技力量，培育一批产业创新中心、技术创新中心、制造业创新中心、企业技术中心、工程研究中心、重点实验室等创新平台，主要聚焦光芯片关键细分环节，加快技术创新和产业孵化，不断提升细分领域产业优势。（省发展改革委、教育厅、科技厅、工业和信息化厅，省科学院、中国科学院广州分院等按职责分工负责）</w:t>
      </w:r>
    </w:p>
    <w:p w14:paraId="436F8EA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9. 聚焦专业化服务领域建设一批服务类平台。</w:t>
      </w:r>
      <w:r>
        <w:rPr>
          <w:rFonts w:hint="eastAsia" w:ascii="Times New Roman" w:hAnsi="Times New Roman" w:eastAsia="方正仿宋简体" w:cs="方正仿宋简体"/>
          <w:color w:val="424242"/>
          <w:kern w:val="0"/>
          <w:sz w:val="32"/>
          <w:szCs w:val="32"/>
          <w:shd w:val="clear" w:color="auto" w:fill="FFFFFF"/>
          <w:lang w:bidi="ar"/>
        </w:rPr>
        <w:t>围绕研发设计、概念验证、小试、中试、检验检测、知识产权、人才培养等专业化服务领域，打造一批促进光芯片产业创新发展的公共服务平台，强化创新成果转化水平和专业化服务能力。（省发展改革委、教育厅、科技厅、工业和信息化厅，省科学院、中国科学院广州分院等按职责分工负责）</w:t>
      </w:r>
    </w:p>
    <w:p w14:paraId="58AD0C0F">
      <w:pPr>
        <w:shd w:val="clear" w:color="auto" w:fill="FFFFFF"/>
        <w:wordWrap w:val="0"/>
        <w:spacing w:line="420" w:lineRule="atLeast"/>
        <w:ind w:firstLine="643"/>
        <w:jc w:val="left"/>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（四）推动产业集聚发展。</w:t>
      </w:r>
    </w:p>
    <w:p w14:paraId="0EB4FF0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10. 强化光芯片产业系统布局。</w:t>
      </w:r>
      <w:r>
        <w:rPr>
          <w:rFonts w:hint="eastAsia" w:ascii="Times New Roman" w:hAnsi="Times New Roman" w:eastAsia="方正仿宋简体" w:cs="方正仿宋简体"/>
          <w:color w:val="424242"/>
          <w:kern w:val="0"/>
          <w:sz w:val="32"/>
          <w:szCs w:val="32"/>
          <w:shd w:val="clear" w:color="auto" w:fill="FFFFFF"/>
          <w:lang w:bidi="ar"/>
        </w:rPr>
        <w:t>强化我省光芯片产业总体发展布局，支持有条件的地市研究出台关于发展光芯片产业的专项规划，加快引进国内外光芯片领域高端创新资源，形成差异化布局。（省发展改革委、科技厅、工业和信息化厅等按职责分工负责）</w:t>
      </w:r>
    </w:p>
    <w:p w14:paraId="5DF0E19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11. 聚焦特色优势领域打造产业集群。</w:t>
      </w:r>
      <w:r>
        <w:rPr>
          <w:rFonts w:hint="eastAsia" w:ascii="Times New Roman" w:hAnsi="Times New Roman" w:eastAsia="方正仿宋简体" w:cs="方正仿宋简体"/>
          <w:color w:val="424242"/>
          <w:kern w:val="0"/>
          <w:sz w:val="32"/>
          <w:szCs w:val="32"/>
          <w:shd w:val="clear" w:color="auto" w:fill="FFFFFF"/>
          <w:lang w:bidi="ar"/>
        </w:rPr>
        <w:t>支持广州、深圳、珠海、东莞等地发挥半导体及集成电路产业链基础优势，结合本地区当前发展人工智能、大模型、新一代网络通信、智能网联汽车、数据中心等产业科技的需要，加快培育光通信芯片、光传感芯片等产业集群，打造涵盖设计、制造、封测等环节的光芯片全产业链，积极培育光计算芯片等未来产业。（省发展改革委、科技厅、工业和信息化厅等按职责分工负责）</w:t>
      </w:r>
    </w:p>
    <w:p w14:paraId="1F3B3A8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12. 支持各地规划建设光芯片专业园区。</w:t>
      </w:r>
      <w:r>
        <w:rPr>
          <w:rFonts w:hint="eastAsia" w:ascii="Times New Roman" w:hAnsi="Times New Roman" w:eastAsia="方正仿宋简体" w:cs="方正仿宋简体"/>
          <w:color w:val="424242"/>
          <w:kern w:val="0"/>
          <w:sz w:val="32"/>
          <w:szCs w:val="32"/>
          <w:shd w:val="clear" w:color="auto" w:fill="FFFFFF"/>
          <w:lang w:bidi="ar"/>
        </w:rPr>
        <w:t>支持广州、深圳、珠海、东莞等地依托半导体及集成电路产业集聚区，规划建设各具特色的光芯片专业园区。（省发展改革委、科技厅、工业和信息化厅等按职责分工负责）</w:t>
      </w:r>
    </w:p>
    <w:p w14:paraId="17A6B60D">
      <w:pPr>
        <w:widowControl/>
        <w:shd w:val="clear" w:color="auto" w:fill="FFFFFF"/>
        <w:spacing w:line="480" w:lineRule="atLeast"/>
        <w:rPr>
          <w:rFonts w:ascii="Times New Roman" w:hAnsi="Times New Roman" w:eastAsia="方正仿宋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（五）大力培育领军企业。</w:t>
      </w:r>
    </w:p>
    <w:p w14:paraId="7BDA733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13. 支持引进和培育一批领军企业。</w:t>
      </w:r>
      <w:r>
        <w:rPr>
          <w:rFonts w:hint="eastAsia" w:ascii="Times New Roman" w:hAnsi="Times New Roman" w:eastAsia="方正仿宋简体" w:cs="方正仿宋简体"/>
          <w:color w:val="424242"/>
          <w:kern w:val="0"/>
          <w:sz w:val="32"/>
          <w:szCs w:val="32"/>
          <w:shd w:val="clear" w:color="auto" w:fill="FFFFFF"/>
          <w:lang w:bidi="ar"/>
        </w:rPr>
        <w:t>围绕光芯片关键细分领域和产业链重点环节，引进一批汇聚全球资源、在细分领域占据引领地位的领军企业和新物种企业。支持有条件的光芯片企业围绕产业链重点环节进行并购整合，加快提升业务规模。（省发展改革委、教育厅、科技厅、工业和信息化厅、商务厅等按职责分工负责）</w:t>
      </w:r>
    </w:p>
    <w:p w14:paraId="0E2CB0F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14. 支持孵化和培育一批科技型初创企业。</w:t>
      </w:r>
      <w:r>
        <w:rPr>
          <w:rFonts w:hint="eastAsia" w:ascii="Times New Roman" w:hAnsi="Times New Roman" w:eastAsia="方正仿宋简体" w:cs="方正仿宋简体"/>
          <w:color w:val="424242"/>
          <w:kern w:val="0"/>
          <w:sz w:val="32"/>
          <w:szCs w:val="32"/>
          <w:shd w:val="clear" w:color="auto" w:fill="FFFFFF"/>
          <w:lang w:bidi="ar"/>
        </w:rPr>
        <w:t>支持龙头企业与国内外企业、高等院校、研究机构联合搭建未来产业创新联合体，探索产学研协同攻关和产业链上下游联合攻关，孵化和培育一批科技型初创企业。鼓励半导体及集成电路头部企业发挥产业基础优势，延伸布局光芯片相关领域。（省发展改革委、教育厅、科技厅、工业和信息化厅等按职责分工负责）</w:t>
      </w:r>
    </w:p>
    <w:p w14:paraId="22F93BF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15. 支持龙头企业加强在粤布局。</w:t>
      </w:r>
      <w:r>
        <w:rPr>
          <w:rFonts w:hint="eastAsia" w:ascii="Times New Roman" w:hAnsi="Times New Roman" w:eastAsia="方正仿宋简体" w:cs="方正仿宋简体"/>
          <w:color w:val="424242"/>
          <w:kern w:val="0"/>
          <w:sz w:val="32"/>
          <w:szCs w:val="32"/>
          <w:shd w:val="clear" w:color="auto" w:fill="FFFFFF"/>
          <w:lang w:bidi="ar"/>
        </w:rPr>
        <w:t>支持光芯片龙头企业加大在粤的研发和产线布局，加快形成光芯片产业集群。支持外资光芯片企业布局建设企业技术中心、工程研究中心、工程技术研究中心等各类平台，进一步强化光芯片领域科技创新能力。（省发展改革委、教育厅、科技厅、工业和信息化厅、商务厅等按职责分工负责）</w:t>
      </w:r>
    </w:p>
    <w:p w14:paraId="34CFDFA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（六）加强合作协同创新。</w:t>
      </w:r>
    </w:p>
    <w:p w14:paraId="63C386D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16. 积极争取国家级项目。</w:t>
      </w:r>
      <w:r>
        <w:rPr>
          <w:rFonts w:hint="eastAsia" w:ascii="Times New Roman" w:hAnsi="Times New Roman" w:eastAsia="方正仿宋简体" w:cs="方正仿宋简体"/>
          <w:color w:val="424242"/>
          <w:kern w:val="0"/>
          <w:sz w:val="32"/>
          <w:szCs w:val="32"/>
          <w:shd w:val="clear" w:color="auto" w:fill="FFFFFF"/>
          <w:lang w:bidi="ar"/>
        </w:rPr>
        <w:t>积极对接国家集成电路战略布局，争取一批国家级光芯片项目落地广东。（省发展改革委、教育厅、科技厅、工业和信息化厅、商务厅等按职责分工负责）</w:t>
      </w:r>
    </w:p>
    <w:p w14:paraId="2FF1728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17. 积极对接港澳创新资源。</w:t>
      </w:r>
      <w:r>
        <w:rPr>
          <w:rFonts w:hint="eastAsia" w:ascii="Times New Roman" w:hAnsi="Times New Roman" w:eastAsia="方正仿宋简体" w:cs="方正仿宋简体"/>
          <w:color w:val="424242"/>
          <w:kern w:val="0"/>
          <w:sz w:val="32"/>
          <w:szCs w:val="32"/>
          <w:shd w:val="clear" w:color="auto" w:fill="FFFFFF"/>
          <w:lang w:bidi="ar"/>
        </w:rPr>
        <w:t>加强与香港、澳门高等院校、科研院所的协同创新，对接优质科技成果、创新人才和金融资本，加快导入并形成一批技术创新和产业创新成果。（省发展改革委、教育厅、科技厅、工业和信息化厅、商务厅等按职责分工负责）</w:t>
      </w:r>
    </w:p>
    <w:p w14:paraId="7AFEDEDA">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18. 积极对接国内外其他区域创新资源。</w:t>
      </w:r>
      <w:r>
        <w:rPr>
          <w:rFonts w:hint="eastAsia" w:ascii="Times New Roman" w:hAnsi="Times New Roman" w:eastAsia="方正仿宋简体" w:cs="方正仿宋简体"/>
          <w:color w:val="424242"/>
          <w:kern w:val="0"/>
          <w:sz w:val="32"/>
          <w:szCs w:val="32"/>
          <w:shd w:val="clear" w:color="auto" w:fill="FFFFFF"/>
          <w:lang w:bidi="ar"/>
        </w:rPr>
        <w:t>加强与京津冀、长三角等国内先进地区企业、机构交流合作，探索开展跨区域协同合作，加强导入优质研发资源和产业资源。建立与国际知名高校、研发机构、技术转移机构等各类创新主体的交流合作机制，加强技术和人员交流，不断提升区域辐射力和行业影响力。（省发展改革委、教育厅、科技厅、工业和信息化厅、商务厅按职责分工负责）</w:t>
      </w:r>
    </w:p>
    <w:p w14:paraId="0081ADFC">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二</w:t>
      </w:r>
      <w:r>
        <w:rPr>
          <w:rFonts w:hint="eastAsia" w:ascii="Times New Roman" w:hAnsi="Times New Roman" w:eastAsia="方正黑体简体" w:cs="Times New Roman"/>
          <w:kern w:val="2"/>
          <w:sz w:val="32"/>
          <w:szCs w:val="32"/>
          <w:lang w:val="en-US" w:eastAsia="zh-CN" w:bidi="ar"/>
        </w:rPr>
        <w:t>、重点</w:t>
      </w:r>
      <w:r>
        <w:rPr>
          <w:rFonts w:hint="eastAsia" w:ascii="Times New Roman" w:hAnsi="Times New Roman" w:eastAsia="方正黑体简体" w:cs="Times New Roman"/>
          <w:kern w:val="2"/>
          <w:sz w:val="32"/>
          <w:szCs w:val="32"/>
          <w:lang w:val="en-US" w:eastAsia="zh-CN" w:bidi="ar-SA"/>
        </w:rPr>
        <w:t>工程</w:t>
      </w:r>
    </w:p>
    <w:p w14:paraId="6421329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（一）关键材料装备攻关工程。</w:t>
      </w:r>
    </w:p>
    <w:p w14:paraId="2DB6D4A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19. 加快开展光芯片关键材料研发攻关。</w:t>
      </w:r>
      <w:r>
        <w:rPr>
          <w:rFonts w:hint="eastAsia" w:ascii="Times New Roman" w:hAnsi="Times New Roman" w:eastAsia="方正仿宋简体" w:cs="方正仿宋简体"/>
          <w:color w:val="424242"/>
          <w:kern w:val="0"/>
          <w:sz w:val="32"/>
          <w:szCs w:val="32"/>
          <w:shd w:val="clear" w:color="auto" w:fill="FFFFFF"/>
          <w:lang w:bidi="ar"/>
        </w:rPr>
        <w:t>大力支持硅光材料、化合物半导体、薄膜铌酸锂、氧化镓薄膜、电光聚合物、柔性基底材料、超表面材料、光学传感材料、电光拓扑相变材料、光刻胶、石英晶体等光芯片关键材料研发制造。（省科技厅、发展改革委、工业和信息化厅等按职责分工负责）</w:t>
      </w:r>
    </w:p>
    <w:p w14:paraId="68B5D6F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20. 推进光芯片关键装备研发制造。</w:t>
      </w:r>
      <w:r>
        <w:rPr>
          <w:rFonts w:hint="eastAsia" w:ascii="Times New Roman" w:hAnsi="Times New Roman" w:eastAsia="方正仿宋简体" w:cs="方正仿宋简体"/>
          <w:color w:val="424242"/>
          <w:kern w:val="0"/>
          <w:sz w:val="32"/>
          <w:szCs w:val="32"/>
          <w:shd w:val="clear" w:color="auto" w:fill="FFFFFF"/>
          <w:lang w:bidi="ar"/>
        </w:rPr>
        <w:t>大力推动刻蚀机、键合机、外延生长设备及光矢量参数网络测试仪等光芯片关键装备研发和国产化替代。落实工业设备更新改造政策，加快光芯片关键设备更新升级。（省科技厅、发展改革委、工业和信息化厅等按职责分工负责）</w:t>
      </w:r>
    </w:p>
    <w:p w14:paraId="0B60335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21. 支持光芯片相关部件和工艺的研发及优化。</w:t>
      </w:r>
      <w:r>
        <w:rPr>
          <w:rFonts w:hint="eastAsia" w:ascii="Times New Roman" w:hAnsi="Times New Roman" w:eastAsia="方正仿宋简体" w:cs="方正仿宋简体"/>
          <w:color w:val="424242"/>
          <w:kern w:val="0"/>
          <w:sz w:val="32"/>
          <w:szCs w:val="32"/>
          <w:shd w:val="clear" w:color="auto" w:fill="FFFFFF"/>
          <w:lang w:bidi="ar"/>
        </w:rPr>
        <w:t>大力支持收发模块、调制器、可重构光神经网络推理器、PLC分路器、AWG光栅等光器件及光模块核心部件的研发和产业化。支持硅光集成、异质集成、磊晶生长和外延工艺、制造工艺等光芯片相关制造工艺研发和持续优化。（省科技厅、发展改革委、工业和信息化厅等按职责分工负责）</w:t>
      </w:r>
    </w:p>
    <w:p w14:paraId="047A3C8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（二）产业强链补链建设工程。</w:t>
      </w:r>
    </w:p>
    <w:p w14:paraId="40D682E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22. 加强光芯片设计研发。</w:t>
      </w:r>
      <w:r>
        <w:rPr>
          <w:rFonts w:hint="eastAsia" w:ascii="Times New Roman" w:hAnsi="Times New Roman" w:eastAsia="方正仿宋简体" w:cs="方正仿宋简体"/>
          <w:color w:val="424242"/>
          <w:kern w:val="0"/>
          <w:sz w:val="32"/>
          <w:szCs w:val="32"/>
          <w:shd w:val="clear" w:color="auto" w:fill="FFFFFF"/>
          <w:lang w:bidi="ar"/>
        </w:rPr>
        <w:t>鼓励有条件的机构对标国际一流水平，建设光芯片设计工具软件及IP等高水平创新平台，构建细分领域产业技术创新优势。支持光芯片设计企业围绕光通信互连收发芯片、FP/DFB/EML/VCSEL激光芯片、PIN/APD探测芯片、短波红外有机成像芯片、TOF/FMCW激光雷达芯片、3D视觉感知芯片等领域加强研发和产业化布局。（省发展改革委、科技厅、工业和信息化厅等按职责分工负责）</w:t>
      </w:r>
    </w:p>
    <w:p w14:paraId="617AC74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23. 加强光芯片制造布局。</w:t>
      </w:r>
      <w:r>
        <w:rPr>
          <w:rFonts w:hint="eastAsia" w:ascii="Times New Roman" w:hAnsi="Times New Roman" w:eastAsia="方正仿宋简体" w:cs="方正仿宋简体"/>
          <w:color w:val="424242"/>
          <w:kern w:val="0"/>
          <w:sz w:val="32"/>
          <w:szCs w:val="32"/>
          <w:shd w:val="clear" w:color="auto" w:fill="FFFFFF"/>
          <w:lang w:bidi="ar"/>
        </w:rPr>
        <w:t>在符合国家产业政策基础上，大力支持技术先进的光芯片IDM（设计、制造、封测一体化）、Foundry（晶圆代工）企业，加大基于硅基、锗基、化合物半导体、薄膜铌酸锂等平台材料，以及各类材料异质异构集成、多种功能光电融合的光芯片、光模块及光器件的产线和产能布局。（省发展改革委、科技厅、工业和信息化厅等按职责分工负责）</w:t>
      </w:r>
    </w:p>
    <w:p w14:paraId="2AD6448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24. 提升光芯片封装水平。</w:t>
      </w:r>
      <w:r>
        <w:rPr>
          <w:rFonts w:hint="eastAsia" w:ascii="Times New Roman" w:hAnsi="Times New Roman" w:eastAsia="方正仿宋简体" w:cs="方正仿宋简体"/>
          <w:color w:val="424242"/>
          <w:kern w:val="0"/>
          <w:sz w:val="32"/>
          <w:szCs w:val="32"/>
          <w:shd w:val="clear" w:color="auto" w:fill="FFFFFF"/>
          <w:lang w:bidi="ar"/>
        </w:rPr>
        <w:t>大力发展片上集成、3D堆叠、光波器件与光芯片的共封装（CPO）以及光I/O接口等先进封装技术，紧贴市场需求推动光芯片封装测试工艺技术升级和能力提升。（省发展改革委、科技厅、工业和信息化厅等按职责分工负责）</w:t>
      </w:r>
    </w:p>
    <w:p w14:paraId="2A820139">
      <w:pPr>
        <w:shd w:val="clear" w:color="auto" w:fill="FFFFFF"/>
        <w:wordWrap w:val="0"/>
        <w:spacing w:line="420" w:lineRule="atLeast"/>
        <w:ind w:firstLine="643"/>
        <w:jc w:val="left"/>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（三）核心产品示范应用工程。</w:t>
      </w:r>
    </w:p>
    <w:p w14:paraId="12E4267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25. 加强光芯片产品示范应用。</w:t>
      </w:r>
      <w:r>
        <w:rPr>
          <w:rFonts w:hint="eastAsia" w:ascii="Times New Roman" w:hAnsi="Times New Roman" w:eastAsia="方正仿宋简体" w:cs="方正仿宋简体"/>
          <w:color w:val="424242"/>
          <w:kern w:val="0"/>
          <w:sz w:val="32"/>
          <w:szCs w:val="32"/>
          <w:shd w:val="clear" w:color="auto" w:fill="FFFFFF"/>
          <w:lang w:bidi="ar"/>
        </w:rPr>
        <w:t>大力支持光芯片在新一代信息通信、数据中心、智算中心、生物医药、智能网联汽车等产业的场景示范和产品应用。培育更多应用场景，加大光芯片产品在信息传输、探测、传感等领域的应用，推动相关领域半导体产品升级换代。（省发展改革委、科技厅、工业和信息化厅等按职责分工负责）</w:t>
      </w:r>
    </w:p>
    <w:p w14:paraId="41EBFDE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（四）前沿技术产业培育工程。</w:t>
      </w:r>
    </w:p>
    <w:p w14:paraId="466F0B92">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26. 围绕光芯片前沿理论和技术问题开展基础攻关和研发布局。</w:t>
      </w:r>
      <w:r>
        <w:rPr>
          <w:rFonts w:hint="eastAsia" w:ascii="Times New Roman" w:hAnsi="Times New Roman" w:eastAsia="方正仿宋简体" w:cs="方正仿宋简体"/>
          <w:color w:val="424242"/>
          <w:kern w:val="0"/>
          <w:sz w:val="32"/>
          <w:szCs w:val="32"/>
          <w:shd w:val="clear" w:color="auto" w:fill="FFFFFF"/>
          <w:lang w:bidi="ar"/>
        </w:rPr>
        <w:t>支持企业、高校、研究机构等围绕光神经网络芯片、光量子芯片、超灵敏光传感探测芯片、光电异质异构混合集成芯片、微腔光电子芯片、幂次增长算力光芯片等技术领域研发布局，努力实现原理性突破、原始性技术积累和开创性突破。（省科技厅、发展改革委、教育厅、工业和信息化厅等按职责分工负责）</w:t>
      </w:r>
    </w:p>
    <w:p w14:paraId="5E643320">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三、保障措施</w:t>
      </w:r>
    </w:p>
    <w:p w14:paraId="3B0A6B7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（一）强化组织领导。</w:t>
      </w:r>
      <w:r>
        <w:rPr>
          <w:rFonts w:hint="eastAsia" w:ascii="Times New Roman" w:hAnsi="Times New Roman" w:eastAsia="方正仿宋简体" w:cs="方正仿宋简体"/>
          <w:color w:val="424242"/>
          <w:kern w:val="0"/>
          <w:sz w:val="32"/>
          <w:szCs w:val="32"/>
          <w:shd w:val="clear" w:color="auto" w:fill="FFFFFF"/>
          <w:lang w:bidi="ar"/>
        </w:rPr>
        <w:t>由省半导体及集成电路产业发展领导小组统筹推进全省光芯片产业布局，整合各方资源，协调解决重大问题。省相关部门及各有关地市，明确工作职责，加大政策支持力度，形成省市联动工作合力，谋划布局标志性项目、专业化园区和重大创新平台。探索建立光芯片产业战略咨询机制，加大对光芯片整体发展趋势、国际形势变化、主要技术走向等基础研判，开展前瞻性、战略性重大问题研究，逐步形成支撑光芯片未来产业发展的产业体系。（省发展改革委、科技厅、工业和信息化厅等按职责分工负责）</w:t>
      </w:r>
    </w:p>
    <w:p w14:paraId="33BBA180">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（二）强化资金支持。</w:t>
      </w:r>
      <w:r>
        <w:rPr>
          <w:rFonts w:hint="eastAsia" w:ascii="Times New Roman" w:hAnsi="Times New Roman" w:eastAsia="方正仿宋简体" w:cs="方正仿宋简体"/>
          <w:color w:val="424242"/>
          <w:kern w:val="0"/>
          <w:sz w:val="32"/>
          <w:szCs w:val="32"/>
          <w:shd w:val="clear" w:color="auto" w:fill="FFFFFF"/>
          <w:lang w:bidi="ar"/>
        </w:rPr>
        <w:t>统筹用好现有专项资金支持光芯片产业发展，在基础研究、成果转化、推广应用、龙头企业招引、人才引进等方面给予稳定资金支持。鼓励科研人员围绕光芯片前沿技术领域自主选题、自主研发，加快形成前沿性、交叉性、颠覆性技术原创成果。推动省内企业、高校、科研院所等各类创新主体在国家未来产业领域重大专项等政策实施中承担一批国家级重大项目，加快科技创新和成果转化。发挥省基金及地市相关投资基金的引导作用，鼓励社会资本以股权、债券、保险等形式支持光芯片产业发展。（省发展改革委、科技厅、工业和信息化厅、财政厅、商务厅等按职责分工负责）</w:t>
      </w:r>
    </w:p>
    <w:p w14:paraId="61AA48FE">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（三）强化试点示范。</w:t>
      </w:r>
      <w:r>
        <w:rPr>
          <w:rFonts w:hint="eastAsia" w:ascii="Times New Roman" w:hAnsi="Times New Roman" w:eastAsia="方正仿宋简体" w:cs="方正仿宋简体"/>
          <w:color w:val="424242"/>
          <w:kern w:val="0"/>
          <w:sz w:val="32"/>
          <w:szCs w:val="32"/>
          <w:shd w:val="clear" w:color="auto" w:fill="FFFFFF"/>
          <w:lang w:bidi="ar"/>
        </w:rPr>
        <w:t>积极吸引国内外光芯片龙头企业在粤设立总部、投资建设重大项目，建立重大项目投资决策和快速落地联动响应机制。将光芯片重大项目优先列入省重点建设项目计划，对符合条件的项目需要新增建设用地的由省统筹安排用地指标。统筹用好已有专项资金，对投资额度较大的光芯片项目，以及产业带动作用明显的光芯片领域国家级公共服务平台、创新平台予以支持。加大光芯片产业应用场景试点示范，加快开展重点项目应用场景示范和市场验证。（省发展改革委、科技厅、工业和信息化厅、财政厅、自然资源厅、商务厅等按职责分工负责）</w:t>
      </w:r>
    </w:p>
    <w:p w14:paraId="4633B64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（四）强化资源保障。</w:t>
      </w:r>
      <w:r>
        <w:rPr>
          <w:rFonts w:hint="eastAsia" w:ascii="Times New Roman" w:hAnsi="Times New Roman" w:eastAsia="方正仿宋简体" w:cs="方正仿宋简体"/>
          <w:color w:val="424242"/>
          <w:kern w:val="0"/>
          <w:sz w:val="32"/>
          <w:szCs w:val="32"/>
          <w:shd w:val="clear" w:color="auto" w:fill="FFFFFF"/>
          <w:lang w:bidi="ar"/>
        </w:rPr>
        <w:t>统筹全省人才引进专项资源，大力引进一批光芯片领域“高精尖缺”人才。创新引进人才机制，鼓励有条件的高校、科研院所完善相关领域教学资源和实践平台，深化产学研合作协同育人，加快培养满足产业发展急需的创新型人才。支持举办具有国际影响力的大型学术研讨会、合作推介会、产业技术论坛及年度峰会等主体活动，通过供需对接、技术交流、合作转化等手段加速推动光芯片产业发展，引导社会力量积极关注和大力支持光芯片产业的培育和发展。（省发展改革委、省委金融办、省教育厅、省科技厅、省工业和信息化厅、省人力资源社会保障厅、省商务厅、广东金融监管局、广东证监局等按职责分工负责）</w:t>
      </w:r>
    </w:p>
    <w:p w14:paraId="1AE58CA4">
      <w:pPr>
        <w:spacing w:line="570" w:lineRule="exact"/>
        <w:rPr>
          <w:rFonts w:ascii="Times New Roman" w:hAnsi="Times New Roman" w:eastAsia="方正仿宋简体" w:cs="方正仿宋简体"/>
          <w:sz w:val="32"/>
          <w:szCs w:val="32"/>
        </w:rPr>
      </w:pPr>
    </w:p>
    <w:p w14:paraId="4A928C1C">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广东省人民政府办公厅印发关于进一步推动广东生物医药产业高质量发展行动方案的通知</w:t>
      </w:r>
    </w:p>
    <w:p w14:paraId="33E2C1F8">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粤府办〔2024〕11号</w:t>
      </w:r>
    </w:p>
    <w:p w14:paraId="0BDAA50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14F2ADAB">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4FA122D8">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《关于进一步推动广东生物医药产业高质量发展的行动方案》已经省人民政府同意，现印发给你们，请认真贯彻执行。执行过程中遇到的问题，请径向省工业和信息化厅反映。</w:t>
      </w:r>
    </w:p>
    <w:p w14:paraId="3EC9735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DBAA99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广东省人民政府办公厅</w:t>
      </w:r>
    </w:p>
    <w:p w14:paraId="3593F790">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2024年10月8日</w:t>
      </w:r>
    </w:p>
    <w:p w14:paraId="28FC9E7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53DFD7ED">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关于进一步推动广东生物医药产业</w:t>
      </w:r>
    </w:p>
    <w:p w14:paraId="6854522B">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高质量发展的行动方案</w:t>
      </w:r>
    </w:p>
    <w:p w14:paraId="0DF7337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3CEC366">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为深入贯彻党中央、国务院决策部署和省委、省政府工作安排，进一步推动我省生物医药产业集聚成势，力争到2027年，我省生物医药与健康产业集群规模超万亿元，规上医药工业规模超5000亿元，助力我省高质量建设生物医药强省，制定本方案。</w:t>
      </w:r>
    </w:p>
    <w:p w14:paraId="2897840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rPr>
        <w:t>一、完善产业发展协同机制。</w:t>
      </w:r>
      <w:r>
        <w:rPr>
          <w:rFonts w:hint="eastAsia" w:ascii="Times New Roman" w:hAnsi="Times New Roman" w:eastAsia="方正仿宋简体" w:cs="方正仿宋简体"/>
          <w:color w:val="424242"/>
          <w:kern w:val="0"/>
          <w:sz w:val="32"/>
          <w:szCs w:val="32"/>
          <w:shd w:val="clear" w:color="auto" w:fill="FFFFFF"/>
          <w:lang w:bidi="ar"/>
        </w:rPr>
        <w:t>在生物医药与健康产业集群“链长”的统筹指导下，完善跨部门、重点地区共同参与的推动生物医药产业高质量发展高效协同机制，深化“三医协同”，强化研发、审批、生产、经营、应用、监管等环节的统筹协调。定期召开医药行业政企沟通对话会，加强政策宣贯，畅通沟通渠道，共商产业发展。</w:t>
      </w:r>
    </w:p>
    <w:p w14:paraId="6965AEA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二、加大创新药械全链条支持。</w:t>
      </w:r>
      <w:r>
        <w:rPr>
          <w:rFonts w:hint="eastAsia" w:ascii="Times New Roman" w:hAnsi="Times New Roman" w:eastAsia="方正仿宋简体" w:cs="方正仿宋简体"/>
          <w:color w:val="424242"/>
          <w:kern w:val="0"/>
          <w:sz w:val="32"/>
          <w:szCs w:val="32"/>
          <w:shd w:val="clear" w:color="auto" w:fill="FFFFFF"/>
          <w:lang w:bidi="ar"/>
        </w:rPr>
        <w:t>有条件的地市对创新药械临床前研究、临床试验、审批获证、产业化落地、推广应用等全链条各环节予以政策、资金等支持。统筹省科技创新战略、产业创新能力建设、产业基础再造等专项资金，谋划布局“高端医疗器械”“生物医药与健康”“岭南中医药现代化及关键技术装备”“精密仪器设备”等新一轮省重点领域研发计划专项，支持创新药、中药标准化规范化、高端医疗器械、高端科学仪器和试剂、智能生产设备领域开展关键核心技术攻关和标志性产品产业化攻坚。发布我省已获批生物医药创新药械产品目录，并按照“应配尽配”原则，推动加快入院应用。</w:t>
      </w:r>
    </w:p>
    <w:p w14:paraId="78F16E6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三、加快创新平台和基础设施建设。</w:t>
      </w:r>
      <w:r>
        <w:rPr>
          <w:rFonts w:hint="eastAsia" w:ascii="Times New Roman" w:hAnsi="Times New Roman" w:eastAsia="方正仿宋简体" w:cs="方正仿宋简体"/>
          <w:color w:val="424242"/>
          <w:kern w:val="0"/>
          <w:sz w:val="32"/>
          <w:szCs w:val="32"/>
          <w:shd w:val="clear" w:color="auto" w:fill="FFFFFF"/>
          <w:lang w:bidi="ar"/>
        </w:rPr>
        <w:t>强化广州实验室、生物岛实验室、深圳湾实验室、中国科学院深圳先进院、广东省生物医药科技创新与转化中心、中科中山药物创新研究院、生物大分子中试基地、华南生物医药大动物模型研究院、华南生物安全四级实验室等重大创新平台建设，加快科研成果在我省落地转化。持续推进国家基因库二期、人类细胞谱系装置等一批重大科技基础设施建设，积极争取“人类蛋白质导航”国际大科学计划落户广州。支持广州实验室与中国食品药品检定研究院在深圳河套建设联合实验室，推动国家药监局重点实验室、广东省生物医药科技协同创新中心、医疗器械可靠性可用性实验室及医用机器人等前沿医疗器械产品质量安全评价实验室建设。</w:t>
      </w:r>
    </w:p>
    <w:p w14:paraId="1B384BA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四、促进研发服务平台建设。</w:t>
      </w:r>
      <w:r>
        <w:rPr>
          <w:rFonts w:hint="eastAsia" w:ascii="Times New Roman" w:hAnsi="Times New Roman" w:eastAsia="方正仿宋简体" w:cs="方正仿宋简体"/>
          <w:color w:val="424242"/>
          <w:kern w:val="0"/>
          <w:sz w:val="32"/>
          <w:szCs w:val="32"/>
          <w:shd w:val="clear" w:color="auto" w:fill="FFFFFF"/>
          <w:lang w:bidi="ar"/>
        </w:rPr>
        <w:t>省市联动引进培育一批CRO（合同研发组织）、CMO（合同生产组织）、CDMO（合同研发生产组织）、CTDMO（合同检测、研发和生产组织）、概念验证中心、中试平台等服务平台，有条件的地市予以资金支持。着力提升药品和医疗器械研发、临床前研究、临床试验等研发服务水平。</w:t>
      </w:r>
    </w:p>
    <w:p w14:paraId="64D0F27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五、推动生物医药知识产权交易运营和保护。</w:t>
      </w:r>
      <w:r>
        <w:rPr>
          <w:rFonts w:hint="eastAsia" w:ascii="Times New Roman" w:hAnsi="Times New Roman" w:eastAsia="方正仿宋简体" w:cs="方正仿宋简体"/>
          <w:color w:val="424242"/>
          <w:kern w:val="0"/>
          <w:sz w:val="32"/>
          <w:szCs w:val="32"/>
          <w:shd w:val="clear" w:color="auto" w:fill="FFFFFF"/>
          <w:lang w:bidi="ar"/>
        </w:rPr>
        <w:t>发挥知识产权交易中心和运营机构作用，加大专利转移转化和产业化力度，促进相关专利技术集聚并在粤港澳大湾区转化实施。积极争取国家支持，探索在河套深港科技创新合作区深圳园区设立国家生物医药知识产权运营机构。充分利用广东省知识产权保护中心专利快速预审平台，积极发挥专利快速预审通道作用，助力我省生物医药产业高价值专利快速获权。面向生物医药重点企业，开展海外维权援助工作，持续提升生物医药企业保护和运用知识产权、应对专利侵权风险的能力。</w:t>
      </w:r>
    </w:p>
    <w:p w14:paraId="6030CBB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六、支持高水平临床研究平台建设。</w:t>
      </w:r>
      <w:r>
        <w:rPr>
          <w:rFonts w:hint="eastAsia" w:ascii="Times New Roman" w:hAnsi="Times New Roman" w:eastAsia="方正仿宋简体" w:cs="方正仿宋简体"/>
          <w:color w:val="424242"/>
          <w:kern w:val="0"/>
          <w:sz w:val="32"/>
          <w:szCs w:val="32"/>
          <w:shd w:val="clear" w:color="auto" w:fill="FFFFFF"/>
          <w:lang w:bidi="ar"/>
        </w:rPr>
        <w:t>以重大国家战略和临床需求为牵引，聚焦优势学科领域，开展有转化前景的高水平临床研究。依托国家实验室、高水平医院，以国家医学中心、国家临床医学研究中心、国家区域医疗中心、国家中医临床研究基地、国家中药传承创新中心等为核心，到2027年，建成3—5个具有国内创新引领作用的临床研究平台，开展一批创新药械临床研究。</w:t>
      </w:r>
    </w:p>
    <w:p w14:paraId="6A69F2D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七、促进公立医院开展创新药械临床试验。</w:t>
      </w:r>
      <w:r>
        <w:rPr>
          <w:rFonts w:hint="eastAsia" w:ascii="Times New Roman" w:hAnsi="Times New Roman" w:eastAsia="方正仿宋简体" w:cs="方正仿宋简体"/>
          <w:color w:val="424242"/>
          <w:kern w:val="0"/>
          <w:sz w:val="32"/>
          <w:szCs w:val="32"/>
          <w:shd w:val="clear" w:color="auto" w:fill="FFFFFF"/>
          <w:lang w:bidi="ar"/>
        </w:rPr>
        <w:t>将公立医院建设的临床试验机构支持创新药械开展临床试验情况纳入公立医院绩效考核。以国家医学中心、国家区域医疗中心、国家和省临床医学研究中心、高水平医院为牵引，以临床需求为导向，组建若干临床研究联合体，提供临床试验方案设计、受试者招募和筛选、生物统计等“一揽子”服务，支持临床试验机构建立创新药械“绿色通道”，全流程提升临床急需创新药械临床试验效率。鼓励高水平医院开展医学创新和成果转化，予以高校、科研机构同等创新支持政策，支持符合条件的医院开展高水平的研究者发起的临床研究。支持高水平医疗卫生机构利用自筹资金开展临床研究和临床试验，具备条件的纳入相应层级科研立项。支持省内公立医疗机构与企业合作开展已上市创新药真实世界研究。完善临床研究和临床试验协同工作机制，推动设立临床试验技术支撑与资源统筹平台，遴选临床试验机构打造若干高水平临床试验中心。鼓励我省取得GCP（药物临床试验质量管理规范）资质的医院按总床位的5%—10%设置临床研究床位，并按国家要求配人配设备。</w:t>
      </w:r>
    </w:p>
    <w:p w14:paraId="24A8B66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八、提升临床研究支撑能力。</w:t>
      </w:r>
      <w:r>
        <w:rPr>
          <w:rFonts w:hint="eastAsia" w:ascii="Times New Roman" w:hAnsi="Times New Roman" w:eastAsia="方正仿宋简体" w:cs="方正仿宋简体"/>
          <w:color w:val="424242"/>
          <w:kern w:val="0"/>
          <w:sz w:val="32"/>
          <w:szCs w:val="32"/>
          <w:shd w:val="clear" w:color="auto" w:fill="FFFFFF"/>
          <w:lang w:bidi="ar"/>
        </w:rPr>
        <w:t>加大人才队伍建设，支持高水平医院大力引进临床科研人才，组织临床研究骨干赴国内外高水平临床研究机构进修学习，全面提升临床科研人员研究方案设计、数据统计、项目管理及组织开展国际多中心临床研究能力。提高研究型病房研究能力，支持研究型病房开展主要研究者组团式联合攻关，有组织地开展高质量临床研究。支持医疗机构间对受试者资源、生物样本库等信息互通，建立资源统筹调度机制，提高资源整体利用效率。</w:t>
      </w:r>
    </w:p>
    <w:p w14:paraId="65C4E7A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九、加快创新药临床试验审评审批进程。</w:t>
      </w:r>
      <w:r>
        <w:rPr>
          <w:rFonts w:hint="eastAsia" w:ascii="Times New Roman" w:hAnsi="Times New Roman" w:eastAsia="方正仿宋简体" w:cs="方正仿宋简体"/>
          <w:color w:val="424242"/>
          <w:kern w:val="0"/>
          <w:sz w:val="32"/>
          <w:szCs w:val="32"/>
          <w:shd w:val="clear" w:color="auto" w:fill="FFFFFF"/>
          <w:lang w:bidi="ar"/>
        </w:rPr>
        <w:t>积极争取在广东开展优化创新药临床试验审评审批试点，推动纳入我省创新药试点项目在30个工作日内完成临床试验申请审评审批。加强临床试验前置指导和协调对接，支持药物临床试验申办者基于临床试验注册申报材料，先行与药物临床试验机构对接洽谈，推动临床试验注册申报与临床试验机构内部立项、伦理审查同步开展，完善相应的伦理审查、立项审查等快审机制，优化临床试验启动前机构内部审核流程，促进药物临床试验项目获准后快速启动。</w:t>
      </w:r>
    </w:p>
    <w:p w14:paraId="2539C5D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十、建立临床研究伦理审查结果互认。</w:t>
      </w:r>
      <w:r>
        <w:rPr>
          <w:rFonts w:hint="eastAsia" w:ascii="Times New Roman" w:hAnsi="Times New Roman" w:eastAsia="方正仿宋简体" w:cs="方正仿宋简体"/>
          <w:color w:val="424242"/>
          <w:kern w:val="0"/>
          <w:sz w:val="32"/>
          <w:szCs w:val="32"/>
          <w:shd w:val="clear" w:color="auto" w:fill="FFFFFF"/>
          <w:lang w:bidi="ar"/>
        </w:rPr>
        <w:t>省内公立三级甲等医院应逐步加入多中心临床研究伦理审查结果互认联盟，鼓励外资、合资、民营及股份所有制三级甲等医院主动加入。对多中心临床研究组长单位已批准的伦理审查结果，各多中心临床研究参与单位须在3个工作日内反馈伦理审查结果互认意见。加强省伦理质控中心和区域伦理审查委员会建设，指导临床试验机构完善伦理审查委员会工作机制，规范伦理审查流程及要求，推进临床试验机构统一伦理审查规范、合同模板，提供机构项目立项、医学伦理、合同并联审查服务，建立多中心合同审签绿色通道，提升创新药械临床试验伦理审查服务效率。</w:t>
      </w:r>
    </w:p>
    <w:p w14:paraId="6574B4A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十一、完善临床试验规范化标准化建设。</w:t>
      </w:r>
      <w:r>
        <w:rPr>
          <w:rFonts w:hint="eastAsia" w:ascii="Times New Roman" w:hAnsi="Times New Roman" w:eastAsia="方正仿宋简体" w:cs="方正仿宋简体"/>
          <w:color w:val="424242"/>
          <w:kern w:val="0"/>
          <w:sz w:val="32"/>
          <w:szCs w:val="32"/>
          <w:shd w:val="clear" w:color="auto" w:fill="FFFFFF"/>
          <w:lang w:bidi="ar"/>
        </w:rPr>
        <w:t>支持药物临床试验机构规范化建设；细化临床试验监督检查标准，建立完善监管处置及信息通报机制；健全完善临床研究人员培训、职称评价体系，完善医疗机构临床研究人员薪酬分配激励机制；支持开展省内临床试验地方标准、团体标准、专家共识建设。</w:t>
      </w:r>
    </w:p>
    <w:p w14:paraId="0E88C2E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十二、提升创新药械技术服务能力。</w:t>
      </w:r>
      <w:r>
        <w:rPr>
          <w:rFonts w:hint="eastAsia" w:ascii="Times New Roman" w:hAnsi="Times New Roman" w:eastAsia="方正仿宋简体" w:cs="方正仿宋简体"/>
          <w:color w:val="424242"/>
          <w:kern w:val="0"/>
          <w:sz w:val="32"/>
          <w:szCs w:val="32"/>
          <w:shd w:val="clear" w:color="auto" w:fill="FFFFFF"/>
          <w:lang w:bidi="ar"/>
        </w:rPr>
        <w:t>与国家药监局药品、医疗器械审评检查大湾区分中心共建联合服务机制，为药械研发创新提供更加便捷优质服务。对创新药、创新医疗器械等重点产品建立提前介入机制和特别审查程序，加快创新药械上市进程。争取每年有1—2个创新药、5个以上创新医疗器械获得注册许可。</w:t>
      </w:r>
    </w:p>
    <w:p w14:paraId="2F4BF8A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十三、全面提速医疗器械产品审评审批。</w:t>
      </w:r>
      <w:r>
        <w:rPr>
          <w:rFonts w:hint="eastAsia" w:ascii="Times New Roman" w:hAnsi="Times New Roman" w:eastAsia="方正仿宋简体" w:cs="方正仿宋简体"/>
          <w:color w:val="424242"/>
          <w:kern w:val="0"/>
          <w:sz w:val="32"/>
          <w:szCs w:val="32"/>
          <w:shd w:val="clear" w:color="auto" w:fill="FFFFFF"/>
          <w:lang w:bidi="ar"/>
        </w:rPr>
        <w:t>第二类医疗器械注册技术审评时限比法定时限平均压缩50%，首次注册审评时限由60个工作日压缩至40个工作日。属于国家和省级产业政策扶持方向的项目以及创新项目，实施研审联动、研检联动、优先审评审批。优化已上市进口产品和省外产品迁入广东省的注册流程。支持医疗器械国产替代，支持医用机器人、新型生物材料、数字疗法等创新业态的研发注册。</w:t>
      </w:r>
    </w:p>
    <w:p w14:paraId="1448097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十四、加强承接国家审评审批改革任务能力建设。</w:t>
      </w:r>
      <w:r>
        <w:rPr>
          <w:rFonts w:hint="eastAsia" w:ascii="Times New Roman" w:hAnsi="Times New Roman" w:eastAsia="方正仿宋简体" w:cs="方正仿宋简体"/>
          <w:color w:val="424242"/>
          <w:kern w:val="0"/>
          <w:sz w:val="32"/>
          <w:szCs w:val="32"/>
          <w:shd w:val="clear" w:color="auto" w:fill="FFFFFF"/>
          <w:lang w:bidi="ar"/>
        </w:rPr>
        <w:t>全面提升审评、检查、检验技术支撑能力，加强职业化专业化人员队伍建设。积极争取授权广东开展辖区内药品重大变更申报前置服务试点，加快药品上市后变更审评审批进程。加快推进放射性药品审评检验能力建设，争取国家授权实施放射性药品检验。持续加强疫苗批签发检验平台建设，进一步强化新型生物技术药物检验能力储备，支持省内抗体药物、核酸药物、基因工程药物、基因治疗产品、细胞治疗产品等创新生物制品研发。加强在粤全国医疗器械标准化技术委员会及归口单位建设，积极承接国家药监局标准制修订、创新产品检验评价、上市后产品质量评价、风险监测等技术服务。</w:t>
      </w:r>
    </w:p>
    <w:p w14:paraId="71AD04C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十五、推动建设药械注册指导服务工作站、研检审综合技术服务平台。</w:t>
      </w:r>
      <w:r>
        <w:rPr>
          <w:rFonts w:hint="eastAsia" w:ascii="Times New Roman" w:hAnsi="Times New Roman" w:eastAsia="方正仿宋简体" w:cs="方正仿宋简体"/>
          <w:color w:val="424242"/>
          <w:kern w:val="0"/>
          <w:sz w:val="32"/>
          <w:szCs w:val="32"/>
          <w:shd w:val="clear" w:color="auto" w:fill="FFFFFF"/>
          <w:lang w:bidi="ar"/>
        </w:rPr>
        <w:t>支持有条件的产业集聚区建设药械注册指导服务工作站，加强区域内具有创新潜力的药品和医疗器械产品跟踪和培育。搭建审评检查服务、支撑平台，将药品审评检查技术支撑前移。持续开展并优化面向工作站和区域内企业的培训，引导工作站加强政策跟踪、引导和宣传。构建广州黄埔、深圳坪山、佛山三水、中山开发区等一批药品医疗器械研检审综合技术服务平台，加强药品医疗器械法规咨询、科研合作、成果转化、标准制修订、检验检测等综合服务能力，支持创新药械产品研发上市。支持在韶关翁源等地开展原料药等药械监管创新。</w:t>
      </w:r>
    </w:p>
    <w:p w14:paraId="69C753A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十六、推动创新药械在粤产业化。</w:t>
      </w:r>
      <w:r>
        <w:rPr>
          <w:rFonts w:hint="eastAsia" w:ascii="Times New Roman" w:hAnsi="Times New Roman" w:eastAsia="方正仿宋简体" w:cs="方正仿宋简体"/>
          <w:color w:val="424242"/>
          <w:kern w:val="0"/>
          <w:sz w:val="32"/>
          <w:szCs w:val="32"/>
          <w:shd w:val="clear" w:color="auto" w:fill="FFFFFF"/>
          <w:lang w:bidi="ar"/>
        </w:rPr>
        <w:t>及时跟进国内外临床阶段创新药械研发动态，引进具有良好应用前景的药械在粤产业化。支持粤港澳大湾区国家技术创新中心和若干生物医药平台型龙头企业建设生物医药概念验证中心和中试平台，为成果转化提供技术熟化、产品试制、工艺创新等服务，打造“有组织成果转化”科技创新枢纽。对接国家创新资源，力争更多国家科技重大专项落户广东，推动国家重大科技项目和成果在广东转化。积极争取国家支持广东实施生物制品分段生产先行先试。加强医疗器械广东创新服务站建设，深化与国家药监局创新生物材料医疗器械研究与评价重点实验室合作，推动医疗器械创新产品在广东快速转化。</w:t>
      </w:r>
    </w:p>
    <w:p w14:paraId="0ACCF11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十七、构建创新药械挂网采购新机制。</w:t>
      </w:r>
      <w:r>
        <w:rPr>
          <w:rFonts w:hint="eastAsia" w:ascii="Times New Roman" w:hAnsi="Times New Roman" w:eastAsia="方正仿宋简体" w:cs="方正仿宋简体"/>
          <w:color w:val="424242"/>
          <w:kern w:val="0"/>
          <w:sz w:val="32"/>
          <w:szCs w:val="32"/>
          <w:shd w:val="clear" w:color="auto" w:fill="FFFFFF"/>
          <w:lang w:bidi="ar"/>
        </w:rPr>
        <w:t>对化学药、生物制品和中药的创新药、改良型新药、古代经典名方目录，以及创新医用耗材，开辟挂网快速通道，实行企业承诺制，自申报资料通过后15个工作日内完成挂网采购。对优化重大疾病、罕见病诊疗方案或填补诊疗手段空白，以及配合落实国家和省重点改革和创新有关任务的医疗服务和技术，向医疗机构开辟“附条件新增立项”收费，简化流程，加快审批，促进创新成果尽快转化为临床应用，推动创新药械发展。</w:t>
      </w:r>
    </w:p>
    <w:p w14:paraId="41D2AB2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十八、促进创新药械入院使用。</w:t>
      </w:r>
      <w:r>
        <w:rPr>
          <w:rFonts w:hint="eastAsia" w:ascii="Times New Roman" w:hAnsi="Times New Roman" w:eastAsia="方正仿宋简体" w:cs="方正仿宋简体"/>
          <w:color w:val="424242"/>
          <w:kern w:val="0"/>
          <w:sz w:val="32"/>
          <w:szCs w:val="32"/>
          <w:shd w:val="clear" w:color="auto" w:fill="FFFFFF"/>
          <w:lang w:bidi="ar"/>
        </w:rPr>
        <w:t>省内公立医疗机构每季度至少召开1次药事管理委员会、医疗器械管理委员会工作会议审议创新药械入院有关事宜，必要时随时召开，鼓励外资、合资、民营及股份所有制医疗机构参照落实。结合临床需求，按照“应配尽配”原则将创新药品、医疗器械纳入医疗机构用药目录或用械目录。依法依规加强本省药品、医疗器械和装备在医疗机构推广应用。</w:t>
      </w:r>
    </w:p>
    <w:p w14:paraId="7BAE15B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十九、推进医疗设备设施更新换代。</w:t>
      </w:r>
      <w:r>
        <w:rPr>
          <w:rFonts w:hint="eastAsia" w:ascii="Times New Roman" w:hAnsi="Times New Roman" w:eastAsia="方正仿宋简体" w:cs="方正仿宋简体"/>
          <w:color w:val="424242"/>
          <w:kern w:val="0"/>
          <w:sz w:val="32"/>
          <w:szCs w:val="32"/>
          <w:shd w:val="clear" w:color="auto" w:fill="FFFFFF"/>
          <w:lang w:bidi="ar"/>
        </w:rPr>
        <w:t>充分运用首台（套）、大规模设备更新等政策，推动医疗机构与医疗设备企业开展合作，共同开发解决患者需求的定制化产品和服务，医工联合建立医疗设备应用示范基地，提高医疗健康产业整体效益。推动医疗卫生机构装备和信息化设施迭代升级，鼓励具备条件的医学影像、放射治疗、远程诊疗、手术机器人等医疗装备更新。推动医疗机构病房改造提升，优化住院诊疗服务。探索推进医疗装备产品“购买技术服务”和设备租赁等新模式。</w:t>
      </w:r>
    </w:p>
    <w:p w14:paraId="603F07B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二十、支持康复辅具、适老化照护器材迭代升级。</w:t>
      </w:r>
      <w:r>
        <w:rPr>
          <w:rFonts w:hint="eastAsia" w:ascii="Times New Roman" w:hAnsi="Times New Roman" w:eastAsia="方正仿宋简体" w:cs="方正仿宋简体"/>
          <w:color w:val="424242"/>
          <w:kern w:val="0"/>
          <w:sz w:val="32"/>
          <w:szCs w:val="32"/>
          <w:shd w:val="clear" w:color="auto" w:fill="FFFFFF"/>
          <w:lang w:bidi="ar"/>
        </w:rPr>
        <w:t>推动智能助行器、智能助听器、智能护理床、高端助视器、智能照护机器人、智能监护设备等康复辅具、适老化照护器材研发应用，引导养老院、福利院、康养机构等加快康复辅助设备设施迭代升级。支持专业服务机构、街道、社区服务中心开展康复辅具、适老化照护器材租赁业务，促进优质适用产品在以上机构率先推广使用。加强社区、家庭的无障碍设备设施改造，探索实施家庭智能化无障碍环境改造。</w:t>
      </w:r>
    </w:p>
    <w:p w14:paraId="4072FC8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二十一、推动医疗机构制剂研发使用并向新药转化。</w:t>
      </w:r>
      <w:r>
        <w:rPr>
          <w:rFonts w:hint="eastAsia" w:ascii="Times New Roman" w:hAnsi="Times New Roman" w:eastAsia="方正仿宋简体" w:cs="方正仿宋简体"/>
          <w:color w:val="424242"/>
          <w:kern w:val="0"/>
          <w:sz w:val="32"/>
          <w:szCs w:val="32"/>
          <w:shd w:val="clear" w:color="auto" w:fill="FFFFFF"/>
          <w:lang w:bidi="ar"/>
        </w:rPr>
        <w:t>全面优化省医疗机构制剂注册与备案，审批时限比法定时限平均提速50%。支持医疗机构和医药企业加强合作，试点医疗机构中药制剂省内统一生产、统一质控、统一配送。推动3年以上应用历史的医疗机构制剂在省内医疗机构可调剂使用，符合条件的按规定纳入医保支付范围。深入挖掘广东省在临床上具有独特优势的医疗机构中药制剂品种，推进“岭南名方”遴选，建立“岭南名方”品种库，并加大政策支持，促进医疗机构制剂向新药转化。支持符合条件的医疗机构中药制剂跨境至澳门定点医疗机构使用。</w:t>
      </w:r>
    </w:p>
    <w:p w14:paraId="5B48DE7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二十二、强化中药标准引领。</w:t>
      </w:r>
      <w:r>
        <w:rPr>
          <w:rFonts w:hint="eastAsia" w:ascii="Times New Roman" w:hAnsi="Times New Roman" w:eastAsia="方正仿宋简体" w:cs="方正仿宋简体"/>
          <w:color w:val="424242"/>
          <w:kern w:val="0"/>
          <w:sz w:val="32"/>
          <w:szCs w:val="32"/>
          <w:shd w:val="clear" w:color="auto" w:fill="FFFFFF"/>
          <w:lang w:bidi="ar"/>
        </w:rPr>
        <w:t>加快完善省级中药标准制修订机制，全链条加强中药质量管理，提升中药产品质量和安全性，推动中药产业升级改造。依托粤港澳大湾区药典委员工作站、粤港澳大湾区标准化研究中心等工作平台，联合港澳有关方面共同制定中药湾区标准，加快推进粤港澳大湾区中药标准化，引领大湾区中药产业高质量发展。</w:t>
      </w:r>
    </w:p>
    <w:p w14:paraId="7307B9D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二十三、加快将符合条件的中药饮片纳入医保目录。</w:t>
      </w:r>
      <w:r>
        <w:rPr>
          <w:rFonts w:hint="eastAsia" w:ascii="Times New Roman" w:hAnsi="Times New Roman" w:eastAsia="方正仿宋简体" w:cs="方正仿宋简体"/>
          <w:color w:val="424242"/>
          <w:kern w:val="0"/>
          <w:sz w:val="32"/>
          <w:szCs w:val="32"/>
          <w:shd w:val="clear" w:color="auto" w:fill="FFFFFF"/>
          <w:lang w:bidi="ar"/>
        </w:rPr>
        <w:t>按国家规定更新我省医保药品目录，及时将国家医保局公布的医保药品纳入我省医保基金支付范围；医保部门在目录调整时按规定将符合条件的中药配方颗粒等中药饮片，纳入我省医保基金支付范围，应纳尽纳，满足参保群众对中医药服务的需求。</w:t>
      </w:r>
    </w:p>
    <w:p w14:paraId="2C91947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二十四、加强化学原料药和中药材种植养殖基地建设。</w:t>
      </w:r>
      <w:r>
        <w:rPr>
          <w:rFonts w:hint="eastAsia" w:ascii="Times New Roman" w:hAnsi="Times New Roman" w:eastAsia="方正仿宋简体" w:cs="方正仿宋简体"/>
          <w:color w:val="424242"/>
          <w:kern w:val="0"/>
          <w:sz w:val="32"/>
          <w:szCs w:val="32"/>
          <w:shd w:val="clear" w:color="auto" w:fill="FFFFFF"/>
          <w:lang w:bidi="ar"/>
        </w:rPr>
        <w:t>在省内具备一定条件的医药、化工园区规划建设化学原料药集中生产基地，加快发展特色原料药和创新原料药，完善化学药产业链条。支持中药生产企业在全国布局和建设中药材规范化、规模化、产业化种植养殖基地，强化源头供给，保障中药产品质量。</w:t>
      </w:r>
    </w:p>
    <w:p w14:paraId="68F2B6B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二十五、加快布局新领域新赛道。</w:t>
      </w:r>
      <w:r>
        <w:rPr>
          <w:rFonts w:hint="eastAsia" w:ascii="Times New Roman" w:hAnsi="Times New Roman" w:eastAsia="方正仿宋简体" w:cs="方正仿宋简体"/>
          <w:color w:val="424242"/>
          <w:kern w:val="0"/>
          <w:sz w:val="32"/>
          <w:szCs w:val="32"/>
          <w:shd w:val="clear" w:color="auto" w:fill="FFFFFF"/>
          <w:lang w:bidi="ar"/>
        </w:rPr>
        <w:t>加强前沿技术多路径探索和颠覆性技术供给，重点发展基因技术、细胞治疗、AI+生物医药、合成生物学、脑科学与类脑研究等新领域新赛道。充分利用生成式人工智能、深度学习等技术，开展新型药物设计和筛选、重组抗体设计和合成、新型药物递送材料或递送系统等多领域分析研究。发展化学药及中间体、天然药物、中草药功能组分、药用辅料等生物制造模式。</w:t>
      </w:r>
    </w:p>
    <w:p w14:paraId="7C0925D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二十六、推动仿制药稳步发展。</w:t>
      </w:r>
      <w:r>
        <w:rPr>
          <w:rFonts w:hint="eastAsia" w:ascii="Times New Roman" w:hAnsi="Times New Roman" w:eastAsia="方正仿宋简体" w:cs="方正仿宋简体"/>
          <w:color w:val="424242"/>
          <w:kern w:val="0"/>
          <w:sz w:val="32"/>
          <w:szCs w:val="32"/>
          <w:shd w:val="clear" w:color="auto" w:fill="FFFFFF"/>
          <w:lang w:bidi="ar"/>
        </w:rPr>
        <w:t>发挥药品专利链接制度作用，在保护药品专利权人合法权益的前提下，在原创药专利期满之前的合理期间，支持企业尽快启动仿制药的开发和注册申请，加快仿制药上市进程，满足群众用药需求。鼓励有条件的地市对高端仿制药、首仿药、难仿药予以支持。持续推进仿制药质量和疗效一致性评价工作，加强部门间协同联动，全程做好政策引导和业务指导工作，不断提高我省通过一致性评价品种的数量和质量。</w:t>
      </w:r>
    </w:p>
    <w:p w14:paraId="249E1DC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二十七、加强重点药企招引和梯度培育。</w:t>
      </w:r>
      <w:r>
        <w:rPr>
          <w:rFonts w:hint="eastAsia" w:ascii="Times New Roman" w:hAnsi="Times New Roman" w:eastAsia="方正仿宋简体" w:cs="方正仿宋简体"/>
          <w:color w:val="424242"/>
          <w:kern w:val="0"/>
          <w:sz w:val="32"/>
          <w:szCs w:val="32"/>
          <w:shd w:val="clear" w:color="auto" w:fill="FFFFFF"/>
          <w:lang w:bidi="ar"/>
        </w:rPr>
        <w:t>省市联合制定企业招商意向条件，加大力度引进国内外生物医药、生物制造领域龙头企业、高端研发机构和重大产业项目。持续加大对科技型小微企业的扶持力度，培育一批未来生命健康产业细分赛道的高新技术企业和专精特新企业。到2027年，培育发展千百亿级企业不低于15家，形成一批细分领域专精特新、“独角兽”和单项冠军企业，推动国内外知名医药企业在我省布局区域分中心。</w:t>
      </w:r>
    </w:p>
    <w:p w14:paraId="115B992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二十八、支持数智化改造提升生产效率。</w:t>
      </w:r>
      <w:r>
        <w:rPr>
          <w:rFonts w:hint="eastAsia" w:ascii="Times New Roman" w:hAnsi="Times New Roman" w:eastAsia="方正仿宋简体" w:cs="方正仿宋简体"/>
          <w:color w:val="424242"/>
          <w:kern w:val="0"/>
          <w:sz w:val="32"/>
          <w:szCs w:val="32"/>
          <w:shd w:val="clear" w:color="auto" w:fill="FFFFFF"/>
          <w:lang w:bidi="ar"/>
        </w:rPr>
        <w:t>支持生物医药工业企业将数智化改造贯穿研发、质量、生产、检验、营销、合规等全生命周期，根据行业特点推进化学药、生物药、中药、医疗器械等子领域数字化转型。对符合条件的技术改造项目新设备购置额按珠三角地区不超过20%、粤东粤西粤北地区（惠州市惠东县、博罗县、龙门县，江门市台山市、开平市、鹤山市、恩平市，肇庆市四会市、广宁县、德庆县、封开县、怀集县按粤东粤西粤北地区支持政策实施）不超过30%比例予以事后奖励，单个支持项目奖励额度不超过1500万元。</w:t>
      </w:r>
    </w:p>
    <w:p w14:paraId="5341A19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二十九、建设生物医药产业园区。</w:t>
      </w:r>
      <w:r>
        <w:rPr>
          <w:rFonts w:hint="eastAsia" w:ascii="Times New Roman" w:hAnsi="Times New Roman" w:eastAsia="方正仿宋简体" w:cs="方正仿宋简体"/>
          <w:color w:val="424242"/>
          <w:kern w:val="0"/>
          <w:sz w:val="32"/>
          <w:szCs w:val="32"/>
          <w:shd w:val="clear" w:color="auto" w:fill="FFFFFF"/>
          <w:lang w:bidi="ar"/>
        </w:rPr>
        <w:t>促进广州国际生物岛、广州科学城生物产业基地、中新（广州）知识城生命健康产业基地、南沙“一城三谷六园”、深圳坪山国家生物产业基地、深圳南山生物医药产业园、珠海金湾生物医药产业园、横琴粤澳合作中医药科技产业园、中山国家健康科技产业基地、佛山云东海医药健康产业园、东莞松山湖生物基地等生物医药产业集聚区做大做强做优做精，形成10个以上特色鲜明、规模效益显著、辐射带动效应明显的生物医药产业园区。</w:t>
      </w:r>
    </w:p>
    <w:p w14:paraId="5E07352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三十、持续推进粤港澳大湾区药械监管创新发展。</w:t>
      </w:r>
      <w:r>
        <w:rPr>
          <w:rFonts w:hint="eastAsia" w:ascii="Times New Roman" w:hAnsi="Times New Roman" w:eastAsia="方正仿宋简体" w:cs="方正仿宋简体"/>
          <w:color w:val="424242"/>
          <w:kern w:val="0"/>
          <w:sz w:val="32"/>
          <w:szCs w:val="32"/>
          <w:shd w:val="clear" w:color="auto" w:fill="FFFFFF"/>
          <w:lang w:bidi="ar"/>
        </w:rPr>
        <w:t>充分运用“港澳药械通”政策，加快扩大指定医疗机构和产品范围，探索逐步扩展适用区域范围。对于临床急需的港澳已上市药械产品，优化审批流程，加快临床使用。将港澳已上市传统外用中成药审评时限从200个工作日压缩至80个工作日，上市后变更审批和再注册时限分别缩减50个工作日，加快港澳外用中成药在内地市场上市速度。推进大湾区有关药品上市许可持有人、医疗器械注册人制度改革，支持大湾区内地九市对接港澳生物医药产业，推动粤港澳形成互补互动的医药产业链条。</w:t>
      </w:r>
    </w:p>
    <w:p w14:paraId="7E691E0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三十一、优化药品、生物医药研发用物品进口备案机制。</w:t>
      </w:r>
      <w:r>
        <w:rPr>
          <w:rFonts w:hint="eastAsia" w:ascii="Times New Roman" w:hAnsi="Times New Roman" w:eastAsia="方正仿宋简体" w:cs="方正仿宋简体"/>
          <w:color w:val="424242"/>
          <w:kern w:val="0"/>
          <w:sz w:val="32"/>
          <w:szCs w:val="32"/>
          <w:shd w:val="clear" w:color="auto" w:fill="FFFFFF"/>
          <w:lang w:bidi="ar"/>
        </w:rPr>
        <w:t>优化同一药品多次进口、非首次进口药品的进口备案办理流程，支持口岸药品监督管理部门对进口业务量大、信用记录良好的进口单位简化资料核验和申报流程等，提升药品进口备案工作效率。支持广州市黄埔区、南沙自贸区等生物医药产业集聚区建立生物医药研发用物品进口“白名单”制度，对纳入“白名单”的物品进口时无需提供《进口药品通关单》，加快创新药研发进程。</w:t>
      </w:r>
    </w:p>
    <w:p w14:paraId="32DD3B8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三十二、支持生物医药企业拓展国际市场。</w:t>
      </w:r>
      <w:r>
        <w:rPr>
          <w:rFonts w:hint="eastAsia" w:ascii="Times New Roman" w:hAnsi="Times New Roman" w:eastAsia="方正仿宋简体" w:cs="方正仿宋简体"/>
          <w:color w:val="424242"/>
          <w:kern w:val="0"/>
          <w:sz w:val="32"/>
          <w:szCs w:val="32"/>
          <w:shd w:val="clear" w:color="auto" w:fill="FFFFFF"/>
          <w:lang w:bidi="ar"/>
        </w:rPr>
        <w:t>通过广交会、“粤贸全球”等重点展会，支持省内生物医药企业开拓欧美市场，抢占东盟、非洲、南美等新兴市场。创新“以医带药带械”模式，全力提升广东生物医药的辐射力和影响力。建设完善“走出去”公共服务平台，为生物医药企业提供国别政策、法律法规、税收政策、知识产权等公共服务，指导企业加强海外合规经营和风险防范，推动生物医药企业稳健“走出去”开展海外并购。支持生物医药企业开展国际多中心临床试验和同步注册上市。</w:t>
      </w:r>
    </w:p>
    <w:p w14:paraId="5C0215C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三十三、加大医药金融支持。</w:t>
      </w:r>
      <w:r>
        <w:rPr>
          <w:rFonts w:hint="eastAsia" w:ascii="Times New Roman" w:hAnsi="Times New Roman" w:eastAsia="方正仿宋简体" w:cs="方正仿宋简体"/>
          <w:color w:val="424242"/>
          <w:kern w:val="0"/>
          <w:sz w:val="32"/>
          <w:szCs w:val="32"/>
          <w:shd w:val="clear" w:color="auto" w:fill="FFFFFF"/>
          <w:lang w:bidi="ar"/>
        </w:rPr>
        <w:t>落实好科技金融15条政策，发挥国家自然科学基金引导作用，推进生物医药基础研究能力快速提升。培育中长期投资者和“耐心资本”，加快培养组建生物医药领域专业化投资团队，统筹用好省创新创业基金、产业发展基金等现有政策性基金，研究设立广东省生物医药产业投资引导基金，对潜力企业和优质研发管线予以投资支持，围绕医药产业链上下游加大投资力度。引导金融机构持续加大对生物医药研发、创新、制造等领域的政策性金融支持，鼓励风险投资机构“投早投小”，动员社会力量通过设立公益基金、接受慈善捐赠、引入风险投资等多种方式建立多元、可持续的临床研究投入机制。完善全省上市企业后备资源库，持续推动生物医药企业赴境内外资本市场合适板块上市。</w:t>
      </w:r>
    </w:p>
    <w:p w14:paraId="4DFA8D5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三十四、促进商业健康保险发展。</w:t>
      </w:r>
      <w:r>
        <w:rPr>
          <w:rFonts w:hint="eastAsia" w:ascii="Times New Roman" w:hAnsi="Times New Roman" w:eastAsia="方正仿宋简体" w:cs="方正仿宋简体"/>
          <w:color w:val="424242"/>
          <w:kern w:val="0"/>
          <w:sz w:val="32"/>
          <w:szCs w:val="32"/>
          <w:shd w:val="clear" w:color="auto" w:fill="FFFFFF"/>
          <w:lang w:bidi="ar"/>
        </w:rPr>
        <w:t>促进医疗机构与商业保险公司之间加强数据联通与合作协商，优化基本医保、大病保险、医疗救助“一站式”结算。支持商业保险公司研发覆盖创新药械的普惠型商业健康保险产品和服务，支持使用职工医保个人账户购买普惠型商业健康保险。</w:t>
      </w:r>
    </w:p>
    <w:p w14:paraId="1046704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三十五、促进“互联网+医疗健康”发展。</w:t>
      </w:r>
      <w:r>
        <w:rPr>
          <w:rFonts w:hint="eastAsia" w:ascii="Times New Roman" w:hAnsi="Times New Roman" w:eastAsia="方正仿宋简体" w:cs="方正仿宋简体"/>
          <w:color w:val="424242"/>
          <w:kern w:val="0"/>
          <w:sz w:val="32"/>
          <w:szCs w:val="32"/>
          <w:shd w:val="clear" w:color="auto" w:fill="FFFFFF"/>
          <w:lang w:bidi="ar"/>
        </w:rPr>
        <w:t>积极推动符合条件的医保定点医疗机构开展互联网医疗服务，将“互联网+”医疗服务价格纳入现行医疗服务价格政策体系统一管理，符合条件的“互联网+”复诊医疗服务纳入医保基金支付范围，原则上对线上线下医疗服务实行统一管理，并根据服务特点完善协议管理、结算流程和有关指标。</w:t>
      </w:r>
    </w:p>
    <w:p w14:paraId="3B55F68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黑体简体" w:cs="Times New Roman"/>
          <w:sz w:val="32"/>
          <w:szCs w:val="32"/>
          <w:lang w:bidi="ar"/>
        </w:rPr>
        <w:t>　　三十六、稳步推进医疗数据共享应用。</w:t>
      </w:r>
      <w:r>
        <w:rPr>
          <w:rFonts w:hint="eastAsia" w:ascii="Times New Roman" w:hAnsi="Times New Roman" w:eastAsia="方正仿宋简体" w:cs="方正仿宋简体"/>
          <w:color w:val="424242"/>
          <w:kern w:val="0"/>
          <w:sz w:val="32"/>
          <w:szCs w:val="32"/>
          <w:shd w:val="clear" w:color="auto" w:fill="FFFFFF"/>
          <w:lang w:bidi="ar"/>
        </w:rPr>
        <w:t>支持广州实验室建设医疗健康大数据平台和国家生物数据中心体系粤港澳大湾区节点，建立健全生物医药全链条数据资源体系和数据汇交共享机制，研究开展公共数据运营试点。按照国家相关法律法规规章要求，探索推行数据跨境流通“白名单”制度，通过纳入数据授权跨境目录、数据主体授权等模式，实现生物医药企业数据安全有序跨境。探索构建常态化科研数据审核体系，支持科研合作项目需要的应用研究、医疗等数据资源在大湾区内有序跨境流动。支持利用大数据技术进行医疗服务协同创新以及临床和科研应用创新。</w:t>
      </w:r>
    </w:p>
    <w:p w14:paraId="065EB7A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　三十七、开展药企和药械宣传推介。</w:t>
      </w:r>
      <w:r>
        <w:rPr>
          <w:rFonts w:hint="eastAsia" w:ascii="Times New Roman" w:hAnsi="Times New Roman" w:eastAsia="方正仿宋简体" w:cs="方正仿宋简体"/>
          <w:color w:val="424242"/>
          <w:kern w:val="0"/>
          <w:sz w:val="32"/>
          <w:szCs w:val="32"/>
          <w:shd w:val="clear" w:color="auto" w:fill="FFFFFF"/>
          <w:lang w:bidi="ar"/>
        </w:rPr>
        <w:t>积极承办中国生物产业大会、中国医药工业信息年会、中国医药工业百强榜单发布会等大型活动。不定期、分片区开展“百企百院粤医行”活动，开展药械新品和重点产品发布推介和院企供需对接，推动医疗器械产业化应用和新药推广应用。</w:t>
      </w:r>
    </w:p>
    <w:p w14:paraId="356AC0D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黑体简体" w:cs="Times New Roman"/>
          <w:sz w:val="32"/>
          <w:szCs w:val="32"/>
          <w:lang w:bidi="ar"/>
        </w:rPr>
        <w:t>三十八、加强医药创新人才队伍建设。</w:t>
      </w:r>
      <w:r>
        <w:rPr>
          <w:rFonts w:hint="eastAsia" w:ascii="Times New Roman" w:hAnsi="Times New Roman" w:eastAsia="方正仿宋简体" w:cs="方正仿宋简体"/>
          <w:color w:val="424242"/>
          <w:kern w:val="0"/>
          <w:sz w:val="32"/>
          <w:szCs w:val="32"/>
          <w:shd w:val="clear" w:color="auto" w:fill="FFFFFF"/>
          <w:lang w:bidi="ar"/>
        </w:rPr>
        <w:t>汇聚国内外高水平科研、生产、营销、服务型人才，建设完善生物医药专家智库。充分发挥国家、省、市人才工程的联动叠加效应，依托重大创新平台、高等院校，引进一批生物医药产业发展急需短缺的战略科技人才、科技领军人才、青年科技人才和高水平创新团队，“一事一议”引进诺贝尔奖获得者、国内外院士等顶尖人才来粤工作。加强生物医药领域人才培育，聚焦产业发展需求，优化高校专业结构，持续培育一批在国内具有较强影响力的生物医药领域高峰优势学科。</w:t>
      </w:r>
    </w:p>
    <w:p w14:paraId="6D00C29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198FE06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ascii="Times New Roman" w:hAnsi="Times New Roman" w:eastAsia="方正仿宋简体" w:cs="Times New Roman"/>
          <w:sz w:val="32"/>
        </w:rPr>
        <w:fldChar w:fldCharType="begin"/>
      </w:r>
      <w:r>
        <w:rPr>
          <w:rFonts w:ascii="Times New Roman" w:hAnsi="Times New Roman" w:eastAsia="方正仿宋简体" w:cs="Times New Roman"/>
          <w:sz w:val="32"/>
        </w:rPr>
        <w:instrText xml:space="preserve"> HYPERLINK "https://www.gd.gov.cn/attachment/0/561/561579/4504755.pdf" \t "D:/新建文件夹/曹妃甸/_blank" </w:instrText>
      </w:r>
      <w:r>
        <w:rPr>
          <w:rFonts w:ascii="Times New Roman" w:hAnsi="Times New Roman" w:eastAsia="方正仿宋简体" w:cs="Times New Roman"/>
          <w:sz w:val="32"/>
        </w:rPr>
        <w:fldChar w:fldCharType="separate"/>
      </w:r>
      <w:r>
        <w:rPr>
          <w:rFonts w:hint="eastAsia" w:ascii="Times New Roman" w:hAnsi="Times New Roman" w:eastAsia="方正仿宋简体" w:cs="方正仿宋简体"/>
          <w:color w:val="auto"/>
          <w:kern w:val="0"/>
          <w:sz w:val="32"/>
          <w:szCs w:val="32"/>
          <w:u w:val="single"/>
          <w:shd w:val="clear" w:color="auto" w:fill="FFFFFF"/>
        </w:rPr>
        <w:t>附件：《关于进一步推动广东生物医药产业高质量发展的行动方案》分工表</w:t>
      </w:r>
      <w:r>
        <w:rPr>
          <w:rFonts w:hint="eastAsia" w:ascii="Times New Roman" w:hAnsi="Times New Roman" w:eastAsia="方正仿宋简体" w:cs="方正仿宋简体"/>
          <w:color w:val="auto"/>
          <w:kern w:val="0"/>
          <w:sz w:val="32"/>
          <w:szCs w:val="32"/>
          <w:u w:val="single"/>
          <w:shd w:val="clear" w:color="auto" w:fill="FFFFFF"/>
        </w:rPr>
        <w:fldChar w:fldCharType="end"/>
      </w:r>
    </w:p>
    <w:p w14:paraId="2C77B363">
      <w:pPr>
        <w:widowControl w:val="0"/>
        <w:spacing w:before="240" w:after="60" w:line="570" w:lineRule="exact"/>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广东省人民政府办公厅关于印发广东省</w:t>
      </w:r>
    </w:p>
    <w:p w14:paraId="1087F3C9">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推动游艇产业高质量发展行动方案</w:t>
      </w:r>
    </w:p>
    <w:p w14:paraId="1470AD14">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（2024—2027年）的通知</w:t>
      </w:r>
    </w:p>
    <w:p w14:paraId="3CAD6D46">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粤办函〔2024〕311号</w:t>
      </w:r>
    </w:p>
    <w:p w14:paraId="1C8A0A0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2B8B7E5E">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42ABB5A0">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《广东省推动游艇产业高质量发展行动方案（2024—2027年）》已经省人民政府同意，现印发给你们，请认真贯彻执行。执行过程中遇到的问题，请径向省工业和信息化厅反映。</w:t>
      </w:r>
    </w:p>
    <w:p w14:paraId="364EC88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4BD8193E">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省政府办公厅</w:t>
      </w:r>
    </w:p>
    <w:p w14:paraId="3BCC928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2024年11月6日</w:t>
      </w:r>
    </w:p>
    <w:p w14:paraId="6747C53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6FEAEF29">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广东省推动游艇产业高质量发展行动方案</w:t>
      </w:r>
    </w:p>
    <w:p w14:paraId="13173DA2">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（2024—2027年）</w:t>
      </w:r>
    </w:p>
    <w:p w14:paraId="06FA977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303B77CB">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游艇产业是一个跨行业、跨领域的综合性产业，其关联行业涵盖研发设计、制造、旅游消费、基础设施、金融服务等，产业链长、带动作用大、发展前景广阔。为贯彻党的二十届三中全会精神，落实省委、省政府工作部署，加快形成游艇产业体系，带动游艇旅游产业发展，开辟发展新赛道，打造发展新优势，构建游艇产业新格局，制定本行动方案。</w:t>
      </w:r>
    </w:p>
    <w:p w14:paraId="44485AE8">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一</w:t>
      </w:r>
      <w:r>
        <w:rPr>
          <w:rFonts w:hint="eastAsia" w:ascii="Times New Roman" w:hAnsi="Times New Roman" w:eastAsia="方正黑体简体" w:cs="Times New Roman"/>
          <w:kern w:val="2"/>
          <w:sz w:val="32"/>
          <w:szCs w:val="32"/>
          <w:lang w:val="en-US" w:eastAsia="zh-CN" w:bidi="ar"/>
        </w:rPr>
        <w:t>、总</w:t>
      </w:r>
      <w:r>
        <w:rPr>
          <w:rFonts w:hint="eastAsia" w:ascii="Times New Roman" w:hAnsi="Times New Roman" w:eastAsia="方正黑体简体" w:cs="Times New Roman"/>
          <w:kern w:val="2"/>
          <w:sz w:val="32"/>
          <w:szCs w:val="32"/>
          <w:lang w:val="en-US" w:eastAsia="zh-CN" w:bidi="ar-SA"/>
        </w:rPr>
        <w:t>体要求</w:t>
      </w:r>
      <w:r>
        <w:rPr>
          <w:rFonts w:hint="eastAsia" w:ascii="Times New Roman" w:hAnsi="Times New Roman" w:eastAsia="方正黑体简体" w:cs="Times New Roman"/>
          <w:kern w:val="2"/>
          <w:sz w:val="32"/>
          <w:szCs w:val="32"/>
          <w:lang w:val="en-US" w:eastAsia="zh-CN" w:bidi="ar-SA"/>
        </w:rPr>
        <w:tab/>
      </w:r>
    </w:p>
    <w:p w14:paraId="014D8C39">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按照“提升制造、补足设施、带动消费、优化监管”的原则，加快推动我省游艇产业发展。力争到2027年，我省游艇制造产业链不断升级，产业结构进一步优化，形成集研发设计、生产制造、维修保养于一体的完整产业链。建立完善的游艇基础设施体系，规划建设高标准游艇码头，提升码头设施智能化水平，建成游艇泊位数（含停靠点）不少于2500个，基本形成覆盖全省沿海的游艇停泊网络。提升游艇安全监管能力，扩大消费市场需求，打造一批具有广东特色的游艇旅游线路和体验项目，全省游艇登记数量达4000艘以上，游艇及关联产业规模达1000亿元以上。</w:t>
      </w:r>
    </w:p>
    <w:p w14:paraId="5684E5F0">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二、提升游艇研发制造水平</w:t>
      </w:r>
    </w:p>
    <w:p w14:paraId="58B97A6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（一）培育游艇制造业龙头骨干企业。</w:t>
      </w:r>
      <w:r>
        <w:rPr>
          <w:rFonts w:hint="eastAsia" w:ascii="Times New Roman" w:hAnsi="Times New Roman" w:eastAsia="方正仿宋简体" w:cs="方正仿宋简体"/>
          <w:color w:val="424242"/>
          <w:kern w:val="0"/>
          <w:sz w:val="32"/>
          <w:szCs w:val="32"/>
          <w:shd w:val="clear" w:color="auto" w:fill="FFFFFF"/>
          <w:lang w:bidi="ar"/>
        </w:rPr>
        <w:t>支持龙头骨干企业做大做强，打造自主游艇品牌，提升国际影响力。加快构建中小企业梯度培育体系，力争每年在游艇相关产业领域培育一批省级“专精特新”企业、“单项冠军”企业。（省工业和信息化厅，广东海事局、中国船级社广州分社，各地级以上市人民政府按职责分工负责）</w:t>
      </w:r>
    </w:p>
    <w:p w14:paraId="48E3AA5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（二）增强游艇研发能力。</w:t>
      </w:r>
      <w:r>
        <w:rPr>
          <w:rFonts w:hint="eastAsia" w:ascii="Times New Roman" w:hAnsi="Times New Roman" w:eastAsia="方正仿宋简体" w:cs="方正仿宋简体"/>
          <w:color w:val="424242"/>
          <w:kern w:val="0"/>
          <w:sz w:val="32"/>
          <w:szCs w:val="32"/>
          <w:shd w:val="clear" w:color="auto" w:fill="FFFFFF"/>
          <w:lang w:bidi="ar"/>
        </w:rPr>
        <w:t>聚焦推动游艇制造业高端化、智能化、绿色化发展，开展新能源清洁能源动力技术、环保材料、减震降噪和智能驾驶、北斗定位、远程可视化监管、数字化运维等技术应用研究。支持企业面向国内大众化消费需求研发系列标准化产品，采用数字化、规模化、绿色化的生产制造工艺，提升技术水平和建造品质。加强配套供应链建设，支持研发制造船用发动机、纯电动力系统、混动系统、智能仪器仪表、高效推进器等游艇关键核心零部件及辅助设备。瞄准产业链关键环节和领军企业，开展精准招商引资，提升产业链配套能力。（省科技厅、工业和信息化厅、发展改革委、商务厅，各地级以上市人民政府按职责分工负责）</w:t>
      </w:r>
    </w:p>
    <w:p w14:paraId="75478575">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（三）建设游艇产业特色产业园。</w:t>
      </w:r>
      <w:r>
        <w:rPr>
          <w:rFonts w:hint="eastAsia" w:ascii="Times New Roman" w:hAnsi="Times New Roman" w:eastAsia="方正仿宋简体" w:cs="方正仿宋简体"/>
          <w:color w:val="424242"/>
          <w:kern w:val="0"/>
          <w:sz w:val="32"/>
          <w:szCs w:val="32"/>
          <w:shd w:val="clear" w:color="auto" w:fill="FFFFFF"/>
          <w:lang w:bidi="ar"/>
        </w:rPr>
        <w:t>按照“产业集聚、优化布局”的原则，依托省级以上开发区省市合力建设3个左右特色突出、产业集聚的特色产业园，吸引产业、人才、资金、创新等资源集聚，形成覆盖技术研发、维修保养、运营服务、教育培训等业态，为培育具有国内竞争力的游艇产业集群提供有力支撑。（省工业和信息化厅、发展改革委、商务厅、文化和旅游厅，各地级以上市人民政府按职责分工负责）</w:t>
      </w:r>
    </w:p>
    <w:p w14:paraId="39F2BB16">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三、推动粤港澳游艇政策突破</w:t>
      </w:r>
    </w:p>
    <w:p w14:paraId="0901CE7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（四）争取粤港澳游艇自由行试点。</w:t>
      </w:r>
      <w:r>
        <w:rPr>
          <w:rFonts w:hint="eastAsia" w:ascii="Times New Roman" w:hAnsi="Times New Roman" w:eastAsia="方正仿宋简体" w:cs="方正仿宋简体"/>
          <w:color w:val="424242"/>
          <w:kern w:val="0"/>
          <w:sz w:val="32"/>
          <w:szCs w:val="32"/>
          <w:shd w:val="clear" w:color="auto" w:fill="FFFFFF"/>
          <w:lang w:bidi="ar"/>
        </w:rPr>
        <w:t>推动出台粤港澳游艇自由行实施方案，争取国家对港澳游艇在粤港澳大湾区内地九市出入境、航行、停泊、维修保养、旅游等方面推行系列便利措施。加强试点效果评估，稳步扩大相关政策适用范围。（省文化和旅游厅、交通运输厅、商务厅，海关总署广东分署、广东海事局，广州、深圳、珠海边检总站，相关地级以上市人民政府按职责分工负责）</w:t>
      </w:r>
    </w:p>
    <w:p w14:paraId="237E5006">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（五）促进粤港澳游艇互认互通。</w:t>
      </w:r>
      <w:r>
        <w:rPr>
          <w:rFonts w:hint="eastAsia" w:ascii="Times New Roman" w:hAnsi="Times New Roman" w:eastAsia="方正仿宋简体" w:cs="方正仿宋简体"/>
          <w:color w:val="424242"/>
          <w:kern w:val="0"/>
          <w:sz w:val="32"/>
          <w:szCs w:val="32"/>
          <w:shd w:val="clear" w:color="auto" w:fill="FFFFFF"/>
          <w:lang w:bidi="ar"/>
        </w:rPr>
        <w:t>积极推动粤港澳游艇互通、牌证互认及游艇操作人员证书粤港澳互认。扩大游艇航行水域，探索开发跨境游艇旅游产品。发挥游艇制造优势，承接港澳游艇维修保养业务，开展港澳游艇展会、赛事等交流合作。（广东海事局，省商务厅、文化和旅游厅，中国船级社广州分社，相关地级以上市人民政府按职责分工负责）</w:t>
      </w:r>
    </w:p>
    <w:p w14:paraId="18646E61">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四、完善游艇旅游基础设施建设</w:t>
      </w:r>
    </w:p>
    <w:p w14:paraId="0048678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（六）统筹推进游艇配套基础设施建设。</w:t>
      </w:r>
      <w:r>
        <w:rPr>
          <w:rFonts w:hint="eastAsia" w:ascii="Times New Roman" w:hAnsi="Times New Roman" w:eastAsia="方正仿宋简体" w:cs="方正仿宋简体"/>
          <w:color w:val="424242"/>
          <w:kern w:val="0"/>
          <w:sz w:val="32"/>
          <w:szCs w:val="32"/>
          <w:shd w:val="clear" w:color="auto" w:fill="FFFFFF"/>
          <w:lang w:bidi="ar"/>
        </w:rPr>
        <w:t>推动地市逐步完善公共游艇码头布局规划，按照布局规划新建一批公共游艇码头；因地制宜规划建设游艇停靠点、下水坡道、系泊锚地、陆上干舱以及环保配套设施设备等。加强对现有码头的规范管理，支持各地市结合港口规划因地制宜推动老旧码头改造为游艇码头，并完善配套设施。鼓励社会资本加大对游艇码头建设、老旧码头改扩建的投入。完善港澳游艇停泊专区、验放专区、人员上下船智能化监控及出入口智能化门禁等查验场地及监管设施，确保游艇出入境及停泊期间管理“可视、可控”。鼓励企业和个人所有或运营的游艇码头向社会开放。（省交通运输厅、发展改革委、自然资源厅、水利厅、商务厅、文化和旅游厅，海关总署广东分署、广东海事局，广州、深圳、珠海边检总站，各地级以上市人民政府按职责分工负责）</w:t>
      </w:r>
    </w:p>
    <w:p w14:paraId="41604F9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（七）完善游艇综合服务中心。</w:t>
      </w:r>
      <w:r>
        <w:rPr>
          <w:rFonts w:hint="eastAsia" w:ascii="Times New Roman" w:hAnsi="Times New Roman" w:eastAsia="方正仿宋简体" w:cs="方正仿宋简体"/>
          <w:color w:val="424242"/>
          <w:kern w:val="0"/>
          <w:sz w:val="32"/>
          <w:szCs w:val="32"/>
          <w:shd w:val="clear" w:color="auto" w:fill="FFFFFF"/>
          <w:lang w:bidi="ar"/>
        </w:rPr>
        <w:t>推动在滨海和东江、西江、北江、潭江等沿线旅游资源丰富的节点区域建设一批集游艇停泊、供油供水、商务休闲、餐饮住宿等为一体的游艇综合服务中心，打造智慧、便捷的电子政务服务，提高综合服务水平。（省文化和旅游厅、发展改革委、自然资源厅、交通运输厅、水利厅，广东海事局，各地级以上市人民政府按职责分工负责）</w:t>
      </w:r>
    </w:p>
    <w:p w14:paraId="17F6A376">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（八）提升游艇公共服务能力。</w:t>
      </w:r>
      <w:r>
        <w:rPr>
          <w:rFonts w:hint="eastAsia" w:ascii="Times New Roman" w:hAnsi="Times New Roman" w:eastAsia="方正仿宋简体" w:cs="方正仿宋简体"/>
          <w:color w:val="424242"/>
          <w:kern w:val="0"/>
          <w:sz w:val="32"/>
          <w:szCs w:val="32"/>
          <w:shd w:val="clear" w:color="auto" w:fill="FFFFFF"/>
          <w:lang w:bidi="ar"/>
        </w:rPr>
        <w:t>支持广州、深圳、珠海、江门等重点地区加强码头泊位、游艇检验、口岸查验、报关、评估、仓储、航道服务等公共服务能力建设，强化跨部门数据共享和业务协同。加强游艇旅游靠泊地、游艇旅游线路等信息宣传，提升游艇旅游的便利性和舒适性。（省交通运输厅、商务厅、文化和旅游厅，海关总署广东分署、广东海事局，广州、深圳、珠海边检总站，各地级以上市人民政府按职责分工负责）</w:t>
      </w:r>
    </w:p>
    <w:p w14:paraId="09F23B9D">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五、推动游艇租赁创新发展</w:t>
      </w:r>
    </w:p>
    <w:p w14:paraId="61F12EC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（九）规范游艇租赁市场秩序。</w:t>
      </w:r>
      <w:r>
        <w:rPr>
          <w:rFonts w:hint="eastAsia" w:ascii="Times New Roman" w:hAnsi="Times New Roman" w:eastAsia="方正仿宋简体" w:cs="方正仿宋简体"/>
          <w:color w:val="424242"/>
          <w:kern w:val="0"/>
          <w:sz w:val="32"/>
          <w:szCs w:val="32"/>
          <w:shd w:val="clear" w:color="auto" w:fill="FFFFFF"/>
          <w:lang w:bidi="ar"/>
        </w:rPr>
        <w:t>研究出台广东省游艇租赁管理办法及其实施细则等规定，加强游艇租赁运营管理。完善租赁游艇检验、游艇操作人员培训等配套制度，提高租赁游艇安全运营质量，降低游艇载客风险。（省交通运输厅、文化和旅游厅、市场监管局，广东海事局、中国船级社广州分社，相关地级以上市人民政府按职责分工负责）</w:t>
      </w:r>
    </w:p>
    <w:p w14:paraId="464202CF">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（十）探索游艇租赁试点。</w:t>
      </w:r>
      <w:r>
        <w:rPr>
          <w:rFonts w:hint="eastAsia" w:ascii="Times New Roman" w:hAnsi="Times New Roman" w:eastAsia="方正仿宋简体" w:cs="方正仿宋简体"/>
          <w:color w:val="424242"/>
          <w:kern w:val="0"/>
          <w:sz w:val="32"/>
          <w:szCs w:val="32"/>
          <w:shd w:val="clear" w:color="auto" w:fill="FFFFFF"/>
          <w:lang w:bidi="ar"/>
        </w:rPr>
        <w:t>鼓励有条件的地市积极探索建设游艇租赁试点，打造一批适合大众消费的游艇租赁示范项目。鼓励游艇俱乐部提高管理能力，增强软硬件实力，创新经营模式，扩大客群范围，提升游艇服务企业综合服务水平。（省交通运输厅、商务厅、文化和旅游厅，广东海事局，相关地级以上市人民政府按职责分工负责）</w:t>
      </w:r>
    </w:p>
    <w:p w14:paraId="19B2E963">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六、培育游艇旅游消费新业态</w:t>
      </w:r>
    </w:p>
    <w:p w14:paraId="63E7C15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（十一）创新游艇旅游航线及消费产品。</w:t>
      </w:r>
      <w:r>
        <w:rPr>
          <w:rFonts w:hint="eastAsia" w:ascii="Times New Roman" w:hAnsi="Times New Roman" w:eastAsia="方正仿宋简体" w:cs="方正仿宋简体"/>
          <w:color w:val="424242"/>
          <w:kern w:val="0"/>
          <w:sz w:val="32"/>
          <w:szCs w:val="32"/>
          <w:shd w:val="clear" w:color="auto" w:fill="FFFFFF"/>
          <w:lang w:bidi="ar"/>
        </w:rPr>
        <w:t>加强陆海统筹和江海联动，建设一批高等级滨海旅游度假区和旅游景区，推出一批游艇旅游精品航线，打造一批海钓、潜水观光、登岛探险等适合游艇游玩的特色旅游产品，强化规范管理，丰富提升游艇旅游体验。（省文化和旅游厅、自然资源厅、交通运输厅、水利厅，广东海事局，省海洋综合执法总队，各地级以上市人民政府按职责分工负责）</w:t>
      </w:r>
    </w:p>
    <w:p w14:paraId="0284C0E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（十二）支持举办游艇相关国际赛事活动。</w:t>
      </w:r>
      <w:r>
        <w:rPr>
          <w:rFonts w:hint="eastAsia" w:ascii="Times New Roman" w:hAnsi="Times New Roman" w:eastAsia="方正仿宋简体" w:cs="方正仿宋简体"/>
          <w:color w:val="424242"/>
          <w:kern w:val="0"/>
          <w:sz w:val="32"/>
          <w:szCs w:val="32"/>
          <w:shd w:val="clear" w:color="auto" w:fill="FFFFFF"/>
          <w:lang w:bidi="ar"/>
        </w:rPr>
        <w:t>支持广州、深圳、珠海、汕头、中山、江门、阳江、湛江等重点地市举办国际游艇帆船体育竞赛、设计大赛等相关赛事活动，促进游艇行业交流，提升我省游艇产业知名度。（省体育局、工业和信息化厅、商务厅，广东海事局，广州、深圳、珠海边检总站，相关地级以上市人民政府按职责分工负责）</w:t>
      </w:r>
    </w:p>
    <w:p w14:paraId="6E679553">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（十三）打造专业游艇展会。</w:t>
      </w:r>
      <w:r>
        <w:rPr>
          <w:rFonts w:hint="eastAsia" w:ascii="Times New Roman" w:hAnsi="Times New Roman" w:eastAsia="方正仿宋简体" w:cs="方正仿宋简体"/>
          <w:color w:val="424242"/>
          <w:kern w:val="0"/>
          <w:sz w:val="32"/>
          <w:szCs w:val="32"/>
          <w:shd w:val="clear" w:color="auto" w:fill="FFFFFF"/>
          <w:lang w:bidi="ar"/>
        </w:rPr>
        <w:t>支持省内游艇制造企业积极利用“粤贸全国”“粤贸全球”等活动平台，参加境内、外重点展会，积极开拓国内外消费市场。支持以市场化方式举办游艇产业相关博览会。依托广东旅博会、广东旅游文化节等省内旅游专业节展，举办游艇旅游推介会，加大对广东游艇旅游消费的宣传力度。（省商务厅、文化和旅游厅、工业和信息化厅，各地级以上市人民政府按职责分工负责）</w:t>
      </w:r>
    </w:p>
    <w:p w14:paraId="6A8F6CD2">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七、提升安全监督与管理水平</w:t>
      </w:r>
    </w:p>
    <w:p w14:paraId="133AAD6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（十四）规范游艇安全管理。</w:t>
      </w:r>
      <w:r>
        <w:rPr>
          <w:rFonts w:hint="eastAsia" w:ascii="Times New Roman" w:hAnsi="Times New Roman" w:eastAsia="方正仿宋简体" w:cs="方正仿宋简体"/>
          <w:color w:val="424242"/>
          <w:kern w:val="0"/>
          <w:sz w:val="32"/>
          <w:szCs w:val="32"/>
          <w:shd w:val="clear" w:color="auto" w:fill="FFFFFF"/>
          <w:lang w:bidi="ar"/>
        </w:rPr>
        <w:t>建立游艇分级分类管理制度，落实属地责任，依法依规完善地市、县区、镇、码头（停泊点）、船主五级安全管理责任体系。明确游艇经营人安全管理职责，确保游艇适航、配备足够适任驾驶人员和通信、应急等设备。督促游艇依规配备通信设备，确保游艇航行轨迹完整、可视。加强游艇操作人员培训，提高船员专业技能水平和安全管理能力。（广东海事局，省交通运输厅，广州、深圳、珠海边检总站，各地级以上市人民政府按职责分工负责）</w:t>
      </w:r>
    </w:p>
    <w:p w14:paraId="6E5AF1D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（十五）强化游艇精细化管理。</w:t>
      </w:r>
      <w:r>
        <w:rPr>
          <w:rFonts w:hint="eastAsia" w:ascii="Times New Roman" w:hAnsi="Times New Roman" w:eastAsia="方正仿宋简体" w:cs="方正仿宋简体"/>
          <w:color w:val="424242"/>
          <w:kern w:val="0"/>
          <w:sz w:val="32"/>
          <w:szCs w:val="32"/>
          <w:shd w:val="clear" w:color="auto" w:fill="FFFFFF"/>
          <w:lang w:bidi="ar"/>
        </w:rPr>
        <w:t>明确游艇从事水上体育运动及赛事、经营性水上娱乐活动、休闲渔业及游艇航行（在密集区域、远距离）等四大类别安全风险，细化防控措施，合理分配资源，全面提升游艇安全防控能力。（广东海事局，省交通运输厅、文化和旅游厅、体育局，省海洋综合执法总队，各地级以上市人民政府按职责分工负责）</w:t>
      </w:r>
    </w:p>
    <w:p w14:paraId="4DAE4CC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（十六）优化游艇管理政务服务。</w:t>
      </w:r>
      <w:r>
        <w:rPr>
          <w:rFonts w:hint="eastAsia" w:ascii="Times New Roman" w:hAnsi="Times New Roman" w:eastAsia="方正仿宋简体" w:cs="方正仿宋简体"/>
          <w:color w:val="424242"/>
          <w:kern w:val="0"/>
          <w:sz w:val="32"/>
          <w:szCs w:val="32"/>
          <w:shd w:val="clear" w:color="auto" w:fill="FFFFFF"/>
          <w:lang w:bidi="ar"/>
        </w:rPr>
        <w:t>实行海事政务“一网通办”，实现多项业务一次办结。落实船舶转籍登记不停航办证服务，降低游艇过户时间经济成本。探索开展游艇产业领域社会信用体系建设，将游艇管理相关信息纳入公共信用信息目录，并及时归集共享到公共信用信息平台，完善对游艇产业领域的守信激励与失信惩戒机制。（广东海事局，省发展改革委、交通运输厅、市场监管局，中国船级社广州分社，各地级以上市人民政府按职责分工负责）</w:t>
      </w:r>
    </w:p>
    <w:p w14:paraId="200636B9">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（十七）加强游艇活动应急力量建设。</w:t>
      </w:r>
      <w:r>
        <w:rPr>
          <w:rFonts w:hint="eastAsia" w:ascii="Times New Roman" w:hAnsi="Times New Roman" w:eastAsia="方正仿宋简体" w:cs="方正仿宋简体"/>
          <w:color w:val="424242"/>
          <w:kern w:val="0"/>
          <w:sz w:val="32"/>
          <w:szCs w:val="32"/>
          <w:shd w:val="clear" w:color="auto" w:fill="FFFFFF"/>
          <w:lang w:bidi="ar"/>
        </w:rPr>
        <w:t>支持相关地市加强搜救队伍建设，配备能覆盖游艇活动水域的搜救船舶、搜救直升机等水上搜救应急力量，在游艇码头、游乐景点等场所配置水上应急救援设施设备，鼓励水上搜救志愿者等社会力量参与和支持水上应急救助，提升现场监管和应急搜救能力，推动落实全航程通信覆盖、全航程动态感知、全航程应急高效，保障游艇及其水上活动安全。（广东海事局，省交通运输厅、应急管理厅，中国船级社广州分社，各地级以上市人民政府按职责分工负责）</w:t>
      </w:r>
    </w:p>
    <w:p w14:paraId="74519C4C">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八、保障措施</w:t>
      </w:r>
    </w:p>
    <w:p w14:paraId="42D8312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（十八）加强统筹协调。</w:t>
      </w:r>
      <w:r>
        <w:rPr>
          <w:rFonts w:hint="eastAsia" w:ascii="Times New Roman" w:hAnsi="Times New Roman" w:eastAsia="方正仿宋简体" w:cs="方正仿宋简体"/>
          <w:color w:val="424242"/>
          <w:kern w:val="0"/>
          <w:sz w:val="32"/>
          <w:szCs w:val="32"/>
          <w:shd w:val="clear" w:color="auto" w:fill="FFFFFF"/>
          <w:lang w:bidi="ar"/>
        </w:rPr>
        <w:t>加强对全省游艇产业发展工作的统筹协调，制定出台广东省游艇产业中长期发展规划，明确游艇产业发展目标，因地制宜确定粤港澳大湾区内地城市群游艇产业发展重点，实现优势互补、错位发展。（省发展改革委、工业和信息化厅、交通运输厅、商务厅、文化和旅游厅，海关总署广东分署、广东海事局，各地级以上市人民政府按职责分工负责）</w:t>
      </w:r>
    </w:p>
    <w:p w14:paraId="28EC4B3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（十九）完善游艇产业政策法规体系。</w:t>
      </w:r>
      <w:r>
        <w:rPr>
          <w:rFonts w:hint="eastAsia" w:ascii="Times New Roman" w:hAnsi="Times New Roman" w:eastAsia="方正仿宋简体" w:cs="方正仿宋简体"/>
          <w:color w:val="424242"/>
          <w:kern w:val="0"/>
          <w:sz w:val="32"/>
          <w:szCs w:val="32"/>
          <w:shd w:val="clear" w:color="auto" w:fill="FFFFFF"/>
          <w:lang w:bidi="ar"/>
        </w:rPr>
        <w:t>研究出台广东省游艇管理办法，推动游艇检验登记、航行停泊、安全保障等规范化发展。围绕游艇制造、游艇旅游、游艇管理服务等领域，持续完善配套政策措施。强化游艇产业重大项目建设服务，加快推动游艇产业发展。（省交通运输厅、发展改革委、工业和信息化厅、商务厅、文化和旅游厅，海关总署广东分署、广东海事局、中国船级社广州分社，广州、深圳、珠海边检总站，各地级以上市人民政府按职责分工负责）</w:t>
      </w:r>
    </w:p>
    <w:p w14:paraId="039ADED1">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（二十）加大金融支持力度。</w:t>
      </w:r>
      <w:r>
        <w:rPr>
          <w:rFonts w:hint="eastAsia" w:ascii="Times New Roman" w:hAnsi="Times New Roman" w:eastAsia="方正仿宋简体" w:cs="方正仿宋简体"/>
          <w:color w:val="424242"/>
          <w:kern w:val="0"/>
          <w:sz w:val="32"/>
          <w:szCs w:val="32"/>
          <w:shd w:val="clear" w:color="auto" w:fill="FFFFFF"/>
          <w:lang w:bidi="ar"/>
        </w:rPr>
        <w:t>鼓励各类金融机构加大对游艇制造项目、游艇基础设施建设及游艇企业的融资支持。鼓励保险机构探索开展游艇相关保险业务，优化保险产品和服务，满足不同群体风险保障需求。支持发展游艇融资租赁，鼓励符合条件的游艇企业通过上市挂牌、发行债券等方式融资。（省委金融办，省工业和信息化厅、交通运输厅、文化和旅游厅，人民银行广东省分行、广东金融监管局、广东证监局、人民银行深圳市分行、深圳金融监管局、深圳证监局按职责分工负责）</w:t>
      </w:r>
    </w:p>
    <w:p w14:paraId="3275C48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（二十一）强化资源要素保障。</w:t>
      </w:r>
      <w:r>
        <w:rPr>
          <w:rFonts w:hint="eastAsia" w:ascii="Times New Roman" w:hAnsi="Times New Roman" w:eastAsia="方正仿宋简体" w:cs="方正仿宋简体"/>
          <w:color w:val="424242"/>
          <w:kern w:val="0"/>
          <w:sz w:val="32"/>
          <w:szCs w:val="32"/>
          <w:shd w:val="clear" w:color="auto" w:fill="FFFFFF"/>
          <w:lang w:bidi="ar"/>
        </w:rPr>
        <w:t>统筹谋划游憩用海海域使用，科学布局游艇码头、游艇海上停泊、旅游配套设施、训练和培训、海上观光、海上低速高速活动类、水下观光用海，为游艇产业可持续发展创造条件。加强游艇人才培养，支持普通高校、职业学校加强游艇相关学科或专业建设，联合游艇制造企业、游艇服务企业，共同培养游艇产业所需技术、服务人才。落实产业人才激励政策，加大游艇产业重点领域高端人才引进力度。（省自然资源厅、教育厅、人力资源社会保障厅，各地级以上市人民政府按职责分工负责）</w:t>
      </w:r>
    </w:p>
    <w:p w14:paraId="065DC20D">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（二十二）营造良好氛围。</w:t>
      </w:r>
      <w:r>
        <w:rPr>
          <w:rFonts w:hint="eastAsia" w:ascii="Times New Roman" w:hAnsi="Times New Roman" w:eastAsia="方正仿宋简体" w:cs="方正仿宋简体"/>
          <w:color w:val="424242"/>
          <w:kern w:val="0"/>
          <w:sz w:val="32"/>
          <w:szCs w:val="32"/>
          <w:shd w:val="clear" w:color="auto" w:fill="FFFFFF"/>
          <w:lang w:bidi="ar"/>
        </w:rPr>
        <w:t>加强游艇大众化消费理念宣传，引导游艇旅游消费大众化。开展科普讲座、游艇试乘、游艇试驾等活动，提升大众参与度。推动游艇行业协会发展，鼓励行业协会发布广东省游艇产业蓝皮书，引导行业有序健康发展。（省文化和旅游厅、商务厅、交通运输厅，广东海事局，各地级以上市人民政府按职责分工负责）</w:t>
      </w:r>
    </w:p>
    <w:p w14:paraId="24585E7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（二十三）加强游艇经济统计。</w:t>
      </w:r>
      <w:r>
        <w:rPr>
          <w:rFonts w:hint="eastAsia" w:ascii="Times New Roman" w:hAnsi="Times New Roman" w:eastAsia="方正仿宋简体" w:cs="方正仿宋简体"/>
          <w:color w:val="424242"/>
          <w:kern w:val="0"/>
          <w:sz w:val="32"/>
          <w:szCs w:val="32"/>
          <w:shd w:val="clear" w:color="auto" w:fill="FFFFFF"/>
          <w:lang w:bidi="ar"/>
        </w:rPr>
        <w:t>建立游艇经济发展的统计机制，研究确定游艇经济相关产业分类标准，加强游艇经济统计监测结果的综合应用。（省发展改革委、工业和信息化厅、交通运输厅、商务厅、文化和旅游厅、统计局按职责分工负责）</w:t>
      </w:r>
    </w:p>
    <w:p w14:paraId="6FA382C0">
      <w:pPr>
        <w:spacing w:line="570" w:lineRule="exact"/>
        <w:rPr>
          <w:rFonts w:hint="eastAsia" w:ascii="Times New Roman" w:hAnsi="Times New Roman" w:eastAsia="方正仿宋简体" w:cs="Times New Roman"/>
          <w:sz w:val="32"/>
        </w:rPr>
      </w:pPr>
      <w:r>
        <w:rPr>
          <w:rFonts w:hint="eastAsia" w:ascii="Times New Roman" w:hAnsi="Times New Roman" w:eastAsia="方正仿宋简体" w:cs="Times New Roman"/>
          <w:sz w:val="32"/>
        </w:rPr>
        <w:br w:type="page"/>
      </w:r>
    </w:p>
    <w:p w14:paraId="41AF3F68">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广东省人民政府办公厅关于推动能源科技创新促进能源产业发展的实施意见</w:t>
      </w:r>
    </w:p>
    <w:p w14:paraId="44225F24">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粤办函〔2024〕315号</w:t>
      </w:r>
    </w:p>
    <w:p w14:paraId="5FD4ECE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012E7049">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各地级以上市人民政府，省有关单位：</w:t>
      </w:r>
    </w:p>
    <w:p w14:paraId="47B1966B">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为贯彻落实党中央、国务院关于加快规划建设新型能源体系的决策部署，深入实施创新驱动发展战略，大力推动产业和科技互促双强，加快培育和发展新质生产力，助力我省新型能源体系建设，经省人民政府同意，提出如下实施意见。</w:t>
      </w:r>
    </w:p>
    <w:p w14:paraId="015773D3">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一、发展目标</w:t>
      </w:r>
    </w:p>
    <w:p w14:paraId="3717D5A3">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以企业为主体、市场为导向、产学研相结合，聚焦“明方向、增活力、出成果、高转化、助产业”精准发力，加快组织实施一批科技创新项目，转移转化一批高价值成果，全面塑造我省能源科技创新新优势，加快建设以科技创新为引领的新型能源产业体系。到2027年，适应能源高质量发展的能源科技创新体系进一步健全，协同创新更加高效，能源重点领域的关键技术、核心装备和重要部件研发取得突破，自主创新能力显著增强，将我省加快打造成为具有全球影响力的能源产业科技创新中心。</w:t>
      </w:r>
    </w:p>
    <w:p w14:paraId="671EE6AE">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二、重点任务</w:t>
      </w:r>
    </w:p>
    <w:p w14:paraId="36D60F4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（一）加强统筹引导。</w:t>
      </w:r>
    </w:p>
    <w:p w14:paraId="3DCE38D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强化工作统筹。</w:t>
      </w:r>
      <w:r>
        <w:rPr>
          <w:rFonts w:hint="eastAsia" w:ascii="Times New Roman" w:hAnsi="Times New Roman" w:eastAsia="方正仿宋简体" w:cs="方正仿宋简体"/>
          <w:color w:val="424242"/>
          <w:kern w:val="0"/>
          <w:sz w:val="32"/>
          <w:szCs w:val="32"/>
          <w:shd w:val="clear" w:color="auto" w:fill="FFFFFF"/>
          <w:lang w:bidi="ar"/>
        </w:rPr>
        <w:t>以广东省能源绿色低碳转型、碳达峰碳中和、制造业当家、加快发展新质生产力等需求为导向，科学谋划能源产业科技创新实施路径，加强顶层设计，强化部门协作，促进社会力量协同，健全能源产业科技创新体系，完善工作管理机制，加快构建“基础研究+技术攻关+成果转化+科技金融+人才支撑”全过程创新链，进一步提升能源科技自主创新能力，支撑建设新型能源体系。（省能源局、科技厅牵头，各有关部门参与）</w:t>
      </w:r>
    </w:p>
    <w:p w14:paraId="0C95E78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研判重点攻关方向。</w:t>
      </w:r>
      <w:r>
        <w:rPr>
          <w:rFonts w:hint="eastAsia" w:ascii="Times New Roman" w:hAnsi="Times New Roman" w:eastAsia="方正仿宋简体" w:cs="方正仿宋简体"/>
          <w:color w:val="424242"/>
          <w:kern w:val="0"/>
          <w:sz w:val="32"/>
          <w:szCs w:val="32"/>
          <w:shd w:val="clear" w:color="auto" w:fill="FFFFFF"/>
          <w:lang w:bidi="ar"/>
        </w:rPr>
        <w:t>研判广东省能源产业科技创新重点领域和攻关方向，制定引导能源产业科技创新政策，重点推进先进可再生能源发电及综合利用技术、安全高效核能技术、绿色高效化石能源开发利用技术、节能减排技术、新型电力系统及其支撑技术、数字化智能化应用、新型能源体系机制和模式创新等七大领域的创新研究。（省能源局牵头，各有关部门参与）</w:t>
      </w:r>
    </w:p>
    <w:p w14:paraId="0E0D27A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实施创新需求联动管理。</w:t>
      </w:r>
      <w:r>
        <w:rPr>
          <w:rFonts w:hint="eastAsia" w:ascii="Times New Roman" w:hAnsi="Times New Roman" w:eastAsia="方正仿宋简体" w:cs="方正仿宋简体"/>
          <w:color w:val="424242"/>
          <w:kern w:val="0"/>
          <w:sz w:val="32"/>
          <w:szCs w:val="32"/>
          <w:shd w:val="clear" w:color="auto" w:fill="FFFFFF"/>
          <w:lang w:bidi="ar"/>
        </w:rPr>
        <w:t>建立广东省能源产业科技创新项目库，结合产业科技创新需求，遴选优质项目入库，并实行滚动管理。组织开展能源产业科技创新重点工程遴选，对重点工程给予重点扶持，支持申报国家和省重大科技专项。支持“链主”企业、龙头领军企业联合科研机构、高校和相关企业，围绕重点攻关方向，组建创新联合体，开展跨领域、跨学科联合攻关，以一体化和跨领域融合示范加速产业化进程。（省能源局、科技厅牵头，省发展改革委、教育厅、生态环境厅、住房城乡建设厅、交通运输厅等部门按职责分工负责）</w:t>
      </w:r>
    </w:p>
    <w:p w14:paraId="6A05DFD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4. 建立健全咨询评估机制。</w:t>
      </w:r>
      <w:r>
        <w:rPr>
          <w:rFonts w:hint="eastAsia" w:ascii="Times New Roman" w:hAnsi="Times New Roman" w:eastAsia="方正仿宋简体" w:cs="方正仿宋简体"/>
          <w:color w:val="424242"/>
          <w:kern w:val="0"/>
          <w:sz w:val="32"/>
          <w:szCs w:val="32"/>
          <w:shd w:val="clear" w:color="auto" w:fill="FFFFFF"/>
          <w:lang w:bidi="ar"/>
        </w:rPr>
        <w:t>成立能源科技创新专家咨询和评估委员会，完善运作机制，常态化组织开展咨询、诊断和评价。充分发挥专家智库的支撑作用，密切跟踪国内外能源科技创新重点方向和重大成果，提出能源科技创新研究建议，动态评估入库项目实施成效。（省能源局牵头，各有关部门参与）</w:t>
      </w:r>
    </w:p>
    <w:p w14:paraId="19CB95F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（二）强化企业科技创新主体地位。</w:t>
      </w:r>
    </w:p>
    <w:p w14:paraId="17380AD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5. 发挥在粤总部企业“主力军”作用。</w:t>
      </w:r>
      <w:r>
        <w:rPr>
          <w:rFonts w:hint="eastAsia" w:ascii="Times New Roman" w:hAnsi="Times New Roman" w:eastAsia="方正仿宋简体" w:cs="方正仿宋简体"/>
          <w:color w:val="424242"/>
          <w:kern w:val="0"/>
          <w:sz w:val="32"/>
          <w:szCs w:val="32"/>
          <w:shd w:val="clear" w:color="auto" w:fill="FFFFFF"/>
          <w:lang w:bidi="ar"/>
        </w:rPr>
        <w:t>发挥国有企业的战略支撑作用，引导在粤总部企业结合我省明确的重点领域，持续优化创新研究方向布局和创新资源配置，支持在粤总部企业聚焦主营业务和发展需要，进一步加大创新投入，开展前瞻性、体系化新技术应用研究，推动实施前沿趋势性、战略支撑性试点示范工程，支持建设全国重点实验室、国家能源创新研发平台、产业创新中心、制造业创新中心、工程研究中心。（省能源局牵头，省发展改革委、科技厅、工业和信息化厅、国资委，省能源集团，南方电网公司、中国广核集团等部门、企业按职责分工负责）</w:t>
      </w:r>
    </w:p>
    <w:p w14:paraId="2FC0F91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6. 发挥行业龙头企业驻粤机构“桥头堡”作用。</w:t>
      </w:r>
      <w:r>
        <w:rPr>
          <w:rFonts w:hint="eastAsia" w:ascii="Times New Roman" w:hAnsi="Times New Roman" w:eastAsia="方正仿宋简体" w:cs="方正仿宋简体"/>
          <w:color w:val="424242"/>
          <w:kern w:val="0"/>
          <w:sz w:val="32"/>
          <w:szCs w:val="32"/>
          <w:shd w:val="clear" w:color="auto" w:fill="FFFFFF"/>
          <w:lang w:bidi="ar"/>
        </w:rPr>
        <w:t>引导行业龙头企业驻粤机构增加研发投入，积极承接和参与面向能源科技前沿的国家重大战略任务，积极争取企业总部研发机构迁移到我省或设立分支机构，联合省内创新主体、创新平台开展技术研发，针对能源领域新技术、新模式、新业态开展场景拓展和示范应用。（省能源局牵头，省发展改革委、教育厅、科技厅、工业和信息化厅、国资委，有关能源企业按职责分工负责）</w:t>
      </w:r>
    </w:p>
    <w:p w14:paraId="76557CA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7. 发挥民营企业“生力军”作用。</w:t>
      </w:r>
      <w:r>
        <w:rPr>
          <w:rFonts w:hint="eastAsia" w:ascii="Times New Roman" w:hAnsi="Times New Roman" w:eastAsia="方正仿宋简体" w:cs="方正仿宋简体"/>
          <w:color w:val="424242"/>
          <w:kern w:val="0"/>
          <w:sz w:val="32"/>
          <w:szCs w:val="32"/>
          <w:shd w:val="clear" w:color="auto" w:fill="FFFFFF"/>
          <w:lang w:bidi="ar"/>
        </w:rPr>
        <w:t>支持有条件的民营企业牵头承担能源产业科技创新重大技术攻关任务，向民营企业进一步开放重大科研基础设施。鼓励民营企业联合各类研究机构申报入库项目，推动创新成果转化应用。积极支持并推动竞争力强、成长性好的民营企业打造专精特新“小巨人”企业、独角兽企业，加快孵化更多龙头领军企业，打造能源产业新势力。（省能源局牵头，省发展改革委、教育厅、科技厅、工业和信息化厅等部门按职责分工负责）</w:t>
      </w:r>
    </w:p>
    <w:p w14:paraId="267D5C4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（三）加快创新平台建设。</w:t>
      </w:r>
    </w:p>
    <w:p w14:paraId="55ED0D3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8. 提升创新平台创新效能。</w:t>
      </w:r>
      <w:r>
        <w:rPr>
          <w:rFonts w:hint="eastAsia" w:ascii="Times New Roman" w:hAnsi="Times New Roman" w:eastAsia="方正仿宋简体" w:cs="方正仿宋简体"/>
          <w:color w:val="424242"/>
          <w:kern w:val="0"/>
          <w:sz w:val="32"/>
          <w:szCs w:val="32"/>
          <w:shd w:val="clear" w:color="auto" w:fill="FFFFFF"/>
          <w:lang w:bidi="ar"/>
        </w:rPr>
        <w:t>发挥国家级和省级能源创新平台引领作用，加快推动一批关键核心技术研发推广，协同开展研发、设计和制造，加速创新技术产品开发与迭代升级。支持各类省级平台加快提升创新能级，积极争创国家级平台。依托高校、科研院所、科技社团等，加快培育一批能源理论研究、基础应用研究和技术创新平台。（省能源局牵头，省发展改革委、教育厅、科技厅、工业和信息化厅等部门按职责分工负责）</w:t>
      </w:r>
    </w:p>
    <w:p w14:paraId="29B0FD6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9. 建设公共服务平台。</w:t>
      </w:r>
      <w:r>
        <w:rPr>
          <w:rFonts w:hint="eastAsia" w:ascii="Times New Roman" w:hAnsi="Times New Roman" w:eastAsia="方正仿宋简体" w:cs="方正仿宋简体"/>
          <w:color w:val="424242"/>
          <w:kern w:val="0"/>
          <w:sz w:val="32"/>
          <w:szCs w:val="32"/>
          <w:shd w:val="clear" w:color="auto" w:fill="FFFFFF"/>
          <w:lang w:bidi="ar"/>
        </w:rPr>
        <w:t>支持建设一批能源科技创新检验检测认证、试验验证、数据资源共享等基础服务平台，规范服务型平台运行管理，推动重大科研基础设施和大型科研仪器向社会开放共享。引导企业、研究机构等建设并强化能源产业中试服务功能，支持企业提供应用场景和试验环境，搭建能源产品中试平台，带动产品研发设计和验证试验，与产业链上下游企业共同制定中试技术规则和服务标准，着力解决能源产品中试服务共性问题。（省发展改革委牵头，省科技厅、工业和信息化厅、市场监管局、政务和数据局、能源局等部门按职责分工负责）</w:t>
      </w:r>
    </w:p>
    <w:p w14:paraId="61F3D05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（四）加快推动创新成果转化与应用。</w:t>
      </w:r>
    </w:p>
    <w:p w14:paraId="4FC5B6B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10. 支持创新成果推广应用。</w:t>
      </w:r>
      <w:r>
        <w:rPr>
          <w:rFonts w:hint="eastAsia" w:ascii="Times New Roman" w:hAnsi="Times New Roman" w:eastAsia="方正仿宋简体" w:cs="方正仿宋简体"/>
          <w:color w:val="424242"/>
          <w:kern w:val="0"/>
          <w:sz w:val="32"/>
          <w:szCs w:val="32"/>
          <w:shd w:val="clear" w:color="auto" w:fill="FFFFFF"/>
          <w:lang w:bidi="ar"/>
        </w:rPr>
        <w:t>推动重点领域科技创新成果纳入能源领域首台（套）装备清单、首批次新材料清单、首版次软件清单以及能源产业技术装备推广指导目录，研究制定专项支持政策，加速产业化推广。建立健全以支持创新为导向的考核评价体系，探索建立首台（套）装备、首批次新材料、首版次软件推广应用容错机制，消除重大创新成果示范应用的障碍。鼓励和引导高校、科研院所等按照先使用后付费方式把科技成果许可给企业使用，加快形成原创成果不断涌现、创新成果有效转化的创新生态。（省教育厅、科技厅、工业和信息化厅、应急管理厅、能源局、国资委等部门按职责分工负责）</w:t>
      </w:r>
    </w:p>
    <w:p w14:paraId="5B3002F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11. 加快多领域融合和示范应用。</w:t>
      </w:r>
      <w:r>
        <w:rPr>
          <w:rFonts w:hint="eastAsia" w:ascii="Times New Roman" w:hAnsi="Times New Roman" w:eastAsia="方正仿宋简体" w:cs="方正仿宋简体"/>
          <w:color w:val="424242"/>
          <w:kern w:val="0"/>
          <w:sz w:val="32"/>
          <w:szCs w:val="32"/>
          <w:shd w:val="clear" w:color="auto" w:fill="FFFFFF"/>
          <w:lang w:bidi="ar"/>
        </w:rPr>
        <w:t>在深远海海上风电、高效光伏、新型储能、绿色氢能、先进核能、低成本二氧化碳捕集利用与封存（CCUS）等重点领域，遴选一批具有较强创新基础、市场前景、先发优势和后续产业带动效应的示范工程，推动示范工程纳入省级能源发展规划和国家级示范工程，统筹推进示范工程落地实施。鼓励跨领域交叉融合和创新应用，开展“能源+”机制创新和模式创新研究，促进能源与算力网络、低空经济、公路交通、轨道交通、航运、绿色建筑等多能融合、多业态融合应用。结合“百千万工程”实施，总结具有复制和推广意义的试点经验，探索能源行业助力“百千万工程”新模式、新路径。（省发展改革委、工业和信息化厅、住房城乡建设厅、交通运输厅、农业农村厅、能源局等部门按职责分工负责）</w:t>
      </w:r>
    </w:p>
    <w:p w14:paraId="78A87A0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（五）培育壮大能源产业集群。</w:t>
      </w:r>
    </w:p>
    <w:p w14:paraId="7663F4E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12. 前瞻布局未来产业。</w:t>
      </w:r>
      <w:r>
        <w:rPr>
          <w:rFonts w:hint="eastAsia" w:ascii="Times New Roman" w:hAnsi="Times New Roman" w:eastAsia="方正仿宋简体" w:cs="方正仿宋简体"/>
          <w:color w:val="424242"/>
          <w:kern w:val="0"/>
          <w:sz w:val="32"/>
          <w:szCs w:val="32"/>
          <w:shd w:val="clear" w:color="auto" w:fill="FFFFFF"/>
          <w:lang w:bidi="ar"/>
        </w:rPr>
        <w:t>开展天然气水合物、新一代核电、CCUS、海洋能、地热能等领域基础研究，重点突破大容量漂浮式海上风电、高性能储能电池、高效光伏、低成本可再生能源制氢（氨、醇）、生物质能转化利用、CCUS等核心装备技术研发。引导创新平台和有条件的企业布局未来能源产业科技创新，探索打造一批未来能源技术示范应用场景。（省发展改革委、工业和信息化厅、能源局等部门按职责分工负责）</w:t>
      </w:r>
    </w:p>
    <w:p w14:paraId="4C204FE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13. 培育壮大新兴产业。</w:t>
      </w:r>
      <w:r>
        <w:rPr>
          <w:rFonts w:hint="eastAsia" w:ascii="Times New Roman" w:hAnsi="Times New Roman" w:eastAsia="方正仿宋简体" w:cs="方正仿宋简体"/>
          <w:color w:val="424242"/>
          <w:kern w:val="0"/>
          <w:sz w:val="32"/>
          <w:szCs w:val="32"/>
          <w:shd w:val="clear" w:color="auto" w:fill="FFFFFF"/>
          <w:lang w:bidi="ar"/>
        </w:rPr>
        <w:t>有序推进清洁能源开发应用，适度超前布局充放电网络、供氢网络等新型能源基础设施，重点提升风能、太阳能、新型储能、氢能、智能电网、核能等战略性新兴产业装备制造水平。以产业技术创新推动强链补链延链，打造国内领先、世界一流的新能源战略性新兴产业集群。（省发展改革委、科技厅、工业和信息化厅、住房城乡建设厅、能源局等部门按职责分工负责）</w:t>
      </w:r>
    </w:p>
    <w:p w14:paraId="2D5B9BC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14. 优化升级传统产业。</w:t>
      </w:r>
      <w:r>
        <w:rPr>
          <w:rFonts w:hint="eastAsia" w:ascii="Times New Roman" w:hAnsi="Times New Roman" w:eastAsia="方正仿宋简体" w:cs="方正仿宋简体"/>
          <w:color w:val="424242"/>
          <w:kern w:val="0"/>
          <w:sz w:val="32"/>
          <w:szCs w:val="32"/>
          <w:shd w:val="clear" w:color="auto" w:fill="FFFFFF"/>
          <w:lang w:bidi="ar"/>
        </w:rPr>
        <w:t>以绿色化数字化智能化协同创新推动传统能源转型升级，着力提升能源产业链现代化水平。聚焦传统能源的清洁高效利用，重点推进油气生产供应、煤炭清洁高效利用、清洁能源替代和能源数字化智能化应用等领域技术研发应用。围绕能源产供储销用各环节，加速人工智能、区块链、数字孪生、大数据与云计算、物联网、机器人、无人机等数智技术的创新应用，推进能源大数据平台建设，积极发展智慧电厂、智慧油气、数字电网、能源数字化集成等数字能源产业。（省发展改革委、工业和信息化厅、政务和数据局、能源局等部门按职责分工负责）</w:t>
      </w:r>
    </w:p>
    <w:p w14:paraId="68C2EDA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（六）加强资源要素保障。</w:t>
      </w:r>
    </w:p>
    <w:p w14:paraId="01FCCF9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15. 加大财税金融支持力度。</w:t>
      </w:r>
      <w:r>
        <w:rPr>
          <w:rFonts w:hint="eastAsia" w:ascii="Times New Roman" w:hAnsi="Times New Roman" w:eastAsia="方正仿宋简体" w:cs="方正仿宋简体"/>
          <w:color w:val="424242"/>
          <w:kern w:val="0"/>
          <w:sz w:val="32"/>
          <w:szCs w:val="32"/>
          <w:shd w:val="clear" w:color="auto" w:fill="FFFFFF"/>
          <w:lang w:bidi="ar"/>
        </w:rPr>
        <w:t>落实国家关于企业研发费用加计扣除、基础研究投入税收优惠、科技成果转化税收减免等税收优惠政策，推动普惠性政策应享尽享。积极争取国家重点研发计划等国家级资金支持，支持入库项目申报省重点领域研发计划等专项资金，建立财政投入为引导、企业投入为主体、金融资本为支撑、社会资本为补充的创新支持体系。推动能源产业的各类政府投资基金积极发挥资源整合和引导作用，带动社会资本加大对早期项目的支持力度，促进创新成果加速转化。鼓励银行、保险、证券等金融机构依法合规优化产品和服务，为能源技术攻关、能源科技成果示范应用、知识产权维护等提供融资和保险保障服务。（省委金融办，省科技厅、财政厅、能源局，省税务局、中国人民银行广东省分行、广东金融监管局、广东证监局等部门按职责分工负责）</w:t>
      </w:r>
    </w:p>
    <w:p w14:paraId="5E47C7A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16. 强化综合激励。</w:t>
      </w:r>
      <w:r>
        <w:rPr>
          <w:rFonts w:hint="eastAsia" w:ascii="Times New Roman" w:hAnsi="Times New Roman" w:eastAsia="方正仿宋简体" w:cs="方正仿宋简体"/>
          <w:color w:val="424242"/>
          <w:kern w:val="0"/>
          <w:sz w:val="32"/>
          <w:szCs w:val="32"/>
          <w:shd w:val="clear" w:color="auto" w:fill="FFFFFF"/>
          <w:lang w:bidi="ar"/>
        </w:rPr>
        <w:t>对能源产业科技创新重点工程，通过“一工程一方案”精准定制支持措施，全力保障工程高效推进。支持对广东省能源科技创新作出突出贡献的企业和个人，按规定申报省科学技术奖、省工程咨询奖等省级奖项。对能源产业科技创新实绩突出的企业，在资源配置、项目纳规、建设运营等方面予以重点支持。（省能源局牵头，省发展改革委、科技厅、工业和信息化厅、人力资源社会保障厅等部门按职责分工负责）</w:t>
      </w:r>
    </w:p>
    <w:p w14:paraId="173BE52F">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17. 扩大国际能源科技交流合作。</w:t>
      </w:r>
      <w:r>
        <w:rPr>
          <w:rFonts w:hint="eastAsia" w:ascii="Times New Roman" w:hAnsi="Times New Roman" w:eastAsia="方正仿宋简体" w:cs="方正仿宋简体"/>
          <w:color w:val="424242"/>
          <w:kern w:val="0"/>
          <w:sz w:val="32"/>
          <w:szCs w:val="32"/>
          <w:shd w:val="clear" w:color="auto" w:fill="FFFFFF"/>
          <w:lang w:bidi="ar"/>
        </w:rPr>
        <w:t>鼓励在粤设立国际科技组织，优化高校、科研院所、科技社团对外专业交流合作管理机制。加快推动粤港澳能源科技交流合作，吸引全球高层次创新型人才来粤创新创业和交流合作。积极培育能源技术研发、技术管理、项目管理等方面中青年骨干人才，引进一批引领能源技术前沿、支撑能源工程建设的技术带头人和懂科技、精管理的复合型人才。（省教育厅、科技厅、人力资源社会保障厅、商务厅、能源局等部门按职责分工负责）</w:t>
      </w:r>
    </w:p>
    <w:p w14:paraId="732D0D43">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三</w:t>
      </w:r>
      <w:r>
        <w:rPr>
          <w:rFonts w:hint="eastAsia" w:ascii="Times New Roman" w:hAnsi="Times New Roman" w:eastAsia="方正黑体简体" w:cs="Times New Roman"/>
          <w:kern w:val="2"/>
          <w:sz w:val="32"/>
          <w:szCs w:val="32"/>
          <w:lang w:val="en-US" w:eastAsia="zh-CN" w:bidi="ar"/>
        </w:rPr>
        <w:t>、保障措施</w:t>
      </w:r>
    </w:p>
    <w:p w14:paraId="2D89C064">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建立健全多部门参与、目标明确、分工合理的能源科技创新协同推进工作机制，形成合力共同推进全省能源科技创新和产业工作。实行入库项目进度监测、阶段性成果评估、结题验收、成果应用登记、后评价等全过程监测，统筹做好入库项目及其示范应用的资源要素保障。充分利用各类媒体平台和各种形式的能源科技创新成果推介会，加大科技创新成果的宣传和推广力度。（省委宣传部，省发展改革委、教育厅、科技厅、工业和信息化厅、自然资源厅、生态环境厅、能源局、林业局等部门按职责分工负责）</w:t>
      </w:r>
    </w:p>
    <w:p w14:paraId="22972E0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66DF4EA4">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省政府办公厅</w:t>
      </w:r>
    </w:p>
    <w:p w14:paraId="2FF3AB33">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2024年11月14日</w:t>
      </w:r>
    </w:p>
    <w:p w14:paraId="7ECBE554">
      <w:pPr>
        <w:widowControl w:val="0"/>
        <w:spacing w:before="240" w:after="60" w:line="570" w:lineRule="exact"/>
        <w:ind w:firstLine="880"/>
        <w:jc w:val="center"/>
        <w:outlineLvl w:val="9"/>
        <w:rPr>
          <w:rFonts w:hint="eastAsia" w:ascii="Times New Roman" w:hAnsi="Times New Roman" w:eastAsia="方正小标宋简体" w:cs="Times New Roman"/>
          <w:kern w:val="2"/>
          <w:sz w:val="44"/>
          <w:szCs w:val="24"/>
          <w:lang w:val="en-US" w:eastAsia="zh-CN" w:bidi="ar-SA"/>
        </w:rPr>
      </w:pPr>
    </w:p>
    <w:p w14:paraId="75D01091">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国务院办公厅关于促进政府投资基金</w:t>
      </w:r>
    </w:p>
    <w:p w14:paraId="1871EEE6">
      <w:pPr>
        <w:widowControl w:val="0"/>
        <w:spacing w:before="240" w:after="60" w:line="360" w:lineRule="auto"/>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高质量发展的指导意见</w:t>
      </w:r>
    </w:p>
    <w:p w14:paraId="131C2053">
      <w:pPr>
        <w:widowControl/>
        <w:shd w:val="clear" w:color="auto" w:fill="FFFFFF"/>
        <w:spacing w:line="570" w:lineRule="exact"/>
        <w:jc w:val="center"/>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国办发〔2025〕1号</w:t>
      </w:r>
    </w:p>
    <w:p w14:paraId="0A515804">
      <w:pPr>
        <w:widowControl/>
        <w:shd w:val="clear" w:color="auto" w:fill="FFFFFF"/>
        <w:spacing w:before="30" w:after="30" w:line="570" w:lineRule="exact"/>
        <w:jc w:val="left"/>
        <w:rPr>
          <w:rFonts w:ascii="Times New Roman" w:hAnsi="Times New Roman" w:eastAsia="方正仿宋简体" w:cs="方正仿宋简体"/>
          <w:color w:val="333333"/>
          <w:kern w:val="0"/>
          <w:sz w:val="32"/>
          <w:szCs w:val="32"/>
          <w:shd w:val="clear" w:color="auto" w:fill="FFFFFF"/>
        </w:rPr>
      </w:pPr>
    </w:p>
    <w:p w14:paraId="35686FF1">
      <w:pPr>
        <w:widowControl/>
        <w:shd w:val="clear" w:color="auto" w:fill="FFFFFF"/>
        <w:spacing w:before="30" w:after="30" w:line="570" w:lineRule="exact"/>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各省、自治区、直辖市人民政府，国务院各部委、各直属机构：</w:t>
      </w:r>
    </w:p>
    <w:p w14:paraId="59243138">
      <w:pPr>
        <w:widowControl/>
        <w:shd w:val="clear" w:color="auto" w:fill="FFFFFF"/>
        <w:spacing w:before="30" w:after="30" w:line="570" w:lineRule="exact"/>
        <w:ind w:firstLine="640"/>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政府投资基金是各级政府通过预算安排，单独出资或与社会资本共同出资设立，采用股权投资等市场化方式，引导各类社会资本支持相关产业和领域发展及创新创业的投资基金，在服务国家战略、推动产业升级、促进创新创业等方面发挥了积极作用。为构建更加科学高效的政府投资基金管理体系，促进政府投资基金高质量发展，经国务院同意，现提出如下意见。</w:t>
      </w:r>
    </w:p>
    <w:p w14:paraId="0258BE79">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一、总体要求</w:t>
      </w:r>
    </w:p>
    <w:p w14:paraId="4D478CA9">
      <w:pPr>
        <w:widowControl/>
        <w:shd w:val="clear" w:color="auto" w:fill="FFFFFF"/>
        <w:spacing w:before="30" w:after="30" w:line="570" w:lineRule="exact"/>
        <w:ind w:firstLine="640"/>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坚持以习近平新时代中国特色社会主义思想为指导，深入贯彻党的二十大和二十届二中、三中全会精神，完整准确全面贯彻新发展理念，坚持和加强党的全面领导，充分发挥市场在资源配置中的决定性作用，更好发挥政府作用，推动有效市场和有为政府更好结合。突出政府引导和政策性定位，按照市场化、法治化、专业化原则规范运作政府投资基金，发展耐心资本，注重发挥实效。完善分级分类管理机制，合理统筹基金布局，防止同质化竞争和对社会资本产生挤出效应。健全权责一致、激励约束相容的责任机制，充分调动基金管理人积极性。遵循行业发展规律，加强政策制度协同，严肃财经纪律，切实防范风险，促进形成规模适度、布局合理、运作规范、科学高效、风险可控的政府投资基金高质量发展格局。</w:t>
      </w:r>
    </w:p>
    <w:p w14:paraId="6420635A">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二、找准定位，更好服务国家发展大局</w:t>
      </w:r>
    </w:p>
    <w:p w14:paraId="27036DD3">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（一）明确基金定位。</w:t>
      </w:r>
      <w:r>
        <w:rPr>
          <w:rFonts w:hint="eastAsia" w:ascii="Times New Roman" w:hAnsi="Times New Roman" w:eastAsia="方正仿宋简体" w:cs="方正仿宋简体"/>
          <w:color w:val="333333"/>
          <w:kern w:val="0"/>
          <w:sz w:val="32"/>
          <w:szCs w:val="32"/>
          <w:shd w:val="clear" w:color="auto" w:fill="FFFFFF"/>
          <w:lang w:bidi="ar"/>
        </w:rPr>
        <w:t>政府投资基金要聚焦重大战略、重点领域和市场不能充分发挥作用的薄弱环节，吸引带动更多社会资本，支持现代化产业体系建设，加快培育发展新质生产力。按照投资方向，政府投资基金主要分为产业投资类基金和创业投资类基金。</w:t>
      </w:r>
    </w:p>
    <w:p w14:paraId="5140D4F6">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（二）优化产业投资类基金功能。</w:t>
      </w:r>
      <w:r>
        <w:rPr>
          <w:rFonts w:hint="eastAsia" w:ascii="Times New Roman" w:hAnsi="Times New Roman" w:eastAsia="方正仿宋简体" w:cs="方正仿宋简体"/>
          <w:color w:val="333333"/>
          <w:kern w:val="0"/>
          <w:sz w:val="32"/>
          <w:szCs w:val="32"/>
          <w:shd w:val="clear" w:color="auto" w:fill="FFFFFF"/>
          <w:lang w:bidi="ar"/>
        </w:rPr>
        <w:t>产业投资类基金要在产业发展方面发挥引领带动作用，围绕完善现代化产业体系，支持改造提升传统产业、培育壮大新兴产业、布局建设未来产业，重点投资产业链关键环节和延链补链强链项目，推动提升产业链供应链韧性和安全水平，打造具有国际竞争力的产业集群。</w:t>
      </w:r>
    </w:p>
    <w:p w14:paraId="15C774FB">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（三）鼓励发展创业投资类基金。</w:t>
      </w:r>
      <w:r>
        <w:rPr>
          <w:rFonts w:hint="eastAsia" w:ascii="Times New Roman" w:hAnsi="Times New Roman" w:eastAsia="方正仿宋简体" w:cs="方正仿宋简体"/>
          <w:color w:val="333333"/>
          <w:kern w:val="0"/>
          <w:sz w:val="32"/>
          <w:szCs w:val="32"/>
          <w:shd w:val="clear" w:color="auto" w:fill="FFFFFF"/>
          <w:lang w:bidi="ar"/>
        </w:rPr>
        <w:t>创业投资类基金要围绕发展新质生产力，支持科技创新，着力投早、投小、投长期、投硬科技，推动加快实现高水平科技自立自强，提升自主创新能力和关键核心技术攻关能力，解决重点关键领域“卡脖子”难题。</w:t>
      </w:r>
    </w:p>
    <w:p w14:paraId="50CE1AF6">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（四）发展壮大长期资本、耐心资本。</w:t>
      </w:r>
      <w:r>
        <w:rPr>
          <w:rFonts w:hint="eastAsia" w:ascii="Times New Roman" w:hAnsi="Times New Roman" w:eastAsia="方正仿宋简体" w:cs="方正仿宋简体"/>
          <w:color w:val="333333"/>
          <w:kern w:val="0"/>
          <w:sz w:val="32"/>
          <w:szCs w:val="32"/>
          <w:shd w:val="clear" w:color="auto" w:fill="FFFFFF"/>
          <w:lang w:bidi="ar"/>
        </w:rPr>
        <w:t>合理确定政府投资基金存续期，发挥基金作为长期资本、耐心资本的跨周期和逆周期调节作用，积极引导全国社会保障基金、保险资金等长期资本出资。在需要长期布局的领域，可采取接续投资方式，确保投资延续性。</w:t>
      </w:r>
    </w:p>
    <w:p w14:paraId="29B59D6D">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三、完善分级分类管理机制</w:t>
      </w:r>
    </w:p>
    <w:p w14:paraId="3F2D51E5">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（五）明确对基金设立的分级管理要求。</w:t>
      </w:r>
      <w:r>
        <w:rPr>
          <w:rFonts w:hint="eastAsia" w:ascii="Times New Roman" w:hAnsi="Times New Roman" w:eastAsia="方正仿宋简体" w:cs="方正仿宋简体"/>
          <w:color w:val="333333"/>
          <w:kern w:val="0"/>
          <w:sz w:val="32"/>
          <w:szCs w:val="32"/>
          <w:shd w:val="clear" w:color="auto" w:fill="FFFFFF"/>
          <w:lang w:bidi="ar"/>
        </w:rPr>
        <w:t>政府出资设立基金要充分评估论证并按规定履行审批程序。中央财政出资设立国家级基金应报国务院批准。设立省级（含计划单列市、新疆生产建设兵团，下同）或地市级基金应报同级政府批准。县级政府应严格控制新设基金，财力较好、具备资源禀赋的县区如确需发起设立基金，应提级报上级政府审批。除上述情形外，党政机关、事业单位不得以财政拨款或自有收入新设基金，已经设立的要按照政府投资基金管理要求统一规范管理。</w:t>
      </w:r>
    </w:p>
    <w:p w14:paraId="486EC121">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（六）完善不同类型基金差异化管理机制。</w:t>
      </w:r>
      <w:r>
        <w:rPr>
          <w:rFonts w:hint="eastAsia" w:ascii="Times New Roman" w:hAnsi="Times New Roman" w:eastAsia="方正仿宋简体" w:cs="方正仿宋简体"/>
          <w:color w:val="333333"/>
          <w:kern w:val="0"/>
          <w:sz w:val="32"/>
          <w:szCs w:val="32"/>
          <w:shd w:val="clear" w:color="auto" w:fill="FFFFFF"/>
          <w:lang w:bidi="ar"/>
        </w:rPr>
        <w:t>对创业投资类基金，可适当提高政府出资比例、放宽基金存续期要求、延长基金绩效评价周期。对产业投资类基金，应根据产业类型、阶段、分布特点合理设置管理要求，突出支持重点。</w:t>
      </w:r>
    </w:p>
    <w:p w14:paraId="08FC4848">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（七）规范各类政府出资预算管理。</w:t>
      </w:r>
      <w:r>
        <w:rPr>
          <w:rFonts w:hint="eastAsia" w:ascii="Times New Roman" w:hAnsi="Times New Roman" w:eastAsia="方正仿宋简体" w:cs="方正仿宋简体"/>
          <w:color w:val="333333"/>
          <w:kern w:val="0"/>
          <w:sz w:val="32"/>
          <w:szCs w:val="32"/>
          <w:shd w:val="clear" w:color="auto" w:fill="FFFFFF"/>
          <w:lang w:bidi="ar"/>
        </w:rPr>
        <w:t>政府出资主要包括通过预算直接出资、安排资金并委托国有企业出资等方式。政府采取注资国有企业方式设立基金，明确相关资金专项用于对基金出资的，原则上按照政府出资有关要求管理。政府出资设立基金，应由财政部门结合基金设立情况和财政承受能力，合理确定出资规模、比例和时间安排。政府对基金的出资应按规定纳入财政预算管理，加强年度预算安排与基金出资的衔接。财政部门要结合基金投资进展和结余资金情况合理安排出资，防止资金闲置。</w:t>
      </w:r>
    </w:p>
    <w:p w14:paraId="4112283C">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四、加强统筹，整合优化布局</w:t>
      </w:r>
    </w:p>
    <w:p w14:paraId="187B1993">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（八）国家级基金与地方基金形成合力。</w:t>
      </w:r>
      <w:r>
        <w:rPr>
          <w:rFonts w:hint="eastAsia" w:ascii="Times New Roman" w:hAnsi="Times New Roman" w:eastAsia="方正仿宋简体" w:cs="方正仿宋简体"/>
          <w:color w:val="333333"/>
          <w:kern w:val="0"/>
          <w:sz w:val="32"/>
          <w:szCs w:val="32"/>
          <w:shd w:val="clear" w:color="auto" w:fill="FFFFFF"/>
          <w:lang w:bidi="ar"/>
        </w:rPr>
        <w:t>国家级基金要立足全局，围绕建设现代化产业体系、培育发展新质生产力等重点领域发挥示范引领作用，支持关键核心技术攻关、补齐产业发展短板。鼓励国家级基金加强与地方基金联动，在前沿科技领域和产业链关键环节，结合地方资源禀赋，通过联合设立子基金或对地方基金出资等方式，形成资金合力。加强财政资源统筹，推动形成国家科技重大项目支持前端研发、政府投资基金支持成果转化和产业化的联动机制。</w:t>
      </w:r>
    </w:p>
    <w:p w14:paraId="6D9692DC">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（九）省级政府加强本地区基金统筹管理。</w:t>
      </w:r>
      <w:r>
        <w:rPr>
          <w:rFonts w:hint="eastAsia" w:ascii="Times New Roman" w:hAnsi="Times New Roman" w:eastAsia="方正仿宋简体" w:cs="方正仿宋简体"/>
          <w:color w:val="333333"/>
          <w:kern w:val="0"/>
          <w:sz w:val="32"/>
          <w:szCs w:val="32"/>
          <w:shd w:val="clear" w:color="auto" w:fill="FFFFFF"/>
          <w:lang w:bidi="ar"/>
        </w:rPr>
        <w:t>省级政府要结合国家发展规划及国家专项规划、区域规划，统筹管理本地区政府投资基金，综合考虑本地区财力、产业资源基础、债务风险等情况，找准定位，加强对下级政府设立基金的指导。省级政府要因地制宜支持优势特色产业发展，鼓励创新创业，制定政府投资基金重点投资领域清单，明确对下级政府设立基金的审批或备案要求，防止重复投资和无序竞争。</w:t>
      </w:r>
    </w:p>
    <w:p w14:paraId="0C0C0156">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（十）加强基金布局规划和投向指导。</w:t>
      </w:r>
      <w:r>
        <w:rPr>
          <w:rFonts w:hint="eastAsia" w:ascii="Times New Roman" w:hAnsi="Times New Roman" w:eastAsia="方正仿宋简体" w:cs="方正仿宋简体"/>
          <w:color w:val="333333"/>
          <w:kern w:val="0"/>
          <w:sz w:val="32"/>
          <w:szCs w:val="32"/>
          <w:shd w:val="clear" w:color="auto" w:fill="FFFFFF"/>
          <w:lang w:bidi="ar"/>
        </w:rPr>
        <w:t>国家发展改革委要会同行业主管部门充分发挥布局规划和投向指导作用，结合相关产业在全国各地区产能利用情况，引导地方围绕当地产业发展实际调整政府投资基金布局，防止产能过剩和低水平重复建设。</w:t>
      </w:r>
    </w:p>
    <w:p w14:paraId="482FC027">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（十一）推动基金整合优化。</w:t>
      </w:r>
      <w:r>
        <w:rPr>
          <w:rFonts w:hint="eastAsia" w:ascii="Times New Roman" w:hAnsi="Times New Roman" w:eastAsia="方正仿宋简体" w:cs="方正仿宋简体"/>
          <w:color w:val="333333"/>
          <w:kern w:val="0"/>
          <w:sz w:val="32"/>
          <w:szCs w:val="32"/>
          <w:shd w:val="clear" w:color="auto" w:fill="FFFFFF"/>
          <w:lang w:bidi="ar"/>
        </w:rPr>
        <w:t>同一政府原则上不在同一行业或领域重复设立政府投资基金，但基金可按市场化原则对同一项目集合发力、接续支持。设立同类基金较多、投资领域明显交叉重合的，在保障经营主体合法权益、维护市场秩序的前提下，鼓励推动基金整合重组，增强规模效应，更好服务政策目标。对因缺乏产业基础、资源禀赋等导致政策效应不明显或募资、投资进展缓慢的基金，推动其通过优化投向等方式积极提升效能。</w:t>
      </w:r>
    </w:p>
    <w:p w14:paraId="0549C254">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五、提升专业化市场化运作水平</w:t>
      </w:r>
    </w:p>
    <w:p w14:paraId="24F3B20F">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（十二）规范基金运作管理。</w:t>
      </w:r>
      <w:r>
        <w:rPr>
          <w:rFonts w:hint="eastAsia" w:ascii="Times New Roman" w:hAnsi="Times New Roman" w:eastAsia="方正仿宋简体" w:cs="方正仿宋简体"/>
          <w:color w:val="333333"/>
          <w:kern w:val="0"/>
          <w:sz w:val="32"/>
          <w:szCs w:val="32"/>
          <w:shd w:val="clear" w:color="auto" w:fill="FFFFFF"/>
          <w:lang w:bidi="ar"/>
        </w:rPr>
        <w:t>健全政府投资基金治理结构，建立科学规范的运作管理和投资决策机制。政府部门可通过监督投向、跟踪投资进度、委派观察员等方式，促进基金合规运作。母基金要加强对子基金投向、运作、财务等情况的监督，强化尽职调查责任。优化投资项目选择机制，防止偏离政策目标、与民争利。政府投资基金应选择在中国境内具有基金托管业务资质的金融机构进行托管，托管机构应依法履行托管职责，定期向出资人提交托管报告。政府投资基金应定期向出资人和行业主管部门报送运作管理情况、财务报告、重大事项等信息。</w:t>
      </w:r>
    </w:p>
    <w:p w14:paraId="17BA0F5F">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（十三）优化基金投资方式。</w:t>
      </w:r>
      <w:r>
        <w:rPr>
          <w:rFonts w:hint="eastAsia" w:ascii="Times New Roman" w:hAnsi="Times New Roman" w:eastAsia="方正仿宋简体" w:cs="方正仿宋简体"/>
          <w:color w:val="333333"/>
          <w:kern w:val="0"/>
          <w:sz w:val="32"/>
          <w:szCs w:val="32"/>
          <w:shd w:val="clear" w:color="auto" w:fill="FFFFFF"/>
          <w:lang w:bidi="ar"/>
        </w:rPr>
        <w:t>新设政府投资基金可采取母子基金或直投项目方式进行投资，鼓励创业投资类基金采取母子基金方式。子基金原则上以直投项目方式进行投资，控制基金层级，防止多层嵌套影响政策目标实现。</w:t>
      </w:r>
    </w:p>
    <w:p w14:paraId="0B06FE8D">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（十四）充分发挥基金管理人作用。</w:t>
      </w:r>
      <w:r>
        <w:rPr>
          <w:rFonts w:hint="eastAsia" w:ascii="Times New Roman" w:hAnsi="Times New Roman" w:eastAsia="方正仿宋简体" w:cs="方正仿宋简体"/>
          <w:color w:val="333333"/>
          <w:kern w:val="0"/>
          <w:sz w:val="32"/>
          <w:szCs w:val="32"/>
          <w:shd w:val="clear" w:color="auto" w:fill="FFFFFF"/>
          <w:lang w:bidi="ar"/>
        </w:rPr>
        <w:t>理顺政府投资基金与管理人的关系，实现政府引导、市场化运作和专业化管理的有机统一。基金管理人原则上采取市场化方式遴选确定，应具备与基金运作相适应的专业能力、投资能力和管理能力，具有股权投资或相关基金管理经验，具有符合要求的投资管理业绩。严控县级政府新设基金管理人。新设政府投资基金的管理费要经过科学论证，一般应以实缴出资或实际投资金额为计费基础，合理确定计提标准。</w:t>
      </w:r>
    </w:p>
    <w:p w14:paraId="51B8C2B7">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（十五）健全基金绩效管理。</w:t>
      </w:r>
      <w:r>
        <w:rPr>
          <w:rFonts w:hint="eastAsia" w:ascii="Times New Roman" w:hAnsi="Times New Roman" w:eastAsia="方正仿宋简体" w:cs="方正仿宋简体"/>
          <w:color w:val="333333"/>
          <w:kern w:val="0"/>
          <w:sz w:val="32"/>
          <w:szCs w:val="32"/>
          <w:shd w:val="clear" w:color="auto" w:fill="FFFFFF"/>
          <w:lang w:bidi="ar"/>
        </w:rPr>
        <w:t>政府投资基金应合理设置绩效目标，构建科学化、差异化、可量化的绩效指标体系，重点关注政策目标综合实现情况。财政部门会同有关部门对基金实施全过程绩效管理。综合采取调整管理费、超额收益分配等措施加强绩效评价结果应用，体现激励约束，切实发挥绩效评价对基金运作管理的“指挥棒”作用。</w:t>
      </w:r>
    </w:p>
    <w:p w14:paraId="41935537">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（十六）建立健全容错机制。</w:t>
      </w:r>
      <w:r>
        <w:rPr>
          <w:rFonts w:hint="eastAsia" w:ascii="Times New Roman" w:hAnsi="Times New Roman" w:eastAsia="方正仿宋简体" w:cs="方正仿宋简体"/>
          <w:color w:val="333333"/>
          <w:kern w:val="0"/>
          <w:sz w:val="32"/>
          <w:szCs w:val="32"/>
          <w:shd w:val="clear" w:color="auto" w:fill="FFFFFF"/>
          <w:lang w:bidi="ar"/>
        </w:rPr>
        <w:t>遵循基金投资运作规律，容忍正常投资风险，优化全链条、全生命周期考核评价体系，不简单以单个项目或单一年度盈亏作为考核依据。营造鼓励创新、宽容失败的良好氛围，鼓励建立以尽职合规责任豁免为核心的容错机制，完善免责认定标准和流程。</w:t>
      </w:r>
    </w:p>
    <w:p w14:paraId="2383B7C4">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（十七）优化基金发展环境。</w:t>
      </w:r>
      <w:r>
        <w:rPr>
          <w:rFonts w:hint="eastAsia" w:ascii="Times New Roman" w:hAnsi="Times New Roman" w:eastAsia="方正仿宋简体" w:cs="方正仿宋简体"/>
          <w:color w:val="333333"/>
          <w:kern w:val="0"/>
          <w:sz w:val="32"/>
          <w:szCs w:val="32"/>
          <w:shd w:val="clear" w:color="auto" w:fill="FFFFFF"/>
          <w:lang w:bidi="ar"/>
        </w:rPr>
        <w:t>落实建设全国统一大市场部署要求，不以招商引资为目的设立政府投资基金，鼓励取消政府投资基金及管理人注册地限制，依法依规强化信用约束。优化政府出资比例调整机制，鼓励降低或取消返投比例。突出正向激励政策导向，提振市场投资信心。</w:t>
      </w:r>
    </w:p>
    <w:p w14:paraId="39BA40D3">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六、优化退出机制，促进投资良性循环</w:t>
      </w:r>
    </w:p>
    <w:p w14:paraId="5CCE386C">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（十八）规范基金退出管理。</w:t>
      </w:r>
      <w:r>
        <w:rPr>
          <w:rFonts w:hint="eastAsia" w:ascii="Times New Roman" w:hAnsi="Times New Roman" w:eastAsia="方正仿宋简体" w:cs="方正仿宋简体"/>
          <w:color w:val="333333"/>
          <w:kern w:val="0"/>
          <w:sz w:val="32"/>
          <w:szCs w:val="32"/>
          <w:shd w:val="clear" w:color="auto" w:fill="FFFFFF"/>
          <w:lang w:bidi="ar"/>
        </w:rPr>
        <w:t>研究制定政府投资基金退出政策指引，完善不同类型基金的退出政策。基金管理人应建立基金退出管理制度，制定退出方案。政府投资基金应科学合理确定退出期，并在章程或合伙协议中明确退出条件。政府出资退出时，应按照章程或合伙协议约定的条件退出；没有约定的，应依法依规进行评估，采取市场化方式确定转让价格。</w:t>
      </w:r>
    </w:p>
    <w:p w14:paraId="1D9A5763">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（十九）拓宽基金退出渠道。</w:t>
      </w:r>
      <w:r>
        <w:rPr>
          <w:rFonts w:hint="eastAsia" w:ascii="Times New Roman" w:hAnsi="Times New Roman" w:eastAsia="方正仿宋简体" w:cs="方正仿宋简体"/>
          <w:color w:val="333333"/>
          <w:kern w:val="0"/>
          <w:sz w:val="32"/>
          <w:szCs w:val="32"/>
          <w:shd w:val="clear" w:color="auto" w:fill="FFFFFF"/>
          <w:lang w:bidi="ar"/>
        </w:rPr>
        <w:t>推动区域性股权市场规则对接、标准统一。鼓励发展私募股权二级市场基金（S基金）、并购基金等。完善多层次资本市场体系，提高新三板和区域性股权市场服务股权投资的能力，拓宽政府投资基金退出渠道。</w:t>
      </w:r>
    </w:p>
    <w:p w14:paraId="14103DF3">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（二十）完善基金退出机制。</w:t>
      </w:r>
      <w:r>
        <w:rPr>
          <w:rFonts w:hint="eastAsia" w:ascii="Times New Roman" w:hAnsi="Times New Roman" w:eastAsia="方正仿宋简体" w:cs="方正仿宋简体"/>
          <w:color w:val="333333"/>
          <w:kern w:val="0"/>
          <w:sz w:val="32"/>
          <w:szCs w:val="32"/>
          <w:shd w:val="clear" w:color="auto" w:fill="FFFFFF"/>
          <w:lang w:bidi="ar"/>
        </w:rPr>
        <w:t>政府投资基金应在收益分配、损失分担等方面公平维护各方出资人利益，保护社会资本合法权益。探索简化项目退出流程，优化政府投资基金份额转让业务流程和定价机制，推动完善政府投资基金评估体系，构建更加畅通的退出机制。</w:t>
      </w:r>
    </w:p>
    <w:p w14:paraId="1632327A">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七、强化内控建设，防范化解风险</w:t>
      </w:r>
    </w:p>
    <w:p w14:paraId="7DA0ECD2">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（二十一）健全风险防控体系。</w:t>
      </w:r>
      <w:r>
        <w:rPr>
          <w:rFonts w:hint="eastAsia" w:ascii="Times New Roman" w:hAnsi="Times New Roman" w:eastAsia="方正仿宋简体" w:cs="方正仿宋简体"/>
          <w:color w:val="333333"/>
          <w:kern w:val="0"/>
          <w:sz w:val="32"/>
          <w:szCs w:val="32"/>
          <w:shd w:val="clear" w:color="auto" w:fill="FFFFFF"/>
          <w:lang w:bidi="ar"/>
        </w:rPr>
        <w:t>政府投资基金要强化内控管理，依法保障出资人权益。基金管理人应建立健全关联交易管理制度，健全廉政风险防控体系，不得以基金财产与关联方进行不正当交易或利益输送，不得从事法律法规或行业规章禁止的业务。加强政府投资基金风险防范，严禁地方政府通过违法违规举债融资进行出资，不得新增地方政府隐性债务，不得强制要求国有企业、金融机构出资或垫资。</w:t>
      </w:r>
    </w:p>
    <w:p w14:paraId="263E9DE1">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（二十二）严肃财经纪律。</w:t>
      </w:r>
      <w:r>
        <w:rPr>
          <w:rFonts w:hint="eastAsia" w:ascii="Times New Roman" w:hAnsi="Times New Roman" w:eastAsia="方正仿宋简体" w:cs="方正仿宋简体"/>
          <w:color w:val="333333"/>
          <w:kern w:val="0"/>
          <w:sz w:val="32"/>
          <w:szCs w:val="32"/>
          <w:shd w:val="clear" w:color="auto" w:fill="FFFFFF"/>
          <w:lang w:bidi="ar"/>
        </w:rPr>
        <w:t>加强政府投资基金从业人员法律法规及职业道德教育、培训和管理。规范财务绩效管理，真实、准确反映基金财务状况，严防财务造假。中国证监会、财政部要会同有关部门研究出台加强政府投资基金高级管理人员管理相关办法。基金从业人员玩忽职守、滥用职权、徇私舞弊或者利用职务便利索取或收受他人财物的，依规依纪依法给予处理处分；构成犯罪的，依法追究刑事责任。</w:t>
      </w:r>
    </w:p>
    <w:p w14:paraId="1CE15C82">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八、加强组织保障</w:t>
      </w:r>
    </w:p>
    <w:p w14:paraId="5ECE5890">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（二十三）坚持和加强党的领导。</w:t>
      </w:r>
      <w:r>
        <w:rPr>
          <w:rFonts w:hint="eastAsia" w:ascii="Times New Roman" w:hAnsi="Times New Roman" w:eastAsia="方正仿宋简体" w:cs="方正仿宋简体"/>
          <w:color w:val="333333"/>
          <w:kern w:val="0"/>
          <w:sz w:val="32"/>
          <w:szCs w:val="32"/>
          <w:shd w:val="clear" w:color="auto" w:fill="FFFFFF"/>
          <w:lang w:bidi="ar"/>
        </w:rPr>
        <w:t>深入贯彻落实党中央决策部署，把党的领导贯穿规范政府投资基金管理全过程各方面，为政府投资基金高质量发展提供坚实政治保障，推动国家战略落到实处。</w:t>
      </w:r>
    </w:p>
    <w:p w14:paraId="3F1FEC9B">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（二十四）加强部门协同。</w:t>
      </w:r>
      <w:r>
        <w:rPr>
          <w:rFonts w:hint="eastAsia" w:ascii="Times New Roman" w:hAnsi="Times New Roman" w:eastAsia="方正仿宋简体" w:cs="方正仿宋简体"/>
          <w:color w:val="333333"/>
          <w:kern w:val="0"/>
          <w:sz w:val="32"/>
          <w:szCs w:val="32"/>
          <w:shd w:val="clear" w:color="auto" w:fill="FFFFFF"/>
          <w:lang w:bidi="ar"/>
        </w:rPr>
        <w:t>财政部门履行政府出资人职责，负责政府投资基金的预算管理、绩效管理、国有资产管理和信息统计工作。发展改革部门负责政府投资基金信用建设和信用信息登记，会同行业主管部门加强对政府投资基金投向的指导评价。证券监督管理机构按职责组织开展政府投资基金登记备案和相关监管工作。有关部门按职责分工制定出台政府投资基金预算和国有资产管理、绩效考核、信息统计、信用建设、登记备案等配套细则，构建“1+N”制度体系。要加强信息共享和沟通协调，形成工作合力，推动解决政府投资基金发展中的问题。</w:t>
      </w:r>
    </w:p>
    <w:p w14:paraId="6A47B920">
      <w:pPr>
        <w:widowControl/>
        <w:shd w:val="clear" w:color="auto" w:fill="FFFFFF"/>
        <w:spacing w:line="570" w:lineRule="exact"/>
        <w:ind w:firstLine="643"/>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楷体简体" w:cs="Times New Roman"/>
          <w:b/>
          <w:sz w:val="32"/>
          <w:szCs w:val="32"/>
        </w:rPr>
        <w:t>（二十五）规范监管行为。</w:t>
      </w:r>
      <w:r>
        <w:rPr>
          <w:rFonts w:hint="eastAsia" w:ascii="Times New Roman" w:hAnsi="Times New Roman" w:eastAsia="方正仿宋简体" w:cs="方正仿宋简体"/>
          <w:color w:val="333333"/>
          <w:kern w:val="0"/>
          <w:sz w:val="32"/>
          <w:szCs w:val="32"/>
          <w:shd w:val="clear" w:color="auto" w:fill="FFFFFF"/>
          <w:lang w:bidi="ar"/>
        </w:rPr>
        <w:t>政府部门要充分尊重政府投资基金发展规律和项目投资特点，依法合规履行监管职责，不以行政手段干预基金日常管理事务和具体项目投资决策。各级政府开展存量政府投资基金优化调整工作应坚持市场化、法治化原则，把握好节奏和方法，不搞“一刀切”，不得影响基金正常投资运作，继续做好存量政府投资基金的实缴出资，保护社会资本合法权益。</w:t>
      </w:r>
    </w:p>
    <w:p w14:paraId="478FDFBF">
      <w:pPr>
        <w:widowControl/>
        <w:shd w:val="clear" w:color="auto" w:fill="FFFFFF"/>
        <w:spacing w:before="30" w:after="30" w:line="570" w:lineRule="exact"/>
        <w:ind w:firstLine="640"/>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各地区、各有关部门要提高认识，加强组织领导，层层压实责任，做好统筹协调，提高管理服务水平，更好发挥政府投资支持经济社会高质量发展的作用。</w:t>
      </w:r>
    </w:p>
    <w:p w14:paraId="65F1186B">
      <w:pPr>
        <w:widowControl/>
        <w:shd w:val="clear" w:color="auto" w:fill="FFFFFF"/>
        <w:spacing w:before="30" w:after="30" w:line="570" w:lineRule="exact"/>
        <w:jc w:val="righ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国务院办公厅　 　　   </w:t>
      </w:r>
    </w:p>
    <w:p w14:paraId="64A7156D">
      <w:pPr>
        <w:widowControl/>
        <w:shd w:val="clear" w:color="auto" w:fill="FFFFFF"/>
        <w:spacing w:before="30" w:after="30" w:line="570" w:lineRule="exact"/>
        <w:jc w:val="righ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2025年1月2日          </w:t>
      </w:r>
    </w:p>
    <w:p w14:paraId="0F223378">
      <w:pPr>
        <w:widowControl/>
        <w:shd w:val="clear" w:color="auto" w:fill="FFFFFF"/>
        <w:spacing w:before="30" w:after="30" w:line="570" w:lineRule="exact"/>
        <w:ind w:firstLine="640"/>
        <w:jc w:val="left"/>
        <w:rPr>
          <w:rFonts w:ascii="Times New Roman" w:hAnsi="Times New Roman" w:eastAsia="方正仿宋简体" w:cs="方正仿宋简体"/>
          <w:color w:val="333333"/>
          <w:kern w:val="0"/>
          <w:sz w:val="32"/>
          <w:szCs w:val="32"/>
          <w:shd w:val="clear" w:color="auto" w:fill="FFFFFF"/>
        </w:rPr>
      </w:pPr>
      <w:r>
        <w:rPr>
          <w:rFonts w:hint="eastAsia" w:ascii="Times New Roman" w:hAnsi="Times New Roman" w:eastAsia="方正仿宋简体" w:cs="方正仿宋简体"/>
          <w:color w:val="333333"/>
          <w:kern w:val="0"/>
          <w:sz w:val="32"/>
          <w:szCs w:val="32"/>
          <w:shd w:val="clear" w:color="auto" w:fill="FFFFFF"/>
          <w:lang w:bidi="ar"/>
        </w:rPr>
        <w:t>（此件公开发布）</w:t>
      </w:r>
    </w:p>
    <w:p w14:paraId="305A1021">
      <w:pPr>
        <w:spacing w:line="570" w:lineRule="exact"/>
        <w:rPr>
          <w:rFonts w:hint="eastAsia" w:ascii="Times New Roman" w:hAnsi="Times New Roman" w:eastAsia="方正仿宋简体" w:cs="Times New Roman"/>
          <w:sz w:val="32"/>
        </w:rPr>
      </w:pPr>
      <w:r>
        <w:rPr>
          <w:rFonts w:hint="eastAsia" w:ascii="Times New Roman" w:hAnsi="Times New Roman" w:eastAsia="方正仿宋简体" w:cs="Times New Roman"/>
          <w:sz w:val="32"/>
        </w:rPr>
        <w:br w:type="page"/>
      </w:r>
    </w:p>
    <w:p w14:paraId="04845250">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广东省人民政府办公厅关于印发广东省有效降低全社会物流成本实施方案的通知</w:t>
      </w:r>
    </w:p>
    <w:p w14:paraId="40AE7E54">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粤府办〔2025〕1号</w:t>
      </w:r>
    </w:p>
    <w:p w14:paraId="7E47D795">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p>
    <w:p w14:paraId="67246B39">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    </w:t>
      </w:r>
    </w:p>
    <w:p w14:paraId="7C29C278">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经省人民政府同意，现将《广东省有效降低全社会物流成本实施方案》印发给你们，请结合实际认真贯彻落实。实施过程中遇到的问题，请径向省发展改革委反映。</w:t>
      </w:r>
    </w:p>
    <w:p w14:paraId="2BBF234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2EF842C7">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广东省人民政府办公厅</w:t>
      </w:r>
    </w:p>
    <w:p w14:paraId="5D1A899D">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2025年1月3日</w:t>
      </w:r>
    </w:p>
    <w:p w14:paraId="03FC6DA7">
      <w:pPr>
        <w:widowControl/>
        <w:shd w:val="clear" w:color="auto" w:fill="FFFFFF"/>
        <w:spacing w:line="480" w:lineRule="atLeast"/>
        <w:jc w:val="right"/>
        <w:rPr>
          <w:rFonts w:ascii="Times New Roman" w:hAnsi="Times New Roman" w:eastAsia="方正仿宋简体" w:cs="方正仿宋简体"/>
          <w:color w:val="424242"/>
          <w:kern w:val="0"/>
          <w:sz w:val="32"/>
          <w:szCs w:val="32"/>
          <w:shd w:val="clear" w:color="auto" w:fill="FFFFFF"/>
        </w:rPr>
      </w:pPr>
    </w:p>
    <w:p w14:paraId="70D3995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（本文有删减）</w:t>
      </w:r>
    </w:p>
    <w:p w14:paraId="4239877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6F219463">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广东省有效降低全社会物流成本实施方案</w:t>
      </w:r>
    </w:p>
    <w:p w14:paraId="2A9D358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298E1573">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有效降低全社会物流成本是党中央、国务院从全局和战略高度部署的重要任务。为贯彻落实党中央、国务院决策部署，认真落实省委“1310”具体部署，降低我省全社会物流成本，推动现代物流高质量发展，制定如下实施方案。</w:t>
      </w:r>
    </w:p>
    <w:p w14:paraId="71295FF5">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
        </w:rPr>
      </w:pPr>
      <w:r>
        <w:rPr>
          <w:rFonts w:hint="eastAsia" w:ascii="Times New Roman" w:hAnsi="Times New Roman" w:eastAsia="方正黑体简体" w:cs="Times New Roman"/>
          <w:kern w:val="2"/>
          <w:sz w:val="32"/>
          <w:szCs w:val="32"/>
          <w:lang w:val="en-US" w:eastAsia="zh-CN" w:bidi="ar-SA"/>
        </w:rPr>
        <w:t>一</w:t>
      </w:r>
      <w:r>
        <w:rPr>
          <w:rFonts w:hint="eastAsia" w:ascii="Times New Roman" w:hAnsi="Times New Roman" w:eastAsia="方正黑体简体" w:cs="Times New Roman"/>
          <w:kern w:val="2"/>
          <w:sz w:val="32"/>
          <w:szCs w:val="32"/>
          <w:lang w:val="en-US" w:eastAsia="zh-CN" w:bidi="ar"/>
        </w:rPr>
        <w:t>、主要目标</w:t>
      </w:r>
    </w:p>
    <w:p w14:paraId="62128872">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到2027年，社会物流总费用与GDP的比率力争降至13%左右。综合运输通道枢纽网络布局更加完善，货物运输结构显著优化，铁路货运量及周转量力争稳中有增；水路货运周转量合计占全社会货运周转量的比例保持在全国前列；沿海主要港口集装箱铁水联运量力争达到120万标箱。培育建成一批国家物流枢纽和骨干冷链基地，“枢纽+通道+网络”的物流设施体系更加健全，智慧化、绿色化、标准化发展水平明显提高，现代物流对产业链韧性安全的支撑显著增加。</w:t>
      </w:r>
    </w:p>
    <w:p w14:paraId="492C06EF">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
        </w:rPr>
      </w:pPr>
      <w:r>
        <w:rPr>
          <w:rFonts w:hint="eastAsia" w:ascii="Times New Roman" w:hAnsi="Times New Roman" w:eastAsia="方正黑体简体" w:cs="Times New Roman"/>
          <w:kern w:val="2"/>
          <w:sz w:val="32"/>
          <w:szCs w:val="32"/>
          <w:lang w:val="en-US" w:eastAsia="zh-CN" w:bidi="ar-SA"/>
        </w:rPr>
        <w:t>二</w:t>
      </w:r>
      <w:r>
        <w:rPr>
          <w:rFonts w:hint="eastAsia" w:ascii="Times New Roman" w:hAnsi="Times New Roman" w:eastAsia="方正黑体简体" w:cs="Times New Roman"/>
          <w:kern w:val="2"/>
          <w:sz w:val="32"/>
          <w:szCs w:val="32"/>
          <w:lang w:val="en-US" w:eastAsia="zh-CN" w:bidi="ar"/>
        </w:rPr>
        <w:t>、加快优化运输结构，建设与双循环相适应的骨干运输</w:t>
      </w:r>
      <w:r>
        <w:rPr>
          <w:rFonts w:hint="eastAsia" w:ascii="Times New Roman" w:hAnsi="Times New Roman" w:eastAsia="方正黑体简体" w:cs="Times New Roman"/>
          <w:kern w:val="2"/>
          <w:sz w:val="32"/>
          <w:szCs w:val="32"/>
          <w:lang w:val="en-US" w:eastAsia="zh-CN" w:bidi="ar-SA"/>
        </w:rPr>
        <w:t>网络</w:t>
      </w:r>
    </w:p>
    <w:p w14:paraId="74146ABD">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（一）深化铁路货运改革。</w:t>
      </w:r>
      <w:r>
        <w:rPr>
          <w:rFonts w:hint="eastAsia" w:ascii="Times New Roman" w:hAnsi="Times New Roman" w:eastAsia="方正仿宋简体" w:cs="方正仿宋简体"/>
          <w:color w:val="424242"/>
          <w:kern w:val="0"/>
          <w:sz w:val="32"/>
          <w:szCs w:val="32"/>
          <w:shd w:val="clear" w:color="auto" w:fill="FFFFFF"/>
          <w:lang w:bidi="ar"/>
        </w:rPr>
        <w:t>细化落实国家铁路货运市场改革方案，深化铁路与社会物流企业、大企业合作，开展物流总承揽，推广铁路“门到门”全流程服务，促进铁路货运向铁路物流转型。完善铁路货运价格灵活调整机制，鼓励与大企业签订“量价互保”协议。深化高铁快运市场化改革试点，完善高铁货运运行规则、定价模式。加大载客动车组、确认车和载客动车组预留（扣票）车厢等捎带运输量，大力发展直达货运班列。加强疏港铁路与干线铁路衔接，加快推动大宗货物年运量150万吨以上的工矿企业、物流园区及粮食储备库接入铁路专用线，降低铁路专用线规划建设和使用费用，推进铁路专用线共用。</w:t>
      </w:r>
    </w:p>
    <w:p w14:paraId="79D1B5A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（二）提高公路货运组织化程度和效率。</w:t>
      </w:r>
      <w:r>
        <w:rPr>
          <w:rFonts w:hint="eastAsia" w:ascii="Times New Roman" w:hAnsi="Times New Roman" w:eastAsia="方正仿宋简体" w:cs="方正仿宋简体"/>
          <w:color w:val="424242"/>
          <w:kern w:val="0"/>
          <w:sz w:val="32"/>
          <w:szCs w:val="32"/>
          <w:shd w:val="clear" w:color="auto" w:fill="FFFFFF"/>
          <w:lang w:bidi="ar"/>
        </w:rPr>
        <w:t>指导网络货运平台规范发展，鼓励平台型物流服务企业规模化、集约化发展，扩大服务运营网络。加强网络货运领域市场监管，维护市场公平竞争秩序。建立跨部门协同工作机制，合理设置货车通行区域、线路、时段要求，对不同类型新能源货车、冷藏运输车、蓝牌货车的城市通行给予便利，畅通末梢通行。各地不得针对货运车辆车籍实施排他性区域限制措施。全面推广高速公路差异化收费实施方案，鼓励和指导有条件的地市对辖区内高速公路实施通行费优惠措施，鼓励新通车高速公路免费试运行，支持经营性高速公路经营管理单位自主实施差异化收费。</w:t>
      </w:r>
    </w:p>
    <w:p w14:paraId="1E4253A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（三）提升内河航运能级。</w:t>
      </w:r>
      <w:r>
        <w:rPr>
          <w:rFonts w:hint="eastAsia" w:ascii="Times New Roman" w:hAnsi="Times New Roman" w:eastAsia="方正仿宋简体" w:cs="方正仿宋简体"/>
          <w:color w:val="424242"/>
          <w:kern w:val="0"/>
          <w:sz w:val="32"/>
          <w:szCs w:val="32"/>
          <w:shd w:val="clear" w:color="auto" w:fill="FFFFFF"/>
          <w:lang w:bidi="ar"/>
        </w:rPr>
        <w:t>着力完善港航基础设施，充分挖掘珠江-西江黄金水道等内河航道潜能，推动北江航道扩能升级上延工程、顺德水道航道扩能升级工程等项目加快建设，疏通分岔支流堵点。推动内河航运与海洋运输贯通，支持广州、深圳、珠海等地加快建设江海联运枢纽及码头设施，发展“水水中转”“江海直达”“驳船快线”等运输模式。发挥粤桂合作平台作用推动提升西江上游船闸通航能力。优化内河船闸过闸申报和预约流程，加快推动网上办理。鼓励引导工矿企业、粮食企业等将货物“散改集”，中长距离运输主要采用铁路、水路运输，水路运输优先使用LNG、电动等新能源船舶。</w:t>
      </w:r>
    </w:p>
    <w:p w14:paraId="30470CE2">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（四）推动航空货运专业化发展。</w:t>
      </w:r>
      <w:r>
        <w:rPr>
          <w:rFonts w:hint="eastAsia" w:ascii="Times New Roman" w:hAnsi="Times New Roman" w:eastAsia="方正仿宋简体" w:cs="方正仿宋简体"/>
          <w:color w:val="424242"/>
          <w:kern w:val="0"/>
          <w:sz w:val="32"/>
          <w:szCs w:val="32"/>
          <w:shd w:val="clear" w:color="auto" w:fill="FFFFFF"/>
          <w:lang w:bidi="ar"/>
        </w:rPr>
        <w:t>支持广州、深圳完善航空联运转运设施，推进省内各中小机场货运基础设施建设。结合珠三角枢纽（广州新）机场等项目建设，研究加强专业航空货运功能。加强航空货运、寄递企业机场空侧场地用地保障，支持自建货运设施。争取国家民航局支持放宽货运航班白天时段运行限制，简化航权时刻申请流程。在运力引进、时刻申请、运行保障、安全标准等方面对全货机给予政策倾斜，扩大机队规模。加快推广航空货运电子运单。</w:t>
      </w:r>
    </w:p>
    <w:p w14:paraId="2747E436">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（五）加快多式联运创新发展。</w:t>
      </w:r>
      <w:r>
        <w:rPr>
          <w:rFonts w:hint="eastAsia" w:ascii="Times New Roman" w:hAnsi="Times New Roman" w:eastAsia="方正仿宋简体" w:cs="方正仿宋简体"/>
          <w:color w:val="424242"/>
          <w:kern w:val="0"/>
          <w:sz w:val="32"/>
          <w:szCs w:val="32"/>
          <w:shd w:val="clear" w:color="auto" w:fill="FFFFFF"/>
          <w:lang w:bidi="ar"/>
        </w:rPr>
        <w:t>鼓励港口航运、铁路货运、航空寄递、货代等龙头企业及平台型企业积极向多式联运经营人转型，培育一批稳定运行、品牌运作的多式联运产品。加快探索海铁联运业务应用场景，推动“单一窗口+海铁联运”物流模式的多方协同合作。深入实施国家多式联运示范工程，加快复制推广成熟经验。</w:t>
      </w:r>
    </w:p>
    <w:p w14:paraId="2315769A">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三</w:t>
      </w:r>
      <w:r>
        <w:rPr>
          <w:rFonts w:hint="eastAsia" w:ascii="Times New Roman" w:hAnsi="Times New Roman" w:eastAsia="方正黑体简体" w:cs="Times New Roman"/>
          <w:kern w:val="2"/>
          <w:sz w:val="32"/>
          <w:szCs w:val="32"/>
          <w:lang w:val="en-US" w:eastAsia="zh-CN" w:bidi="ar"/>
        </w:rPr>
        <w:t>、优化物流基础设施布局，完善与生产力布局协同的物流网络</w:t>
      </w:r>
    </w:p>
    <w:p w14:paraId="7D6F40F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（六）系统推进物流枢纽建设和功能提升。</w:t>
      </w:r>
      <w:r>
        <w:rPr>
          <w:rFonts w:hint="eastAsia" w:ascii="Times New Roman" w:hAnsi="Times New Roman" w:eastAsia="方正仿宋简体" w:cs="方正仿宋简体"/>
          <w:color w:val="424242"/>
          <w:kern w:val="0"/>
          <w:sz w:val="32"/>
          <w:szCs w:val="32"/>
          <w:shd w:val="clear" w:color="auto" w:fill="FFFFFF"/>
          <w:lang w:bidi="ar"/>
        </w:rPr>
        <w:t>推动广州、深圳、珠海、汕头、佛山、东莞、湛江等市国家物流枢纽布局建设，加强国家物流枢纽间互联互通。深化交通物流融合发展，促进国家物流枢纽与综合货运枢纽、港口、机场、铁路物流场站、邮件、快件转运中心等交通基础设施高效协同，全面融入国家“通道+枢纽+网络”物流运行体系。充分发挥枢纽资源集聚和城市特色产业优势，推动现代物流和相关产业深度融合创新发展，打造具有区域集聚辐射能力的产业集群。支持广州、深圳、佛山等城市争创国家物流枢纽经济区，支持在广州设立国家级中欧班列集结中心。推动超大特大城市布局建设一批城郊大仓基地，增加城市物流“平急转换”能力。</w:t>
      </w:r>
    </w:p>
    <w:p w14:paraId="4D25FE8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（七）加快大宗商品物流发展。</w:t>
      </w:r>
      <w:r>
        <w:rPr>
          <w:rFonts w:hint="eastAsia" w:ascii="Times New Roman" w:hAnsi="Times New Roman" w:eastAsia="方正仿宋简体" w:cs="方正仿宋简体"/>
          <w:color w:val="424242"/>
          <w:kern w:val="0"/>
          <w:sz w:val="32"/>
          <w:szCs w:val="32"/>
          <w:shd w:val="clear" w:color="auto" w:fill="FFFFFF"/>
          <w:lang w:bidi="ar"/>
        </w:rPr>
        <w:t>提升港航基础设施对大宗商品的接卸能力和航道通航能力。鼓励发展有地方特色的大宗商品供应链联盟，探索“供应链大厦”模式，吸引一批上下游交易企业，加快形成集聚效应。支持建立粤港澳大湾区大宗商品供应链管理平台，设立期货交割仓。支持深圳建立农产品离岸现货交易平台。</w:t>
      </w:r>
    </w:p>
    <w:p w14:paraId="4A80EA1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（八）强化冷链物流设施网络。</w:t>
      </w:r>
      <w:r>
        <w:rPr>
          <w:rFonts w:hint="eastAsia" w:ascii="Times New Roman" w:hAnsi="Times New Roman" w:eastAsia="方正仿宋简体" w:cs="方正仿宋简体"/>
          <w:color w:val="424242"/>
          <w:kern w:val="0"/>
          <w:sz w:val="32"/>
          <w:szCs w:val="32"/>
          <w:shd w:val="clear" w:color="auto" w:fill="FFFFFF"/>
          <w:lang w:bidi="ar"/>
        </w:rPr>
        <w:t>加快完善广东“7+N+X”现代冷链物流设施网络。支持广州、深圳、汕头、东莞、江门、湛江、茂名等地做好国家骨干冷链物流基地布局建设工作。加快推进广东供销公共型农产品冷链物流骨干网、农产品直供配送网建设运营。推动冷链资源下沉，布局建设田头冷链设施，为小农户、农民合作社等提供田头预冷、冷藏保鲜等服务，引导农产品错峰上市，向深加工发展，提升商品化水平。推动完善船载冷链设施，支持重点联动渔港建设海产品保鲜、冷藏、冷冻、预冷等冷链设施。加大冷链物流全流程监管力度，消除“断链”隐患，减少生鲜农产品流通领域损耗。</w:t>
      </w:r>
    </w:p>
    <w:p w14:paraId="767A676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（九）完善县域物流体系。</w:t>
      </w:r>
      <w:r>
        <w:rPr>
          <w:rFonts w:hint="eastAsia" w:ascii="Times New Roman" w:hAnsi="Times New Roman" w:eastAsia="方正仿宋简体" w:cs="方正仿宋简体"/>
          <w:color w:val="424242"/>
          <w:kern w:val="0"/>
          <w:sz w:val="32"/>
          <w:szCs w:val="32"/>
          <w:shd w:val="clear" w:color="auto" w:fill="FFFFFF"/>
          <w:lang w:bidi="ar"/>
        </w:rPr>
        <w:t>完善市区到县城并辐射中心镇的高速公路，全面实现“国道通县城、省道通乡镇”，加快推进普通国省道低等级路段提级改造，统筹推进“四好农村路”建设攻坚工作，支撑服务“百千万工程”。推动构建以县级物流中心、乡镇物流综合服务站、村级物流服务点为支撑的县乡村物流网络。持续推进“一村一站”工程，加快“多站合一、一点多能、一站多用”的村级寄递物流综合服务站建设。促进农村客货邮融合发展，在严格落实客运安检标准基础上，推广农村客运车辆代运邮件快件。探索高速公路服务区建设运营新模式，打造县域商贸流通新型节点。实施县域商业建设行动，新增10个支持县。大力发展农产品直供、农超对接、生鲜电商等流通新模式，减少不必要的流通环节。培育壮大一批农产品区域公用品牌，推动流通企业、电商平台等开设品牌农产品销售专区。</w:t>
      </w:r>
    </w:p>
    <w:p w14:paraId="644E7AE9">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（十）促进即时配送健康有序发展。</w:t>
      </w:r>
      <w:r>
        <w:rPr>
          <w:rFonts w:hint="eastAsia" w:ascii="Times New Roman" w:hAnsi="Times New Roman" w:eastAsia="方正仿宋简体" w:cs="方正仿宋简体"/>
          <w:color w:val="424242"/>
          <w:kern w:val="0"/>
          <w:sz w:val="32"/>
          <w:szCs w:val="32"/>
          <w:shd w:val="clear" w:color="auto" w:fill="FFFFFF"/>
          <w:lang w:bidi="ar"/>
        </w:rPr>
        <w:t>提升经营主体市场准入的便利条件，鼓励有条件的市在同一地级以上市范围内，试点开展企业跨县区“一照多址”。鼓励行业创新服务业态，探索新型配送模式，拓宽业务范围、销售渠道和应用场景，优化即时供给能力。</w:t>
      </w:r>
    </w:p>
    <w:p w14:paraId="16CE9C76">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四、提升现代供应链管理水平，推动物流业转型升级</w:t>
      </w:r>
    </w:p>
    <w:p w14:paraId="18BD416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（十一）推动制造业供应链创新应用。</w:t>
      </w:r>
      <w:r>
        <w:rPr>
          <w:rFonts w:hint="eastAsia" w:ascii="Times New Roman" w:hAnsi="Times New Roman" w:eastAsia="方正仿宋简体" w:cs="方正仿宋简体"/>
          <w:color w:val="424242"/>
          <w:kern w:val="0"/>
          <w:sz w:val="32"/>
          <w:szCs w:val="32"/>
          <w:shd w:val="clear" w:color="auto" w:fill="FFFFFF"/>
          <w:lang w:bidi="ar"/>
        </w:rPr>
        <w:t>建立重点行业、重点企业对于物流服务的需求清单，鼓励大型平台企业、制造企业与物流企业建立长期战略合作关系，提高中长期物流合同比例，推广一体化、柔性化、智能化供应链解决方案，加快库存周转。引导重点制造业企业建立物流需求清单沟通机制。鼓励通过行业协会或联盟等方式提高组织化程度。按照“一园一策、一企一策”思路，支持推动重大产业集群、产业园区建设时统筹布局配套综合物流设施，推动物流枢纽与产业园区布局优化。开展快递业与制造业融合发展等试点示范工作。</w:t>
      </w:r>
    </w:p>
    <w:p w14:paraId="6FA573C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（十二）提升商贸供应链协同水平。</w:t>
      </w:r>
      <w:r>
        <w:rPr>
          <w:rFonts w:hint="eastAsia" w:ascii="Times New Roman" w:hAnsi="Times New Roman" w:eastAsia="方正仿宋简体" w:cs="方正仿宋简体"/>
          <w:color w:val="424242"/>
          <w:kern w:val="0"/>
          <w:sz w:val="32"/>
          <w:szCs w:val="32"/>
          <w:shd w:val="clear" w:color="auto" w:fill="FFFFFF"/>
          <w:lang w:bidi="ar"/>
        </w:rPr>
        <w:t>开展现代商贸流通体系试点城市培育建设，增强城市流通保供能力。开展专业商品市场优化升级行动，支持广州建设国家商品交易市场优化升级专项行动试点城市，推进专业市场标准化、规范化、数字化改造，培育一批商品市场综合服务示范基地。鼓励平台型、科技型企业利用数字技术降低中小微商贸企业进驻和服务费用。</w:t>
      </w:r>
    </w:p>
    <w:p w14:paraId="0A52B4D0">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（十三）大力培育现代物流龙头企业。</w:t>
      </w:r>
      <w:r>
        <w:rPr>
          <w:rFonts w:hint="eastAsia" w:ascii="Times New Roman" w:hAnsi="Times New Roman" w:eastAsia="方正仿宋简体" w:cs="方正仿宋简体"/>
          <w:color w:val="424242"/>
          <w:kern w:val="0"/>
          <w:sz w:val="32"/>
          <w:szCs w:val="32"/>
          <w:shd w:val="clear" w:color="auto" w:fill="FFFFFF"/>
          <w:lang w:bidi="ar"/>
        </w:rPr>
        <w:t>统筹优化全省港口资源，促进协同发展，鼓励港口经营龙头企业做强做优。推动广州、深圳、珠海等机场以资本为纽带加强合作。聚焦我省战略性支柱产业和战略性新兴产业，深入开展产业链供应链协同创新试点，在每个产业培育2—3家具有生态主导力的示范链主企业。鼓励链主企业发起成立物流业与制造业、商贸流通企业、农业等产业深度融合创新联盟，打造一批产业物流融合品牌。</w:t>
      </w:r>
    </w:p>
    <w:p w14:paraId="132DC4AA">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五、大力发展国际物流，提高产业链稳定水平</w:t>
      </w:r>
    </w:p>
    <w:p w14:paraId="47B86CE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（十四）进一步提高进出口环节物流效率。</w:t>
      </w:r>
      <w:r>
        <w:rPr>
          <w:rFonts w:hint="eastAsia" w:ascii="Times New Roman" w:hAnsi="Times New Roman" w:eastAsia="方正仿宋简体" w:cs="方正仿宋简体"/>
          <w:color w:val="424242"/>
          <w:kern w:val="0"/>
          <w:sz w:val="32"/>
          <w:szCs w:val="32"/>
          <w:shd w:val="clear" w:color="auto" w:fill="FFFFFF"/>
          <w:lang w:bidi="ar"/>
        </w:rPr>
        <w:t>落实口岸收费公示制度，增强口岸收费的透明度和可比性。规范船代、货代收费项目，推动港外堆场规范洗修箱、二次吊箱等作业标准及收费行为。推行“数字口岸”建设，提升无纸化通关比例。巩固压缩进出口整体通关时间。全面推广真空包装等高新技术货物布控查验模式，扩大跨境电商出口拼箱货物“先查验后装运”试点，对符合条件的进口商品实施“先放后检”。保障生鲜、特殊、急需货物实施24小时通关。推动有条件的港口实现24小时通关，实现海空港企业作业和海关监管的高效协同。</w:t>
      </w:r>
    </w:p>
    <w:p w14:paraId="01AB8B6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（十五）加快推进粤港澳物流协同发展。</w:t>
      </w:r>
      <w:r>
        <w:rPr>
          <w:rFonts w:hint="eastAsia" w:ascii="Times New Roman" w:hAnsi="Times New Roman" w:eastAsia="方正仿宋简体" w:cs="方正仿宋简体"/>
          <w:color w:val="424242"/>
          <w:kern w:val="0"/>
          <w:sz w:val="32"/>
          <w:szCs w:val="32"/>
          <w:shd w:val="clear" w:color="auto" w:fill="FFFFFF"/>
          <w:lang w:bidi="ar"/>
        </w:rPr>
        <w:t>优化粤港集装箱驳船航线，进一步扩大“一港通”“组合港”等应用范围。推进“东莞—香港国际空港中心”建设，创新跨境海空联运模式。积极发展大湾区公路跨境多式联运，深化粤港“跨境一锁”合作。在粤港澳物流园研究探索开展航空打板及安检查验前置模式。结合中远期车流增长预期，推进大桥三地口岸通关模式创新，共建“港珠澳大桥经贸新通道”。 </w:t>
      </w:r>
    </w:p>
    <w:p w14:paraId="2B88C06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（十六）提升“新三样”出口物流效率。</w:t>
      </w:r>
      <w:r>
        <w:rPr>
          <w:rFonts w:hint="eastAsia" w:ascii="Times New Roman" w:hAnsi="Times New Roman" w:eastAsia="方正仿宋简体" w:cs="方正仿宋简体"/>
          <w:color w:val="424242"/>
          <w:kern w:val="0"/>
          <w:sz w:val="32"/>
          <w:szCs w:val="32"/>
          <w:shd w:val="clear" w:color="auto" w:fill="FFFFFF"/>
          <w:lang w:bidi="ar"/>
        </w:rPr>
        <w:t>加强省内港口适应“新三样”出口的堆场建设，加快推动滚装码头建设。支持跨境电商含锂电池产品、化妆品出口常态化。推动新能源汽车、光伏等新兴出口产品货物经港珠澳大桥运输。开展新能源汽车物流提升工程。支持南沙、小漠等主要汽车口岸拓展外贸直航直靠航线。推广应用新能源汽车出口“抵港直装”模式。鼓励通过滚装运输和集装箱运输并举的方式发展汽车海运业务。加大对“中欧班列+汽车”支持力度，支持企业选用JSQ班列。</w:t>
      </w:r>
    </w:p>
    <w:p w14:paraId="1CB157CC">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（十七）加强国际物流通道建设。</w:t>
      </w:r>
      <w:r>
        <w:rPr>
          <w:rFonts w:hint="eastAsia" w:ascii="Times New Roman" w:hAnsi="Times New Roman" w:eastAsia="方正仿宋简体" w:cs="方正仿宋简体"/>
          <w:color w:val="424242"/>
          <w:kern w:val="0"/>
          <w:sz w:val="32"/>
          <w:szCs w:val="32"/>
          <w:shd w:val="clear" w:color="auto" w:fill="FFFFFF"/>
          <w:lang w:bidi="ar"/>
        </w:rPr>
        <w:t>支持广州白云国际机场、深圳宝安国际机场完善国际运输通道。优化大湾区港口群国际集装箱班轮航线，加强粤东、粤西港口群国际航线培育。加大开行电商班列力度，对于经电商平台企业交易具有可溯源的物品，减少二次安检和拆箱等工作。推动铁路国际联运单证物权化，鼓励有条件的城市探索试点。鼓励物流企业通过合作等方式与东道国寄递企业开展合作，提升海外“最后一公里”履约能力。</w:t>
      </w:r>
    </w:p>
    <w:p w14:paraId="462D61E1">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六</w:t>
      </w:r>
      <w:r>
        <w:rPr>
          <w:rFonts w:hint="eastAsia" w:ascii="Times New Roman" w:hAnsi="Times New Roman" w:eastAsia="方正黑体简体" w:cs="Times New Roman"/>
          <w:kern w:val="2"/>
          <w:sz w:val="32"/>
          <w:szCs w:val="32"/>
          <w:lang w:val="en-US" w:eastAsia="zh-CN" w:bidi="ar"/>
        </w:rPr>
        <w:t>、提高物流发展生产力，提升物流智慧化、绿色化、标准化</w:t>
      </w:r>
      <w:r>
        <w:rPr>
          <w:rFonts w:hint="eastAsia" w:ascii="Times New Roman" w:hAnsi="Times New Roman" w:eastAsia="方正黑体简体" w:cs="Times New Roman"/>
          <w:kern w:val="2"/>
          <w:sz w:val="32"/>
          <w:szCs w:val="32"/>
          <w:lang w:val="en-US" w:eastAsia="zh-CN" w:bidi="ar-SA"/>
        </w:rPr>
        <w:t>水平</w:t>
      </w:r>
    </w:p>
    <w:p w14:paraId="48591C6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（十八）推进物流数据开放互联。</w:t>
      </w:r>
      <w:r>
        <w:rPr>
          <w:rFonts w:hint="eastAsia" w:ascii="Times New Roman" w:hAnsi="Times New Roman" w:eastAsia="方正仿宋简体" w:cs="方正仿宋简体"/>
          <w:color w:val="424242"/>
          <w:kern w:val="0"/>
          <w:sz w:val="32"/>
          <w:szCs w:val="32"/>
          <w:shd w:val="clear" w:color="auto" w:fill="FFFFFF"/>
          <w:lang w:bidi="ar"/>
        </w:rPr>
        <w:t>搭建广东省物流地图平台。推动实施物流地图平台维护运营开发项目，建立长效的数据更新维护机制。推动公路、铁路、水路、航空、海关等部门和单位公共数据资源共享和开放互联，逐步实现多种运输方式、多部门、多环节作业场景信息共享、操作同步、业务衔接、一站式服务。加快建立社会物流统计分析体系。</w:t>
      </w:r>
    </w:p>
    <w:p w14:paraId="6D07422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（十九）推动发展物流新质生产力。</w:t>
      </w:r>
      <w:r>
        <w:rPr>
          <w:rFonts w:hint="eastAsia" w:ascii="Times New Roman" w:hAnsi="Times New Roman" w:eastAsia="方正仿宋简体" w:cs="方正仿宋简体"/>
          <w:color w:val="424242"/>
          <w:kern w:val="0"/>
          <w:sz w:val="32"/>
          <w:szCs w:val="32"/>
          <w:shd w:val="clear" w:color="auto" w:fill="FFFFFF"/>
          <w:lang w:bidi="ar"/>
        </w:rPr>
        <w:t>实施省重点领域研发计划，提高物联网、人工智能、5G和北斗等技术在物流领域的融合应用水平。大力推动无人车、机、船、仓以及无人装卸等技术装备在物流领域应用，推广一批无人驾驶、低空经济结合的物流新模式。支持开通更多无人机B2B、B2C物流配送航线，布局“干—支—末”无人机配送网络，积极推动无人机物流场景规模化应用落地。支持广州、深圳等市创建国家低空经济产业综合示范区。用足用好国家大规模设备更新改造政策，积极支持物流设施设备改造升级。支持符合条件的物流技术装备纳入《首台（套）重大技术装备推广应用目录》，支持相关研发制造企业申报高新技术企业，依法享受相关税收优惠。</w:t>
      </w:r>
    </w:p>
    <w:p w14:paraId="5257F65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（二十）发展物流绿色新模式。</w:t>
      </w:r>
      <w:r>
        <w:rPr>
          <w:rFonts w:hint="eastAsia" w:ascii="Times New Roman" w:hAnsi="Times New Roman" w:eastAsia="方正仿宋简体" w:cs="方正仿宋简体"/>
          <w:color w:val="424242"/>
          <w:kern w:val="0"/>
          <w:sz w:val="32"/>
          <w:szCs w:val="32"/>
          <w:shd w:val="clear" w:color="auto" w:fill="FFFFFF"/>
          <w:lang w:bidi="ar"/>
        </w:rPr>
        <w:t>鼓励物流园区向低碳化、绿色化转型升级，支持物流园区与供应链上下游协作降低碳排放水平。开展绿色物流企业对标达标行动。引导市内短途货运配送更多采用新能源货车，鼓励主要港区推广应用新能源货车从事集疏运。促进快递包装绿色化、标准化、减量化和可循环，推广电商快递原装直发。鼓励产品包装和物流器具生产企业申报国家级绿色制造名单。</w:t>
      </w:r>
    </w:p>
    <w:p w14:paraId="29B99680">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（二十一）推动物流标准体系建设。</w:t>
      </w:r>
      <w:r>
        <w:rPr>
          <w:rFonts w:hint="eastAsia" w:ascii="Times New Roman" w:hAnsi="Times New Roman" w:eastAsia="方正仿宋简体" w:cs="方正仿宋简体"/>
          <w:color w:val="424242"/>
          <w:kern w:val="0"/>
          <w:sz w:val="32"/>
          <w:szCs w:val="32"/>
          <w:shd w:val="clear" w:color="auto" w:fill="FFFFFF"/>
          <w:lang w:bidi="ar"/>
        </w:rPr>
        <w:t>推动托盘循环共用系统建设，支持托盘租赁企业发展，鼓励引导生产、流通、商贸等企业组建托盘标准化联盟。发挥省物流标准化技术委员会作用，推动流通领域基础设施、载运工具、集装设备、票证单据、作业规范等标准体系研究和重点领域标准研制，引导产业技术联盟率先推广，支持骨干核心企业示范引领。</w:t>
      </w:r>
    </w:p>
    <w:p w14:paraId="7DB8AF11">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七、加强物流发展配套支撑体系，强化组织实施保障</w:t>
      </w:r>
    </w:p>
    <w:p w14:paraId="06EDF21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（二十二）加强物流发展资源要素保障。</w:t>
      </w:r>
      <w:r>
        <w:rPr>
          <w:rFonts w:hint="eastAsia" w:ascii="Times New Roman" w:hAnsi="Times New Roman" w:eastAsia="方正仿宋简体" w:cs="方正仿宋简体"/>
          <w:color w:val="424242"/>
          <w:kern w:val="0"/>
          <w:sz w:val="32"/>
          <w:szCs w:val="32"/>
          <w:shd w:val="clear" w:color="auto" w:fill="FFFFFF"/>
          <w:lang w:bidi="ar"/>
        </w:rPr>
        <w:t>各地在市县级国土空间总体规划编制实施中，预控物流运输系统等大型设施空间布局及规模要求，引导物流企业集聚发展，提高物流用地集中程度。各地在编制国有建设用地供应计划时，统筹考虑物流企业发展用地需求，及时纳入年度供应计划。依法依规保障国家物流枢纽、国家物流枢纽经济区、临空经济区、临港经济区等的重大物流基础设施和物流仓储设施项目用地、用海、用岸线的合理需求。支持以长期租赁或先租后让、租让结合等方式供应物流仓储用地。强化物流专业人才培养，推动普通高校、职业学校加强物流、采购、供应链等相关学科专业建设。鼓励物流企业、行业协会、普通高校、职业学校、科研机构参与行业产教融合共同体建设。</w:t>
      </w:r>
    </w:p>
    <w:p w14:paraId="6A562A4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（二十三）加强投融资政策支持。</w:t>
      </w:r>
      <w:r>
        <w:rPr>
          <w:rFonts w:hint="eastAsia" w:ascii="Times New Roman" w:hAnsi="Times New Roman" w:eastAsia="方正仿宋简体" w:cs="方正仿宋简体"/>
          <w:color w:val="424242"/>
          <w:kern w:val="0"/>
          <w:sz w:val="32"/>
          <w:szCs w:val="32"/>
          <w:shd w:val="clear" w:color="auto" w:fill="FFFFFF"/>
          <w:lang w:bidi="ar"/>
        </w:rPr>
        <w:t>支持重大物流项目建设。依托“粤信融”征信平台，引导金融机构加大交通物流行业“首贷”“信用贷”支持力度。用好再贷款、再贴现等货币政策工具，加大对交通物流领域的支持力度。强化上市后备资源培育，持续推动符合条件的物流供应链龙头企业到境内外交易所上市挂牌，支持上市公司实施产业化并购重组做大做强。</w:t>
      </w:r>
    </w:p>
    <w:p w14:paraId="03157D51">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各地、各部门要加强协调联动，按照改革事项清单化、建设任务项目化要求，强化责任担当，抓好组织实施，明确时间表、路线图，扎实推进本方案落地见效。省发展改革委加强统筹协调和督促指导，推动各部门细化落实目标和任务，制订年度重点工作任务清单，定期会商解决全省现代物流领域重大问题。各有关部门要及时对接国家部委，结合我省实际制定具体方案和配套政策，推动各项任务落实落细。</w:t>
      </w:r>
    </w:p>
    <w:p w14:paraId="2C47497A">
      <w:pPr>
        <w:shd w:val="clear" w:color="auto" w:fill="FFFFFF"/>
        <w:wordWrap w:val="0"/>
        <w:spacing w:after="150" w:line="540" w:lineRule="atLeast"/>
        <w:ind w:firstLine="640"/>
        <w:jc w:val="left"/>
        <w:rPr>
          <w:rFonts w:ascii="Times New Roman" w:hAnsi="Times New Roman" w:eastAsia="方正仿宋简体" w:cs="方正仿宋简体"/>
          <w:color w:val="424242"/>
          <w:kern w:val="0"/>
          <w:sz w:val="32"/>
          <w:szCs w:val="32"/>
          <w:shd w:val="clear" w:color="auto" w:fill="FFFFFF"/>
        </w:rPr>
      </w:pPr>
    </w:p>
    <w:p w14:paraId="084249B1">
      <w:pPr>
        <w:spacing w:line="570" w:lineRule="exact"/>
        <w:rPr>
          <w:rFonts w:hint="eastAsia" w:ascii="Times New Roman" w:hAnsi="Times New Roman" w:eastAsia="方正仿宋简体" w:cs="Times New Roman"/>
          <w:sz w:val="32"/>
        </w:rPr>
      </w:pPr>
      <w:r>
        <w:rPr>
          <w:rFonts w:hint="eastAsia" w:ascii="Times New Roman" w:hAnsi="Times New Roman" w:eastAsia="方正仿宋简体" w:cs="Times New Roman"/>
          <w:sz w:val="32"/>
        </w:rPr>
        <w:br w:type="page"/>
      </w:r>
    </w:p>
    <w:p w14:paraId="00386827">
      <w:pPr>
        <w:widowControl w:val="0"/>
        <w:spacing w:before="240" w:after="60" w:line="360" w:lineRule="auto"/>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广东省人民政府印发《关于高质量发展资本市场助力广东现代化建设的若干措施》的通知</w:t>
      </w:r>
    </w:p>
    <w:p w14:paraId="200E38DD">
      <w:pPr>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粤府函〔2025〕7号</w:t>
      </w:r>
    </w:p>
    <w:p w14:paraId="061E29AB">
      <w:pPr>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p>
    <w:p w14:paraId="5C5B3BFF">
      <w:pPr>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055D37C3">
      <w:pPr>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现将《关于高质量发展资本市场助力广东现代化建设的若干措施》印发给你们，请认真贯彻执行。执行中遇到的问题，请径向省委金融办、广东证监局反映。</w:t>
      </w:r>
    </w:p>
    <w:p w14:paraId="65931F16">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D7D77AC">
      <w:pPr>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省人民政府</w:t>
      </w:r>
    </w:p>
    <w:p w14:paraId="1CB74886">
      <w:pPr>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2025年1月12日</w:t>
      </w:r>
    </w:p>
    <w:p w14:paraId="5A57C593">
      <w:pPr>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p>
    <w:p w14:paraId="319C9401">
      <w:pPr>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关于高质量发展资本市场</w:t>
      </w:r>
    </w:p>
    <w:p w14:paraId="198A0BEF">
      <w:pPr>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助力广东现代化建设的若干措施</w:t>
      </w:r>
    </w:p>
    <w:p w14:paraId="21A89399">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60693873">
      <w:pPr>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为全面贯彻党的二十大和二十届二中、三中全会精神，按照中央金融工作会议和《国务院关于加强监管防范风险推动资本市场高质量发展的若干意见》（国发〔2024〕10号）要求，结合省委“1310”具体部署和省委金融工作会议要求，大力推动多层次资本市场高质量发展，助力广东在推进中国式现代化建设中走在前列，现制定措施如下：</w:t>
      </w:r>
    </w:p>
    <w:p w14:paraId="46D14AC4">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一</w:t>
      </w:r>
      <w:r>
        <w:rPr>
          <w:rFonts w:hint="eastAsia" w:ascii="Times New Roman" w:hAnsi="Times New Roman" w:eastAsia="方正黑体简体" w:cs="Times New Roman"/>
          <w:kern w:val="2"/>
          <w:sz w:val="32"/>
          <w:szCs w:val="32"/>
          <w:lang w:val="en-US" w:eastAsia="zh-CN" w:bidi="ar"/>
        </w:rPr>
        <w:t>、总体要求</w:t>
      </w:r>
    </w:p>
    <w:p w14:paraId="0F2371DC">
      <w:pPr>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坚持以习近平新时代中国特色社会主义思想为指导，深入贯彻习近平总书记关于金融工作的重要论述和视察广东重要讲话、重要指示精神，统筹发展与安全，加快推进金融强省建设。坚持党对金融工作的全面领导，坚守金融工作的政治性、人民性，更加有效保护投资者特别是中小投资者合法权益。坚持把金融服务实体经济作为根本宗旨，提高直接融资比重，有力支持制造强省、科技创新强省、“百千万工程”建设。坚持发挥多层次资本市场枢纽功能，着力打造功能完善的现代资本市场体系，培育长期耐心资本。坚持高质量发展与高水平安全良性互动，全面加强监管，提高风险防控有效性，有力提升上市公司发展质量和结构。坚持市场化、法治化、国际化原则，增强资本市场发展合力，聚集发展具有国际水平的投资银行和财富管理机构，培育世界一流上市公司群体。</w:t>
      </w:r>
    </w:p>
    <w:p w14:paraId="3A2B12AA">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二、构建与科技创新相适应的科技金融体系，加速培育新质生产力</w:t>
      </w:r>
    </w:p>
    <w:p w14:paraId="55246667">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（一）支持科技型和重点领域企业上市发展。</w:t>
      </w:r>
      <w:r>
        <w:rPr>
          <w:rFonts w:hint="eastAsia" w:ascii="Times New Roman" w:hAnsi="Times New Roman" w:eastAsia="方正仿宋简体" w:cs="方正仿宋简体"/>
          <w:color w:val="424242"/>
          <w:kern w:val="0"/>
          <w:sz w:val="32"/>
          <w:szCs w:val="32"/>
          <w:shd w:val="clear" w:color="auto" w:fill="FFFFFF"/>
          <w:lang w:bidi="ar"/>
        </w:rPr>
        <w:t>鼓励各地建设企业上市综合服务平台或机构，完善企业上市梯度培育机制，督促拟上市企业树立正确“上市观”，提升信息披露质量。分层分类做好跟踪辅导，引导企业到合适板块上市挂牌，优先支持突破关键核心技术的科技型企业、创新创业企业到科创板、创业板上市，支持业务模式成熟、经营业绩稳定、具有行业代表性的企业到上海、深圳证券交易所主板上市，支持创新型中小企业到北京证券交易所上市。支持符合条件的优质企业境外上市，鼓励优质红筹企业回归A股。</w:t>
      </w:r>
    </w:p>
    <w:p w14:paraId="0B7AA2EC">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（二）提升资本市场服务全过程创新链水平。</w:t>
      </w:r>
      <w:r>
        <w:rPr>
          <w:rFonts w:hint="eastAsia" w:ascii="Times New Roman" w:hAnsi="Times New Roman" w:eastAsia="方正仿宋简体" w:cs="方正仿宋简体"/>
          <w:color w:val="424242"/>
          <w:kern w:val="0"/>
          <w:sz w:val="32"/>
          <w:szCs w:val="32"/>
          <w:shd w:val="clear" w:color="auto" w:fill="FFFFFF"/>
          <w:lang w:bidi="ar"/>
        </w:rPr>
        <w:t>完善科技创新股权融资支持政策，建立“股、债、基、期、指”联动的多层次支撑体系。鼓励科技型企业发行科创可转债、科创债、中小企业支持债，支持科技创新公司债券参与做市业务。支持科技型企业高效实施并购重组。稳妥有序推进期货和衍生品创新。鼓励专业机构设计指数产品，引导资金投向科技型企业。</w:t>
      </w:r>
    </w:p>
    <w:p w14:paraId="271E1B1B">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（三）引导风投创投支持科技创新。</w:t>
      </w:r>
      <w:r>
        <w:rPr>
          <w:rFonts w:hint="eastAsia" w:ascii="Times New Roman" w:hAnsi="Times New Roman" w:eastAsia="方正仿宋简体" w:cs="方正仿宋简体"/>
          <w:color w:val="424242"/>
          <w:kern w:val="0"/>
          <w:sz w:val="32"/>
          <w:szCs w:val="32"/>
          <w:shd w:val="clear" w:color="auto" w:fill="FFFFFF"/>
          <w:lang w:bidi="ar"/>
        </w:rPr>
        <w:t>推动创新资本“投早投小投长期投硬科技”，对投资种子期、初创期科创企业的创投机构，鼓励有条件的地市依法依规完善支持政策。鼓励保险资金依法依规扩大股权投资比例，加快培育壮大耐心资本。支持金融机构与创投机构开展投贷联动、投债联动、投保联动等。搭建企业股权融资、产融对接服务平台，协助企业与创投机构进行投融资深度对接。建立健全政府引导基金差异化和风险容忍的绩效考核、监督检查和尽职免责制度，探索对国资创业投资机构按照整个基金生命周期进行考核。</w:t>
      </w:r>
    </w:p>
    <w:p w14:paraId="072DE15D">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（四）畅通股权投资市场化退出渠道。</w:t>
      </w:r>
      <w:r>
        <w:rPr>
          <w:rFonts w:hint="eastAsia" w:ascii="Times New Roman" w:hAnsi="Times New Roman" w:eastAsia="方正仿宋简体" w:cs="方正仿宋简体"/>
          <w:color w:val="424242"/>
          <w:kern w:val="0"/>
          <w:sz w:val="32"/>
          <w:szCs w:val="32"/>
          <w:shd w:val="clear" w:color="auto" w:fill="FFFFFF"/>
          <w:lang w:bidi="ar"/>
        </w:rPr>
        <w:t>用好股权投资和创业投资基金份额转让试点、实物分配股票试点、创业投资减持“反向挂钩”等退出机制安排。支持我省各类国资相关基金份额采取市场化方式确定价格并转让交易。建立健全份额转让试点与市场监管部门间的变更登记对接机制。大力发展并购基金和二手份额转让基金（S基金）。</w:t>
      </w:r>
    </w:p>
    <w:p w14:paraId="46C14437">
      <w:pPr>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（五）打造多样化多功能科技金融集聚区。</w:t>
      </w:r>
      <w:r>
        <w:rPr>
          <w:rFonts w:hint="eastAsia" w:ascii="Times New Roman" w:hAnsi="Times New Roman" w:eastAsia="方正仿宋简体" w:cs="方正仿宋简体"/>
          <w:color w:val="424242"/>
          <w:kern w:val="0"/>
          <w:sz w:val="32"/>
          <w:szCs w:val="32"/>
          <w:shd w:val="clear" w:color="auto" w:fill="FFFFFF"/>
          <w:lang w:bidi="ar"/>
        </w:rPr>
        <w:t>鼓励有条件的地市完善配套服务措施，吸引国内外天使投资、风险投资、创业投资基金、优质科技金融机构和头部中介机构落户广东。引导横琴粤澳深度合作区、前海深港国际风投创投集聚区、广州南沙、河套深港科技创新合作区深圳园区、千灯湖创投小镇等重点风投创投集聚区与省内高新技术产业开发区、科技产业园区高效联动。</w:t>
      </w:r>
    </w:p>
    <w:p w14:paraId="52DD614A">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三、提高上市公司质量，服务制造强省建设</w:t>
      </w:r>
    </w:p>
    <w:p w14:paraId="4265317D">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（六）着力激发上市民营主体市场活力。</w:t>
      </w:r>
      <w:r>
        <w:rPr>
          <w:rFonts w:hint="eastAsia" w:ascii="Times New Roman" w:hAnsi="Times New Roman" w:eastAsia="方正仿宋简体" w:cs="方正仿宋简体"/>
          <w:color w:val="424242"/>
          <w:kern w:val="0"/>
          <w:sz w:val="32"/>
          <w:szCs w:val="32"/>
          <w:shd w:val="clear" w:color="auto" w:fill="FFFFFF"/>
          <w:lang w:bidi="ar"/>
        </w:rPr>
        <w:t>完善支持民营上市公司高质量发展的政策机制，鼓励参与国企混合所有制改革。支持符合条件的民营企业发行公司信用类债券，鼓励政策性机构和市场机构提供增信支持。持续跟踪民营上市公司经营和风险状况，依法保护公司产权和企业家权益，加大清理拖欠账款工作力度。完善纾困政策体系，支持国有企业、金融机构设立纾困基金，通过债务重组、兼并收购等金融手段，助力民营主体纾困解难。</w:t>
      </w:r>
    </w:p>
    <w:p w14:paraId="237140FC">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（七）强化国资国企上市引领支撑作用。</w:t>
      </w:r>
      <w:r>
        <w:rPr>
          <w:rFonts w:hint="eastAsia" w:ascii="Times New Roman" w:hAnsi="Times New Roman" w:eastAsia="方正仿宋简体" w:cs="方正仿宋简体"/>
          <w:color w:val="424242"/>
          <w:kern w:val="0"/>
          <w:sz w:val="32"/>
          <w:szCs w:val="32"/>
          <w:shd w:val="clear" w:color="auto" w:fill="FFFFFF"/>
          <w:lang w:bidi="ar"/>
        </w:rPr>
        <w:t>推动国企集团整合优质资源向上市公司集中，通过资产重组、吸收合并、跨市场运作盘活资产，提高资产证券化水平。优化国有控股上市公司管理机制，将研发投入视同利润纳入经营考核，完善股权激励和员工持股机制，将市值管理水平纳入考核评价，鼓励通过增持回购提升合理估值水平。</w:t>
      </w:r>
    </w:p>
    <w:p w14:paraId="02C5A8C8">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（八）重点发挥上市公司链主作用。</w:t>
      </w:r>
      <w:r>
        <w:rPr>
          <w:rFonts w:hint="eastAsia" w:ascii="Times New Roman" w:hAnsi="Times New Roman" w:eastAsia="方正仿宋简体" w:cs="方正仿宋简体"/>
          <w:color w:val="424242"/>
          <w:kern w:val="0"/>
          <w:sz w:val="32"/>
          <w:szCs w:val="32"/>
          <w:shd w:val="clear" w:color="auto" w:fill="FFFFFF"/>
          <w:lang w:bidi="ar"/>
        </w:rPr>
        <w:t>鼓励地市完善对上市公司再融资、并购重组项目的支持政策，为上市公司走出去提供投融资审核、出入境证件、社保税收服务等便利。支持上市公司综合运用并购重组、股权激励等提高发展质量。鼓励引导产业链头部公司立足主业积极参与创业投资、股权投资。</w:t>
      </w:r>
    </w:p>
    <w:p w14:paraId="6D2C8F7D">
      <w:pPr>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（九）促进传统产业领域上市公司数智化改造和转型升级。</w:t>
      </w:r>
      <w:r>
        <w:rPr>
          <w:rFonts w:hint="eastAsia" w:ascii="Times New Roman" w:hAnsi="Times New Roman" w:eastAsia="方正仿宋简体" w:cs="方正仿宋简体"/>
          <w:color w:val="424242"/>
          <w:kern w:val="0"/>
          <w:sz w:val="32"/>
          <w:szCs w:val="32"/>
          <w:shd w:val="clear" w:color="auto" w:fill="FFFFFF"/>
          <w:lang w:bidi="ar"/>
        </w:rPr>
        <w:t>支持家居、家电、纺织服装等传统产业企业通过再融资、发债等方式筹集资金、并购重组，加快技术升级。鼓励上市公司积极发展工业设计、检验检测、物流与供应链服务、产业电商、共享制造等生产性服务业。</w:t>
      </w:r>
    </w:p>
    <w:p w14:paraId="5BEEEB91">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四、优化金融资源配置，助力推进“百千万工程”建设和区域协调发展</w:t>
      </w:r>
    </w:p>
    <w:p w14:paraId="232FF411">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（十）支持产业有序转移主平台建设。</w:t>
      </w:r>
      <w:r>
        <w:rPr>
          <w:rFonts w:hint="eastAsia" w:ascii="Times New Roman" w:hAnsi="Times New Roman" w:eastAsia="方正仿宋简体" w:cs="方正仿宋简体"/>
          <w:color w:val="424242"/>
          <w:kern w:val="0"/>
          <w:sz w:val="32"/>
          <w:szCs w:val="32"/>
          <w:shd w:val="clear" w:color="auto" w:fill="FFFFFF"/>
          <w:lang w:bidi="ar"/>
        </w:rPr>
        <w:t>支持省级产业转移基金用好上市公司资源，推动粤东西北地区加快产业承接。鼓励上市公司“抱团联建”，积极参与地市产业园区和“万亩千亿”大平台建设。支持产业园区通过发行基础设施领域不动产投资信托基金（REITs）、公司信用类债券等方式筹集建设运营资金。</w:t>
      </w:r>
    </w:p>
    <w:p w14:paraId="2DAB25A4">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（十一）推动绿色低碳发展。</w:t>
      </w:r>
      <w:r>
        <w:rPr>
          <w:rFonts w:hint="eastAsia" w:ascii="Times New Roman" w:hAnsi="Times New Roman" w:eastAsia="方正仿宋简体" w:cs="方正仿宋简体"/>
          <w:color w:val="424242"/>
          <w:kern w:val="0"/>
          <w:sz w:val="32"/>
          <w:szCs w:val="32"/>
          <w:shd w:val="clear" w:color="auto" w:fill="FFFFFF"/>
          <w:lang w:bidi="ar"/>
        </w:rPr>
        <w:t>引导上市公司全面推进绿色制造体系建设，践行环境、社会责任和公司治理（ESG）发展理念。支持符合条件的企业发行绿色债券、碳中和债、低碳转型债、蓝色债券等产品，鼓励上市公司加快绿色技术改造，加大绿色制造、工业节能、清洁生产、绿色数据中心等投资建设力度。</w:t>
      </w:r>
    </w:p>
    <w:p w14:paraId="1EEC7A52">
      <w:pPr>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（十二）赋能县域经济高质量发展。</w:t>
      </w:r>
      <w:r>
        <w:rPr>
          <w:rFonts w:hint="eastAsia" w:ascii="Times New Roman" w:hAnsi="Times New Roman" w:eastAsia="方正仿宋简体" w:cs="方正仿宋简体"/>
          <w:color w:val="424242"/>
          <w:kern w:val="0"/>
          <w:sz w:val="32"/>
          <w:szCs w:val="32"/>
          <w:shd w:val="clear" w:color="auto" w:fill="FFFFFF"/>
          <w:lang w:bidi="ar"/>
        </w:rPr>
        <w:t>探索设立省“百千万工程”基金，用好县域经济高质量发展基金，建立完善支持县域上市公司高质量发展的政策举措，支持上市公司募投项目落地。支持符合条件的企业发行乡村振兴债。支持“保险+期货”有序扩大覆盖面，引导证券期货经营机构聚焦产业发展、城乡建设和民生底线，推动金融力量、金融产品、金融服务“三下沉”。</w:t>
      </w:r>
    </w:p>
    <w:p w14:paraId="320BEA23">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五</w:t>
      </w:r>
      <w:r>
        <w:rPr>
          <w:rFonts w:hint="eastAsia" w:ascii="Times New Roman" w:hAnsi="Times New Roman" w:eastAsia="方正黑体简体" w:cs="Times New Roman"/>
          <w:kern w:val="2"/>
          <w:sz w:val="32"/>
          <w:szCs w:val="32"/>
          <w:lang w:val="en-US" w:eastAsia="zh-CN" w:bidi="ar"/>
        </w:rPr>
        <w:t>、健全资本市场体系，着力构建现代金融体系</w:t>
      </w:r>
    </w:p>
    <w:p w14:paraId="1458AFD0">
      <w:pPr>
        <w:shd w:val="clear" w:color="auto" w:fill="FFFFFF"/>
        <w:wordWrap w:val="0"/>
        <w:spacing w:after="150" w:line="540" w:lineRule="atLeast"/>
        <w:ind w:firstLine="643"/>
        <w:jc w:val="lef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（十三）加强资本市场重点平台建设。</w:t>
      </w:r>
      <w:r>
        <w:rPr>
          <w:rFonts w:hint="eastAsia" w:ascii="Times New Roman" w:hAnsi="Times New Roman" w:eastAsia="方正仿宋简体" w:cs="方正仿宋简体"/>
          <w:color w:val="424242"/>
          <w:kern w:val="0"/>
          <w:sz w:val="32"/>
          <w:szCs w:val="32"/>
          <w:shd w:val="clear" w:color="auto" w:fill="FFFFFF"/>
          <w:lang w:bidi="ar"/>
        </w:rPr>
        <w:t>支持深圳证券交易所建设具有创新市场特色的全球资产配置平台，打造优质创新资本中心和世界一流交易所。支持深圳证券交易所科技成果与知识产权交易中心建设科技成果转移转化全链条服务体系和科技创新要素市场化配置生态体系。支持广州期货交易所研发上市电力期货等重大战略品种，丰富期货产品体系。加强广东期现联动市场体系建设。高质量建设广东区域性股权市场，完善与全国股转系统的对接机制。支持广州知识产权交易中心完善运营机制。</w:t>
      </w:r>
    </w:p>
    <w:p w14:paraId="1374E805">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（十四）培育壮大优质投资银行和投资机构群体。</w:t>
      </w:r>
      <w:r>
        <w:rPr>
          <w:rFonts w:hint="eastAsia" w:ascii="Times New Roman" w:hAnsi="Times New Roman" w:eastAsia="方正仿宋简体" w:cs="方正仿宋简体"/>
          <w:color w:val="424242"/>
          <w:kern w:val="0"/>
          <w:sz w:val="32"/>
          <w:szCs w:val="32"/>
          <w:shd w:val="clear" w:color="auto" w:fill="FFFFFF"/>
          <w:lang w:bidi="ar"/>
        </w:rPr>
        <w:t>支持头部券商提升核心竞争力、打造一流投行，鼓励中小券商开展差异化、特色化经营。支持公募基金管理公司提升投研核心能力和长期回报水平。推动有条件的省属企业和地市收购证券公司，加快打造全牌照金融控股平台。着力吸引境内外证券基金期货法人机构落户广东，支持广东证券基金期货法人机构在港澳设立分支机构。鼓励发展投资顾问业态，推动财富管理行业转型，支持广州建设粤港澳大湾区跨境理财和资产管理中心，支持深圳建设国际财富管理中心。</w:t>
      </w:r>
    </w:p>
    <w:p w14:paraId="3A3D5D20">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（十五）深化资本市场高水平对外开放。</w:t>
      </w:r>
      <w:r>
        <w:rPr>
          <w:rFonts w:hint="eastAsia" w:ascii="Times New Roman" w:hAnsi="Times New Roman" w:eastAsia="方正仿宋简体" w:cs="方正仿宋简体"/>
          <w:color w:val="424242"/>
          <w:kern w:val="0"/>
          <w:sz w:val="32"/>
          <w:szCs w:val="32"/>
          <w:shd w:val="clear" w:color="auto" w:fill="FFFFFF"/>
          <w:lang w:bidi="ar"/>
        </w:rPr>
        <w:t>推进横琴、前海、南沙、河套等重大平台金融开放，深入推进“深港通”“债券通”，推动“跨境理财通”优化服务并拓展产品范围，探索跨境“征信通”。支持深圳证券交易所、广州期货交易所与香港交易所开展产品挂牌合作。优化合格境外有限合伙人（QFLP）境内投资及合格境内有限合伙人（QDLP）境外投资试点工作机制，支持港澳金融监管部门审核注册的投资机构获得QFLP试点资格并参与内地私募股权投资。</w:t>
      </w:r>
    </w:p>
    <w:p w14:paraId="588502C0">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（十六）强化数字金融发展应用。</w:t>
      </w:r>
      <w:r>
        <w:rPr>
          <w:rFonts w:hint="eastAsia" w:ascii="Times New Roman" w:hAnsi="Times New Roman" w:eastAsia="方正仿宋简体" w:cs="方正仿宋简体"/>
          <w:color w:val="424242"/>
          <w:kern w:val="0"/>
          <w:sz w:val="32"/>
          <w:szCs w:val="32"/>
          <w:shd w:val="clear" w:color="auto" w:fill="FFFFFF"/>
          <w:lang w:bidi="ar"/>
        </w:rPr>
        <w:t>深化资本市场金融科技创新试点。支持证券基金期货公司等金融机构更新数字化基础设施，实施数字化转型。支持数字金融创新产业园建设，打造金融标准化和金融科技认证服务平台，推动金融信创产业集聚，打造数字金融产业化发展高地。</w:t>
      </w:r>
    </w:p>
    <w:p w14:paraId="059AE661">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（十七）强化养老金融产品供给。</w:t>
      </w:r>
      <w:r>
        <w:rPr>
          <w:rFonts w:hint="eastAsia" w:ascii="Times New Roman" w:hAnsi="Times New Roman" w:eastAsia="方正仿宋简体" w:cs="方正仿宋简体"/>
          <w:color w:val="424242"/>
          <w:kern w:val="0"/>
          <w:sz w:val="32"/>
          <w:szCs w:val="32"/>
          <w:shd w:val="clear" w:color="auto" w:fill="FFFFFF"/>
          <w:lang w:bidi="ar"/>
        </w:rPr>
        <w:t>引导金融机构开发更多基于广东省情的养老目标基金产品，加快夯实第三支柱体系。引导养老金、保险资金等管理机构对委托管理的投资机构进行长周期考核。鼓励符合条件的企业通过上市、发债等扩大直接融资渠道。引导长期资金支持银发经济，助力养老基础设施建设和产业发展。</w:t>
      </w:r>
    </w:p>
    <w:p w14:paraId="0B2B531B">
      <w:pPr>
        <w:shd w:val="clear" w:color="auto" w:fill="FFFFFF"/>
        <w:spacing w:line="480" w:lineRule="atLeast"/>
        <w:ind w:firstLine="643"/>
        <w:rPr>
          <w:rFonts w:ascii="Times New Roman" w:hAnsi="Times New Roman" w:eastAsia="方正黑体简体" w:cs="Times New Roman"/>
          <w:sz w:val="32"/>
        </w:rPr>
      </w:pPr>
      <w:r>
        <w:rPr>
          <w:rFonts w:hint="eastAsia" w:ascii="Times New Roman" w:hAnsi="Times New Roman" w:eastAsia="方正楷体简体" w:cs="Times New Roman"/>
          <w:b/>
          <w:sz w:val="32"/>
          <w:szCs w:val="32"/>
        </w:rPr>
        <w:t>　　（十八）大力发展多层次</w:t>
      </w:r>
      <w:r>
        <w:rPr>
          <w:rFonts w:ascii="Times New Roman" w:hAnsi="Times New Roman" w:eastAsia="方正楷体简体" w:cs="Times New Roman"/>
          <w:b/>
          <w:sz w:val="32"/>
          <w:szCs w:val="32"/>
        </w:rPr>
        <w:t>REITs</w:t>
      </w:r>
      <w:r>
        <w:rPr>
          <w:rFonts w:hint="eastAsia" w:ascii="Times New Roman" w:hAnsi="Times New Roman" w:eastAsia="方正楷体简体" w:cs="Times New Roman"/>
          <w:b/>
          <w:sz w:val="32"/>
          <w:szCs w:val="32"/>
        </w:rPr>
        <w:t>体系。</w:t>
      </w:r>
      <w:r>
        <w:rPr>
          <w:rFonts w:hint="eastAsia" w:ascii="Times New Roman" w:hAnsi="Times New Roman" w:eastAsia="方正仿宋简体" w:cs="方正仿宋简体"/>
          <w:color w:val="424242"/>
          <w:kern w:val="0"/>
          <w:sz w:val="32"/>
          <w:szCs w:val="32"/>
          <w:shd w:val="clear" w:color="auto" w:fill="FFFFFF"/>
          <w:lang w:bidi="ar"/>
        </w:rPr>
        <w:t>建立地方政府公募REITs后备项目库，完善工作机制协调解决公募REITs项目申报过程中的规划、用地、税收等问题。完善国有企业考核机制，积极通过REITs加快盘活资产。发展不动产资产管理业态，鼓励国际不动产投资机构在粤落户。</w:t>
      </w:r>
    </w:p>
    <w:p w14:paraId="5CC88725">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
        </w:rPr>
      </w:pPr>
      <w:r>
        <w:rPr>
          <w:rFonts w:hint="eastAsia" w:ascii="Times New Roman" w:hAnsi="Times New Roman" w:eastAsia="方正黑体简体" w:cs="Times New Roman"/>
          <w:kern w:val="2"/>
          <w:sz w:val="32"/>
          <w:szCs w:val="32"/>
          <w:lang w:val="en-US" w:eastAsia="zh-CN" w:bidi="ar-SA"/>
        </w:rPr>
        <w:t>六、加强监管协同联动，规范资本市场秩序</w:t>
      </w:r>
    </w:p>
    <w:p w14:paraId="193C23BE">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（十九）全面加强监管。</w:t>
      </w:r>
      <w:r>
        <w:rPr>
          <w:rFonts w:hint="eastAsia" w:ascii="Times New Roman" w:hAnsi="Times New Roman" w:eastAsia="方正仿宋简体" w:cs="方正仿宋简体"/>
          <w:color w:val="424242"/>
          <w:kern w:val="0"/>
          <w:sz w:val="32"/>
          <w:szCs w:val="32"/>
          <w:shd w:val="clear" w:color="auto" w:fill="FFFFFF"/>
          <w:lang w:bidi="ar"/>
        </w:rPr>
        <w:t>增强央地协同，加强跨部门准入协同、监管信息共享和重点工作联动，探索开展联合检查，形成齐抓共治、有机衔接的监管协作新格局。严把企业登记入口关，建立私募基金综合研判会商工作机制。督促上市公司建立健全中国特色现代企业制度，鼓励机构投资者在公司治理中发挥积极作用，强化独立董事履职保障约束，完善内控体系。推动证券基金期货机构提升公司治理水平和风险管控能力。全面强化穿透式监管，严惩股东违规占用资金等侵害上市公司、金融机构利益行为。加强跨境金融创新监管合作。</w:t>
      </w:r>
    </w:p>
    <w:p w14:paraId="24AA2BF1">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（二十）强化立体化追责。</w:t>
      </w:r>
      <w:r>
        <w:rPr>
          <w:rFonts w:hint="eastAsia" w:ascii="Times New Roman" w:hAnsi="Times New Roman" w:eastAsia="方正仿宋简体" w:cs="方正仿宋简体"/>
          <w:color w:val="424242"/>
          <w:kern w:val="0"/>
          <w:sz w:val="32"/>
          <w:szCs w:val="32"/>
          <w:shd w:val="clear" w:color="auto" w:fill="FFFFFF"/>
          <w:lang w:bidi="ar"/>
        </w:rPr>
        <w:t>用好上市公司规范发展协作机制，加强执法司法一体化协作，提高行政执法和刑事司法衔接效率，加大对证券期货违法犯罪的联合打击力度。强化行政、民事、刑事立体化追责，依法从严从快从重查处欺诈发行、财务造假、占用担保、非法证券活动等案件，加大对控股股东、实际控制人、董事、高级管理人员等“关键少数”追责力度，充分发挥中介机构执业监督作用，依法严肃查处中介机构及其从业人员、第三方配合财务造假等证券违法行为。将防范财务造假纳入国有企业负责人经营业绩考核。强化失信联合惩戒，加大资本市场失信行为的曝光力度和惩戒力度。</w:t>
      </w:r>
    </w:p>
    <w:p w14:paraId="5D3028E8">
      <w:pPr>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楷体简体" w:cs="Times New Roman"/>
          <w:b/>
          <w:sz w:val="32"/>
          <w:szCs w:val="32"/>
        </w:rPr>
        <w:t>　　（二十一）健全投资者保护机制。</w:t>
      </w:r>
      <w:r>
        <w:rPr>
          <w:rFonts w:hint="eastAsia" w:ascii="Times New Roman" w:hAnsi="Times New Roman" w:eastAsia="方正仿宋简体" w:cs="方正仿宋简体"/>
          <w:color w:val="424242"/>
          <w:kern w:val="0"/>
          <w:sz w:val="32"/>
          <w:szCs w:val="32"/>
          <w:shd w:val="clear" w:color="auto" w:fill="FFFFFF"/>
          <w:lang w:bidi="ar"/>
        </w:rPr>
        <w:t>推动上市公司加强现金分红、回购注销股票，持续提升投资者回报。引导市场主体运用先行赔付等方式强化投资者权益保护。探索完善证券民事公益诉讼机制。优化投资者索赔诉前调解工作流程。优化诉讼费用制度安排，支持投资者保护机构提起代表人诉讼、股东代位诉讼。推进投资者教育纳入广东国民教育体系。</w:t>
      </w:r>
    </w:p>
    <w:p w14:paraId="7536FA0A">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七、防范化解资本市场风险，服务社会稳定发展</w:t>
      </w:r>
    </w:p>
    <w:p w14:paraId="78B127C9">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（二十二）强化风险源头防控和早期纠正。</w:t>
      </w:r>
      <w:r>
        <w:rPr>
          <w:rFonts w:hint="eastAsia" w:ascii="Times New Roman" w:hAnsi="Times New Roman" w:eastAsia="方正仿宋简体" w:cs="方正仿宋简体"/>
          <w:color w:val="424242"/>
          <w:kern w:val="0"/>
          <w:sz w:val="32"/>
          <w:szCs w:val="32"/>
          <w:shd w:val="clear" w:color="auto" w:fill="FFFFFF"/>
          <w:lang w:bidi="ar"/>
        </w:rPr>
        <w:t>强化央地和跨部门协同，优化风险监测指标和评估模型，做好跨市场、跨行业、跨境风险监测应对，加强数据对接。发挥地市政府贴近企业优势，持续跟踪预警上市公司经营和风险状况。压实发行人和金融机构主体责任，强化股东责任，督促市场主体依法履行内部救助义务。</w:t>
      </w:r>
    </w:p>
    <w:p w14:paraId="4B1A426E">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（二十三）积极防范化解重点领域风险。</w:t>
      </w:r>
      <w:r>
        <w:rPr>
          <w:rFonts w:hint="eastAsia" w:ascii="Times New Roman" w:hAnsi="Times New Roman" w:eastAsia="方正仿宋简体" w:cs="方正仿宋简体"/>
          <w:color w:val="424242"/>
          <w:kern w:val="0"/>
          <w:sz w:val="32"/>
          <w:szCs w:val="32"/>
          <w:shd w:val="clear" w:color="auto" w:fill="FFFFFF"/>
          <w:lang w:bidi="ar"/>
        </w:rPr>
        <w:t>加大上市公司退市风险排查力度，推动形成能救早救和应退尽退、及时出清的常态化退市格局。完善债券违约风险处置机制，稳妥防范化解房地产领域风险。坚决打击逃废债行为。加强地方投融资和债务管理，加强全口径地方债务监测，坚决防止利用资本市场工具违规举债。整治私募基金领域突出风险隐患，依法从严打击以私募基金名义违法展业、挪用侵占私募基金资金等违法犯罪行为。</w:t>
      </w:r>
    </w:p>
    <w:p w14:paraId="79524F05">
      <w:pPr>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（二十四）完善风险处置机制。</w:t>
      </w:r>
      <w:r>
        <w:rPr>
          <w:rFonts w:hint="eastAsia" w:ascii="Times New Roman" w:hAnsi="Times New Roman" w:eastAsia="方正仿宋简体" w:cs="方正仿宋简体"/>
          <w:color w:val="424242"/>
          <w:kern w:val="0"/>
          <w:sz w:val="32"/>
          <w:szCs w:val="32"/>
          <w:shd w:val="clear" w:color="auto" w:fill="FFFFFF"/>
          <w:lang w:bidi="ar"/>
        </w:rPr>
        <w:t>健全常态化风险处置机制，综合运用自救、外部救助及兼并重组、收购承接、接管托管、司法重整、破产清算等处置措施。压实地市政府在上市公司占用担保、债券违约与私募机构等风险化解处置方面的属地责任。</w:t>
      </w:r>
    </w:p>
    <w:p w14:paraId="50F7C766">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八、发挥组织保障优势，增强高质量发展合力</w:t>
      </w:r>
    </w:p>
    <w:p w14:paraId="2562EABB">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（二十五）强化党的全面领导。</w:t>
      </w:r>
      <w:r>
        <w:rPr>
          <w:rFonts w:hint="eastAsia" w:ascii="Times New Roman" w:hAnsi="Times New Roman" w:eastAsia="方正仿宋简体" w:cs="方正仿宋简体"/>
          <w:color w:val="424242"/>
          <w:kern w:val="0"/>
          <w:sz w:val="32"/>
          <w:szCs w:val="32"/>
          <w:shd w:val="clear" w:color="auto" w:fill="FFFFFF"/>
          <w:lang w:bidi="ar"/>
        </w:rPr>
        <w:t>严格执行重大事项请示报告制度，把党的领导贯穿资本市场改革发展稳定全过程各方面。各级党委和政府要加强组织领导和统筹协调，建立健全与金融部门分工协作机制，做好与现有相关工作机制的衔接，强化政策支持和要素保障，形成工作合力。完善金融企业党组织作用发挥机制。</w:t>
      </w:r>
    </w:p>
    <w:p w14:paraId="0E1C334E">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（二十六）强化政策支持。</w:t>
      </w:r>
      <w:r>
        <w:rPr>
          <w:rFonts w:hint="eastAsia" w:ascii="Times New Roman" w:hAnsi="Times New Roman" w:eastAsia="方正仿宋简体" w:cs="方正仿宋简体"/>
          <w:color w:val="424242"/>
          <w:kern w:val="0"/>
          <w:sz w:val="32"/>
          <w:szCs w:val="32"/>
          <w:shd w:val="clear" w:color="auto" w:fill="FFFFFF"/>
          <w:lang w:bidi="ar"/>
        </w:rPr>
        <w:t>加强资本市场工作统筹协调力度，统筹各类资金支持企业利用资本市场提升发展能力，加快风险早期纠正。落实上市公司股权激励、中长期资金、私募股权创投基金、不动产投资信托基金等税收支持政策，争取国家支持在粤开展公司型创业投资企业所得税优惠政策试点。将吸引创投基金、产业基金等投资基金投资本地项目纳入招商引资工作绩效评价。依法依规保障符合条件的募投项目用地需求。积极引进各类符合上市公司和金融机构需求的高端紧缺人才，支持符合条件人才依规享受优惠待遇。</w:t>
      </w:r>
    </w:p>
    <w:p w14:paraId="4AC856AE">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（二十七）强化干部队伍建设。</w:t>
      </w:r>
      <w:r>
        <w:rPr>
          <w:rFonts w:hint="eastAsia" w:ascii="Times New Roman" w:hAnsi="Times New Roman" w:eastAsia="方正仿宋简体" w:cs="方正仿宋简体"/>
          <w:color w:val="424242"/>
          <w:kern w:val="0"/>
          <w:sz w:val="32"/>
          <w:szCs w:val="32"/>
          <w:shd w:val="clear" w:color="auto" w:fill="FFFFFF"/>
          <w:lang w:bidi="ar"/>
        </w:rPr>
        <w:t>强化各地市、区县政府等基层专业金融干部和司法领域金融人才队伍建设，建立与金融监管部门、金融机构之间交流、挂职锻炼机制。用好资本市场学院和省内高校、重大金融平台、头部金融机构资源，推动基层领导干部学好用好资本市场政策促进地方经济高质量发展。</w:t>
      </w:r>
    </w:p>
    <w:p w14:paraId="6B01E5CD">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（二十八）营造良好氛围。</w:t>
      </w:r>
      <w:r>
        <w:rPr>
          <w:rFonts w:hint="eastAsia" w:ascii="Times New Roman" w:hAnsi="Times New Roman" w:eastAsia="方正仿宋简体" w:cs="方正仿宋简体"/>
          <w:color w:val="424242"/>
          <w:kern w:val="0"/>
          <w:sz w:val="32"/>
          <w:szCs w:val="32"/>
          <w:shd w:val="clear" w:color="auto" w:fill="FFFFFF"/>
          <w:lang w:bidi="ar"/>
        </w:rPr>
        <w:t>各地区、各部门要灵活运用各类宣传渠道、形式和载体，加强对资本市场助力企业、产业、行业实现高质量发展的典型案例、先进经验的通报和推广，加强对优秀上市公司、企业家和金融机构先进事迹的宣传报道，强化示范引领效应。加强舆情引导，进一步畅通网络侵权举报渠道，严肃查处故意散布虚假信息毁谤企业商誉、扰乱资本市场秩序等行为。</w:t>
      </w:r>
    </w:p>
    <w:p w14:paraId="4C55772E">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2E1A12C6">
      <w:pPr>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附件：</w:t>
      </w:r>
      <w:r>
        <w:rPr>
          <w:rFonts w:ascii="Times New Roman" w:hAnsi="Times New Roman" w:eastAsia="方正仿宋简体" w:cs="Times New Roman"/>
          <w:sz w:val="32"/>
        </w:rPr>
        <w:fldChar w:fldCharType="begin"/>
      </w:r>
      <w:r>
        <w:rPr>
          <w:rFonts w:ascii="Times New Roman" w:hAnsi="Times New Roman" w:eastAsia="方正仿宋简体" w:cs="Times New Roman"/>
          <w:sz w:val="32"/>
        </w:rPr>
        <w:instrText xml:space="preserve"> HYPERLINK "http://www.gd.gov.cn/attachment/0/571/571033/4658385.pdf" \t "D:/新建文件夹/曹妃甸/_blank" </w:instrText>
      </w:r>
      <w:r>
        <w:rPr>
          <w:rFonts w:ascii="Times New Roman" w:hAnsi="Times New Roman" w:eastAsia="方正仿宋简体" w:cs="Times New Roman"/>
          <w:sz w:val="32"/>
        </w:rPr>
        <w:fldChar w:fldCharType="separate"/>
      </w:r>
      <w:r>
        <w:rPr>
          <w:rFonts w:hint="eastAsia" w:ascii="Times New Roman" w:hAnsi="Times New Roman" w:eastAsia="方正仿宋简体" w:cs="方正仿宋简体"/>
          <w:color w:val="0000FF"/>
          <w:kern w:val="0"/>
          <w:sz w:val="32"/>
          <w:szCs w:val="32"/>
          <w:u w:val="single"/>
          <w:shd w:val="clear" w:color="auto" w:fill="FFFFFF"/>
        </w:rPr>
        <w:t>重点任务分工表</w:t>
      </w:r>
      <w:r>
        <w:rPr>
          <w:rFonts w:hint="eastAsia" w:ascii="Times New Roman" w:hAnsi="Times New Roman" w:eastAsia="方正仿宋简体" w:cs="方正仿宋简体"/>
          <w:color w:val="0000FF"/>
          <w:kern w:val="0"/>
          <w:sz w:val="32"/>
          <w:szCs w:val="32"/>
          <w:u w:val="single"/>
          <w:shd w:val="clear" w:color="auto" w:fill="FFFFFF"/>
        </w:rPr>
        <w:fldChar w:fldCharType="end"/>
      </w:r>
    </w:p>
    <w:p w14:paraId="4B1FCE3D">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p>
    <w:p w14:paraId="1F11CC25">
      <w:pPr>
        <w:widowControl w:val="0"/>
        <w:spacing w:before="240" w:after="60" w:line="570" w:lineRule="exact"/>
        <w:ind w:firstLine="880"/>
        <w:jc w:val="center"/>
        <w:outlineLvl w:val="0"/>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广东省人民政府</w:t>
      </w:r>
      <w:r>
        <w:rPr>
          <w:rFonts w:hint="eastAsia" w:ascii="Times New Roman" w:hAnsi="Times New Roman" w:eastAsia="方正小标宋简体" w:cs="方正小标宋简体"/>
          <w:kern w:val="2"/>
          <w:sz w:val="44"/>
          <w:szCs w:val="24"/>
          <w:lang w:val="en-US" w:eastAsia="zh-CN" w:bidi="ar-SA"/>
        </w:rPr>
        <w:t>办</w:t>
      </w:r>
      <w:r>
        <w:rPr>
          <w:rFonts w:hint="eastAsia" w:ascii="Times New Roman" w:hAnsi="Times New Roman" w:eastAsia="方正小标宋简体" w:cs="Times New Roman"/>
          <w:kern w:val="2"/>
          <w:sz w:val="44"/>
          <w:szCs w:val="24"/>
          <w:lang w:val="en-US" w:eastAsia="zh-CN" w:bidi="ar-SA"/>
        </w:rPr>
        <w:t>公厅关于印发广东省</w:t>
      </w:r>
    </w:p>
    <w:p w14:paraId="0CC4F8AA">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加快建设生物制造产业创新高地</w:t>
      </w:r>
    </w:p>
    <w:p w14:paraId="62F5A2BE">
      <w:pPr>
        <w:widowControl w:val="0"/>
        <w:spacing w:before="240" w:after="60" w:line="570" w:lineRule="exact"/>
        <w:ind w:firstLine="880"/>
        <w:jc w:val="center"/>
        <w:outlineLvl w:val="9"/>
        <w:rPr>
          <w:rFonts w:ascii="Times New Roman" w:hAnsi="Times New Roman" w:eastAsia="方正小标宋简体" w:cs="Times New Roman"/>
          <w:kern w:val="2"/>
          <w:sz w:val="44"/>
          <w:szCs w:val="24"/>
          <w:lang w:val="en-US" w:eastAsia="zh-CN" w:bidi="ar-SA"/>
        </w:rPr>
      </w:pPr>
      <w:r>
        <w:rPr>
          <w:rFonts w:hint="eastAsia" w:ascii="Times New Roman" w:hAnsi="Times New Roman" w:eastAsia="方正小标宋简体" w:cs="Times New Roman"/>
          <w:kern w:val="2"/>
          <w:sz w:val="44"/>
          <w:szCs w:val="24"/>
          <w:lang w:val="en-US" w:eastAsia="zh-CN" w:bidi="ar-SA"/>
        </w:rPr>
        <w:t>行动方案的通知</w:t>
      </w:r>
    </w:p>
    <w:p w14:paraId="46A28817">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粤办函〔2025〕6号</w:t>
      </w:r>
    </w:p>
    <w:p w14:paraId="02D7801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br w:type="textWrapping"/>
      </w:r>
    </w:p>
    <w:p w14:paraId="70528604">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各地级以上市人民政府，省政府各部门、各直属机构：</w:t>
      </w:r>
    </w:p>
    <w:p w14:paraId="1A1B1A35">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经省人民政府同意，现将《广东省加快建设生物制造产业创新高地行动方案》印发给你们，请结合实际认真贯彻落实。实施过程中遇到的问题，请径向省发展改革委反映。</w:t>
      </w:r>
    </w:p>
    <w:p w14:paraId="4AE4AE1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41C7E27F">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省政府办公厅</w:t>
      </w:r>
    </w:p>
    <w:p w14:paraId="2DB0B008">
      <w:pPr>
        <w:widowControl/>
        <w:shd w:val="clear" w:color="auto" w:fill="FFFFFF"/>
        <w:spacing w:before="150" w:line="480" w:lineRule="atLeast"/>
        <w:jc w:val="righ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2025年1月22日</w:t>
      </w:r>
    </w:p>
    <w:p w14:paraId="0EC0D70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016FA280">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广东省加快建设生物制造产业</w:t>
      </w:r>
    </w:p>
    <w:p w14:paraId="62AD6EC9">
      <w:pPr>
        <w:widowControl/>
        <w:shd w:val="clear" w:color="auto" w:fill="FFFFFF"/>
        <w:spacing w:line="480" w:lineRule="atLeast"/>
        <w:jc w:val="center"/>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创新高地行动方案</w:t>
      </w:r>
    </w:p>
    <w:p w14:paraId="1809071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p>
    <w:p w14:paraId="3ED2F9C6">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生物科技和生物制造是推动医药、化工、农业、食品、能源、环保等产业重构和绿色转型的重要手段，是发展新质生产力、推动高质量发展的重要支撑。当前，生物制造进入以合成生物等技术为代表的现代生物技术产业化应用新阶段，是新一轮科技革命和产业变革的战略必争领域。为深入贯彻落实党中央、国务院决策部署，加快推动生物制造产业高质量发展，开辟新领域新赛道，抢占生物经济未来战略制高点，建设具有全球竞争力的生物制造产业创新高地，制定本行动方案。</w:t>
      </w:r>
    </w:p>
    <w:p w14:paraId="46FB32BA">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一、总体目标</w:t>
      </w:r>
    </w:p>
    <w:p w14:paraId="74DCE5E4">
      <w:pPr>
        <w:widowControl/>
        <w:shd w:val="clear" w:color="auto" w:fill="FFFFFF"/>
        <w:spacing w:before="150"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到2027年，生物科技创新能力显著增强，制度环境更加完善，生物制造全产业链逐步构建，初步形成具有国际竞争力的生物制造产业集群；核心菌种自主率达到40%左右；打造3—5个国家级生物制造创新平台；创新药物、现代中药、保健品、化妆品、生物食品、生物燃料、生物材料等产品的生物技术经济性大幅提高，形成10家以上营收百亿元级企业，20家左右营收五十亿元级企业，生物制造产业总产值达到5000亿元左右。到2035年，生物科技和生物制造逐步成为发展新质生产力的主要动能之一，生物制造产业总产值迈上万亿元台阶，基本建成全国一流、世界知名的生物制造产业高地，助力我省经济高质量发展。</w:t>
      </w:r>
    </w:p>
    <w:p w14:paraId="58A2C857">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二</w:t>
      </w:r>
      <w:r>
        <w:rPr>
          <w:rFonts w:hint="eastAsia" w:ascii="Times New Roman" w:hAnsi="Times New Roman" w:eastAsia="方正黑体简体" w:cs="Times New Roman"/>
          <w:kern w:val="2"/>
          <w:sz w:val="32"/>
          <w:szCs w:val="32"/>
          <w:lang w:val="en-US" w:eastAsia="zh-CN" w:bidi="ar"/>
        </w:rPr>
        <w:t>、推进生物科技全链条创新</w:t>
      </w:r>
    </w:p>
    <w:p w14:paraId="4851EF89">
      <w:pPr>
        <w:widowControl/>
        <w:shd w:val="clear" w:color="auto" w:fill="FFFFFF"/>
        <w:spacing w:line="480" w:lineRule="atLeast"/>
        <w:rPr>
          <w:rFonts w:ascii="Times New Roman" w:hAnsi="Times New Roman" w:eastAsia="方正仿宋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（一）前沿颠覆性科技创新突破行动。</w:t>
      </w:r>
    </w:p>
    <w:p w14:paraId="688E7791">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深入推进生物科技关键共性技术、前沿引领技术、现代工程技术、颠覆性技术创新，推动生物技术（BT）与信息技术（IT）的深度融合，抢占生物制造科技创新战略制高点。</w:t>
      </w:r>
    </w:p>
    <w:p w14:paraId="5B44D08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加快推动基础研究与核心技术攻关。</w:t>
      </w:r>
      <w:r>
        <w:rPr>
          <w:rFonts w:hint="eastAsia" w:ascii="Times New Roman" w:hAnsi="Times New Roman" w:eastAsia="方正仿宋简体" w:cs="方正仿宋简体"/>
          <w:color w:val="424242"/>
          <w:kern w:val="0"/>
          <w:sz w:val="32"/>
          <w:szCs w:val="32"/>
          <w:shd w:val="clear" w:color="auto" w:fill="FFFFFF"/>
          <w:lang w:bidi="ar"/>
        </w:rPr>
        <w:t>围绕我省生物制造产业发展需求，聚焦前沿引领技术、颠覆性技术，在合成生物、基因技术、蛋白质解析、细胞工程、创新药研制等领域，依托省基础与应用基础研究基金、省重点领域研发计划等，支持有条件的高校、科研院所及企业开展有组织的基础研究和关键核心技术攻关，提升生物制造创新研发能力。（省发展改革委、教育厅、科技厅、工业和信息化厅、卫生健康委，省科学院、农科院，中国科学院广州分院等按职责分工负责。以下均需各地级以上市人民政府落实，不再重复列出）</w:t>
      </w:r>
    </w:p>
    <w:p w14:paraId="37A2C96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2. 推动BT与IT深度融合。</w:t>
      </w:r>
      <w:r>
        <w:rPr>
          <w:rFonts w:hint="eastAsia" w:ascii="Times New Roman" w:hAnsi="Times New Roman" w:eastAsia="方正仿宋简体" w:cs="方正仿宋简体"/>
          <w:color w:val="424242"/>
          <w:kern w:val="0"/>
          <w:sz w:val="32"/>
          <w:szCs w:val="32"/>
          <w:shd w:val="clear" w:color="auto" w:fill="FFFFFF"/>
          <w:lang w:bidi="ar"/>
        </w:rPr>
        <w:t>加快人工智能（AI）在生物医药、生物化工、生物农业、生物食品、生物能源、生物环保等各领域多元化应用，驱动生物制造向生物智造发展。建立健全生物数据资源体系和数据汇交共享机制，支持广州实验室高水平建设医疗健康大数据平台和国家生物数据中心体系粤港澳大湾区节点。用好全省算力网络和基础设施，提升生物数据的信息获取、汇交存储、安全管理、价值挖掘、开放共享等能力。（省发展改革委、科技厅、工业和信息化厅、卫生健康委、政务和数据局等按职责分工负责）</w:t>
      </w:r>
    </w:p>
    <w:p w14:paraId="2868352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（二）自主高效酶制剂与菌种攻关行动。</w:t>
      </w:r>
    </w:p>
    <w:p w14:paraId="212C7C39">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加强核心酶制剂、核心菌种、底盘细胞等领域技术创新，提高定向改造和优化设计水平，实现生物制造工具自主化，着力解决生物制造产业“芯片”供给问题。</w:t>
      </w:r>
    </w:p>
    <w:p w14:paraId="5E93148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开展高效酶制剂攻关。</w:t>
      </w:r>
      <w:r>
        <w:rPr>
          <w:rFonts w:hint="eastAsia" w:ascii="Times New Roman" w:hAnsi="Times New Roman" w:eastAsia="方正仿宋简体" w:cs="方正仿宋简体"/>
          <w:color w:val="424242"/>
          <w:kern w:val="0"/>
          <w:sz w:val="32"/>
          <w:szCs w:val="32"/>
          <w:shd w:val="clear" w:color="auto" w:fill="FFFFFF"/>
          <w:lang w:bidi="ar"/>
        </w:rPr>
        <w:t>大力发展酶分子设计的核心算法与工具，提高关键技术的人工设计和优化能力。推进工业酶制剂、基因编辑用酶、医疗诊断和制药用酶等自主可控。设计酶蛋白高效生产底盘菌种，开发新型固定化技术，实现工业酶的低成本规模化制备。（省教育厅、科技厅、工业和信息化厅，省科学院、农科院，中国科学院广州分院等按职责分工负责）</w:t>
      </w:r>
    </w:p>
    <w:p w14:paraId="7F43CABF">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提高核心菌种自主率。</w:t>
      </w:r>
      <w:r>
        <w:rPr>
          <w:rFonts w:hint="eastAsia" w:ascii="Times New Roman" w:hAnsi="Times New Roman" w:eastAsia="方正仿宋简体" w:cs="方正仿宋简体"/>
          <w:color w:val="424242"/>
          <w:kern w:val="0"/>
          <w:sz w:val="32"/>
          <w:szCs w:val="32"/>
          <w:shd w:val="clear" w:color="auto" w:fill="FFFFFF"/>
          <w:lang w:bidi="ar"/>
        </w:rPr>
        <w:t>强化新种选育、基因组编辑、高通量筛选等产业共性技术创新，统筹推进高版本模式底盘细胞和非模式底盘细胞的研发。围绕大宗发酵产品和高附加值产物，推动高产量、高转化率、高生产强度的重要工业菌种和底盘细胞产业化及应用示范，在迭代中加快提升核心菌种创新力和竞争力。（省科技厅、工业和信息化厅、市场监管局，省科学院、农科院，中国科学院广州分院等按职责分工负责）</w:t>
      </w:r>
    </w:p>
    <w:p w14:paraId="77EC5D6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（三）高端仪器和试剂攻坚行动。</w:t>
      </w:r>
    </w:p>
    <w:p w14:paraId="556E6D2B">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加快研发生物制造高端核心仪器装备，提升仪器装备自动化、数字化、智慧化水平，着力构建高端仪器装备应用生态，赋能生物制造产业。</w:t>
      </w:r>
    </w:p>
    <w:p w14:paraId="1EE9A15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推动高端核心仪器装备研发迭代。</w:t>
      </w:r>
      <w:r>
        <w:rPr>
          <w:rFonts w:hint="eastAsia" w:ascii="Times New Roman" w:hAnsi="Times New Roman" w:eastAsia="方正仿宋简体" w:cs="方正仿宋简体"/>
          <w:color w:val="424242"/>
          <w:kern w:val="0"/>
          <w:sz w:val="32"/>
          <w:szCs w:val="32"/>
          <w:shd w:val="clear" w:color="auto" w:fill="FFFFFF"/>
          <w:lang w:bidi="ar"/>
        </w:rPr>
        <w:t>开展透射电镜、高性能质谱仪、超大规模生物反应器等关键仪器装备自主研制，以整机带动核心零部件和关键共性技术突破，优化成套设备装配工艺。开发配套工业软件，发展多源感知、交互通讯、数据全链条管理等数字化技术，推进人工智能和数字孪生等前沿技术的应用，赋能高端仪器装备创新研发。加强细胞培养、分析、检测等试剂开发，促进试剂与科研仪器适配。（省发展改革委、教育厅、科技厅、工业和信息化厅、财政厅、国资委、市场监管局等按职责分工负责）</w:t>
      </w:r>
    </w:p>
    <w:p w14:paraId="4179F517">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营造高端仪器装备应用良好生态。</w:t>
      </w:r>
      <w:r>
        <w:rPr>
          <w:rFonts w:hint="eastAsia" w:ascii="Times New Roman" w:hAnsi="Times New Roman" w:eastAsia="方正仿宋简体" w:cs="方正仿宋简体"/>
          <w:color w:val="424242"/>
          <w:kern w:val="0"/>
          <w:sz w:val="32"/>
          <w:szCs w:val="32"/>
          <w:shd w:val="clear" w:color="auto" w:fill="FFFFFF"/>
          <w:lang w:bidi="ar"/>
        </w:rPr>
        <w:t>新建一批高端仪器装备共享服务中心和产业基地，落实首台（套）重大技术装备推广应用政策。加快推进全链条协同创新，建立产学研用创新联合体，共同推进关键技术攻关和应用，推行开放的生物制造高端仪器装备互联互通接口，创新一批应用场景，汇集产业上下游力量构建高端仪器装备生态体系。（省发展改革委、科技厅、工业和信息化厅等按职责分工负责）</w:t>
      </w:r>
    </w:p>
    <w:p w14:paraId="0A4FE68E">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（四）生物制造原料供给保障行动。</w:t>
      </w:r>
    </w:p>
    <w:p w14:paraId="669EF8FB">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深入实施“百千万工程”，落实绿美广东生态建设、海洋强省建设等工作部署，突破非粮生物质原料利用关键技术瓶颈，建立生物质原料处理供应体系，保障生物制造原料可靠充足供给。</w:t>
      </w:r>
    </w:p>
    <w:p w14:paraId="3E61BA7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加强生物制造原料供给。</w:t>
      </w:r>
      <w:r>
        <w:rPr>
          <w:rFonts w:hint="eastAsia" w:ascii="Times New Roman" w:hAnsi="Times New Roman" w:eastAsia="方正仿宋简体" w:cs="方正仿宋简体"/>
          <w:color w:val="424242"/>
          <w:kern w:val="0"/>
          <w:sz w:val="32"/>
          <w:szCs w:val="32"/>
          <w:shd w:val="clear" w:color="auto" w:fill="FFFFFF"/>
          <w:lang w:bidi="ar"/>
        </w:rPr>
        <w:t>推动秸秆、畜禽粪污等农林牧渔废弃物，糖蜜、酒糟等工业废弃物，鱼虾贝藻等海洋生物资源原料的可持续开发与高值化利用，加强深海、极地生物资源挖掘。开展浮萍、木薯、芒草等能源作物育种与种植技术创新，支持利用石漠化地、尾矿地等边际土地进行示范种植。突破二氧化碳、甲醇等一碳化合物微生物转化利用技术瓶颈，拓宽生物制造原料来源。（省发展改革委、科技厅、工业和信息化厅、自然资源厅、生态环境厅、农业农村厅、能源局、林业局，省科学院、农科院，中国科学院广州分院等按职责分工负责）</w:t>
      </w:r>
    </w:p>
    <w:p w14:paraId="56CEA84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强化原料初级转化能力。</w:t>
      </w:r>
      <w:r>
        <w:rPr>
          <w:rFonts w:hint="eastAsia" w:ascii="Times New Roman" w:hAnsi="Times New Roman" w:eastAsia="方正仿宋简体" w:cs="方正仿宋简体"/>
          <w:color w:val="424242"/>
          <w:kern w:val="0"/>
          <w:sz w:val="32"/>
          <w:szCs w:val="32"/>
          <w:shd w:val="clear" w:color="auto" w:fill="FFFFFF"/>
          <w:lang w:bidi="ar"/>
        </w:rPr>
        <w:t>优化生物质原料预处理工艺，提升转化效率。持续突破非粮生物质低成本糖化技术，推进糖化工艺标准化，加大木质纤维素、甲壳素等原料的微生物直接利用和多组分分离利用及深加工技术研发力度，建设一批生物炼制技术集成示范项目。鼓励社会资本建设农林牧渔废弃物收储、预处理、供应配套设施体系，探索构建新型运营机制，形成规模化原料供应基地。（省发展改革委、科技厅、工业和信息化厅、农业农村厅，省科学院、农科院等按职责分工负责）</w:t>
      </w:r>
    </w:p>
    <w:p w14:paraId="6B69023F">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（五）高水平创新转化平台建设行动。</w:t>
      </w:r>
    </w:p>
    <w:p w14:paraId="6ACC6A3C">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聚焦我省生物制造领域重大需求，完善生物制造科技创新转化平台体系，构筑生物制造产业创新策源高地，实现科技与市场“双向奔赴”。</w:t>
      </w:r>
    </w:p>
    <w:p w14:paraId="3C205C6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 建好用好重大科技基础设施。</w:t>
      </w:r>
      <w:r>
        <w:rPr>
          <w:rFonts w:hint="eastAsia" w:ascii="Times New Roman" w:hAnsi="Times New Roman" w:eastAsia="方正仿宋简体" w:cs="方正仿宋简体"/>
          <w:color w:val="424242"/>
          <w:kern w:val="0"/>
          <w:sz w:val="32"/>
          <w:szCs w:val="32"/>
          <w:shd w:val="clear" w:color="auto" w:fill="FFFFFF"/>
          <w:lang w:bidi="ar"/>
        </w:rPr>
        <w:t>持续稳定支持人类细胞谱系、合成生物、脑解析与脑模拟、国家基因库等国家及地方重大科技基础设施建设和运营管理。用好省科技创新战略专项资金，发挥大科学装置资源集聚和技术溢出效应，孵化生物制造关键技术，健全技术敏捷转化机制，实现“沿途下蛋、就地转化”。（省发展改革委、科技厅、工业和信息化厅、财政厅等按职责分工负责）</w:t>
      </w:r>
    </w:p>
    <w:p w14:paraId="07CFA715">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打造实验室科研创新体系。</w:t>
      </w:r>
      <w:r>
        <w:rPr>
          <w:rFonts w:hint="eastAsia" w:ascii="Times New Roman" w:hAnsi="Times New Roman" w:eastAsia="方正仿宋简体" w:cs="方正仿宋简体"/>
          <w:color w:val="424242"/>
          <w:kern w:val="0"/>
          <w:sz w:val="32"/>
          <w:szCs w:val="32"/>
          <w:shd w:val="clear" w:color="auto" w:fill="FFFFFF"/>
          <w:lang w:bidi="ar"/>
        </w:rPr>
        <w:t>发挥广州实验室引领作用，构建全国重点实验室、省实验室、国家及省临床医学研究中心、粤港澳联合实验室等组成的多层次、高水平生物制造科技创新平台体系，聚焦生物制造关键领域开展核心技术研发攻关和概念验证。强化重点实验室和顶级科学家团队等资源的协同合作，形成生物制造技术创新研发网络。（省发展改革委、科技厅、卫生健康委等按职责分工负责）</w:t>
      </w:r>
    </w:p>
    <w:p w14:paraId="28662B29">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b/>
          <w:bCs/>
          <w:color w:val="424242"/>
          <w:kern w:val="0"/>
          <w:sz w:val="32"/>
          <w:szCs w:val="32"/>
          <w:shd w:val="clear" w:color="auto" w:fill="FFFFFF"/>
          <w:lang w:bidi="ar"/>
        </w:rPr>
        <w:t>　　3. 布局重大产业创新平台。</w:t>
      </w:r>
      <w:r>
        <w:rPr>
          <w:rFonts w:hint="eastAsia" w:ascii="Times New Roman" w:hAnsi="Times New Roman" w:eastAsia="方正仿宋简体" w:cs="方正仿宋简体"/>
          <w:color w:val="424242"/>
          <w:kern w:val="0"/>
          <w:sz w:val="32"/>
          <w:szCs w:val="32"/>
          <w:shd w:val="clear" w:color="auto" w:fill="FFFFFF"/>
          <w:lang w:bidi="ar"/>
        </w:rPr>
        <w:t>建好用好国家生物制造产业创新中心，积极谋划建设一批重大创新平台，鼓励产业创新中心、技术创新中心、制造业创新中心、企业技术中心建设。围绕中试放大与规模化生产的关键环节，布局建设合成生物等中试平台，支持国内外企业在粤建设中试基地。全面完善生物等效性评价、检验检测、药品能力验证、注册申报等第三方公共技术服务平台。（省发展改革委、科技厅、工业和信息化厅、市场监管局、药监局等按职责分工负责）</w:t>
      </w:r>
    </w:p>
    <w:p w14:paraId="0B7E249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4. 建设特色专业化园区。</w:t>
      </w:r>
      <w:r>
        <w:rPr>
          <w:rFonts w:hint="eastAsia" w:ascii="Times New Roman" w:hAnsi="Times New Roman" w:eastAsia="方正仿宋简体" w:cs="方正仿宋简体"/>
          <w:color w:val="424242"/>
          <w:kern w:val="0"/>
          <w:sz w:val="32"/>
          <w:szCs w:val="32"/>
          <w:shd w:val="clear" w:color="auto" w:fill="FFFFFF"/>
          <w:lang w:bidi="ar"/>
        </w:rPr>
        <w:t>结合各地资源禀赋、产业基础和地区特色，在生物制造各领域打造一批集聚程度显著、规模效益明显、差异化发展、带动作用突出的专业园区。支持省生物医药产业园区做大做强做优做精。利用先进生物制造技术推动省现代农业产业园、食品产业园、循环经济产业园等提质升级。在生物医药、生物化工、生物农业、生物食品、生物能源、生物环保等领域打造一批先进示范园区。（省发展改革委、工业和信息化厅等按职责分工负责）</w:t>
      </w:r>
    </w:p>
    <w:p w14:paraId="1E52C51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（六）生物信息资源库体系升级行动。</w:t>
      </w:r>
    </w:p>
    <w:p w14:paraId="644EEE4A">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完善生物制造资源库和信息库建设，加强资源库的深度开发和产业转化赋能，发挥信息数据要素资源潜能，释放“1+1＞2”聚变效应，助力生物制造以质致远。</w:t>
      </w:r>
    </w:p>
    <w:p w14:paraId="5F6EE9B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构建生物制造资源库。</w:t>
      </w:r>
      <w:r>
        <w:rPr>
          <w:rFonts w:hint="eastAsia" w:ascii="Times New Roman" w:hAnsi="Times New Roman" w:eastAsia="方正仿宋简体" w:cs="方正仿宋简体"/>
          <w:color w:val="424242"/>
          <w:kern w:val="0"/>
          <w:sz w:val="32"/>
          <w:szCs w:val="32"/>
          <w:shd w:val="clear" w:color="auto" w:fill="FFFFFF"/>
          <w:lang w:bidi="ar"/>
        </w:rPr>
        <w:t>支持微生物与动植物种质、实验动物模型资源库、海洋生物资源库建设，建设大规模酶库、核心菌种与动植物等工程化底盘细胞库。鼓励科研院所与企业等联合建设资源应用中心，探索生物制造资源库的共管共享共开发新机制，增强下游企业对资源开发的主动权和主导权。重点打造一批从资源库到产品端的示范项目。（省发展改革委、工业和信息化厅、农业农村厅，省科学院、农科院等按职责分工负责）</w:t>
      </w:r>
    </w:p>
    <w:p w14:paraId="78748DC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建设生物制造信息库。</w:t>
      </w:r>
      <w:r>
        <w:rPr>
          <w:rFonts w:hint="eastAsia" w:ascii="Times New Roman" w:hAnsi="Times New Roman" w:eastAsia="方正仿宋简体" w:cs="方正仿宋简体"/>
          <w:color w:val="424242"/>
          <w:kern w:val="0"/>
          <w:sz w:val="32"/>
          <w:szCs w:val="32"/>
          <w:shd w:val="clear" w:color="auto" w:fill="FFFFFF"/>
          <w:lang w:bidi="ar"/>
        </w:rPr>
        <w:t>鼓励和支持相关高校、医院、科研院所和企业等建设微生物与动植物底盘细胞多组学、环境样本多组学、蛋白质结构与功能、RNA修饰与功能、过程数据等数据库。创制规模化、标准化生物元件、基因线路等合成生物工具库。完善呼吸系统疾病等基础人群队列资源，建设高传染性疾病等卫生健康数据库。（省发展改革委、科技厅、疾控局等按职责分工负责）</w:t>
      </w:r>
    </w:p>
    <w:p w14:paraId="796945F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（七）生物制造安全支撑护航行动。</w:t>
      </w:r>
    </w:p>
    <w:p w14:paraId="3F7566EA">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高质量推动高级别生物安全实验室及资源平台建设，完善生物制造研发和生产全链条生物安全监管体系，加强生物制造安全防控总体布局。</w:t>
      </w:r>
    </w:p>
    <w:p w14:paraId="7B92D6F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1. 完善生物安全基础设施。</w:t>
      </w:r>
      <w:r>
        <w:rPr>
          <w:rFonts w:hint="eastAsia" w:ascii="Times New Roman" w:hAnsi="Times New Roman" w:eastAsia="方正仿宋简体" w:cs="方正仿宋简体"/>
          <w:color w:val="424242"/>
          <w:kern w:val="0"/>
          <w:sz w:val="32"/>
          <w:szCs w:val="32"/>
          <w:shd w:val="clear" w:color="auto" w:fill="FFFFFF"/>
          <w:lang w:bidi="ar"/>
        </w:rPr>
        <w:t>加快构建高级别生物安全实验室平台体系。加强人类与动植物遗传资源、菌（毒）种保藏等战略资源平台的生物安全支撑能力，支持海关提升生物安全防控能力。建立生物安全资源、信息、技术互通共享网络，打造跨平台安全防控体系。（省发展改革委、农业农村厅、卫生健康委，海关总署广东分署等按职责分工负责）</w:t>
      </w:r>
    </w:p>
    <w:p w14:paraId="22D9796D">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2. 构建生物安全监管体系。</w:t>
      </w:r>
      <w:r>
        <w:rPr>
          <w:rFonts w:hint="eastAsia" w:ascii="Times New Roman" w:hAnsi="Times New Roman" w:eastAsia="方正仿宋简体" w:cs="方正仿宋简体"/>
          <w:color w:val="424242"/>
          <w:kern w:val="0"/>
          <w:sz w:val="32"/>
          <w:szCs w:val="32"/>
          <w:shd w:val="clear" w:color="auto" w:fill="FFFFFF"/>
          <w:lang w:bidi="ar"/>
        </w:rPr>
        <w:t>强化生物资源库科学管控，建立生物技术研发和生产过程的伦理、环境及生物性安全风险评估与防控体系，推动全链条监管。探索建立政府、企业、研发机构间生物安全统筹协调机制，完善工业生物制造安全管理制度和产品认证体系。积极参与国际国内生物安全标准规范研究与制定。（省科技厅、工业和信息化厅、生态环境厅、农业农村厅、卫生健康委、应急管理厅、市场监管局、林业局、药监局、疾控局，海关总署广东分署等按职责分工负责）</w:t>
      </w:r>
    </w:p>
    <w:p w14:paraId="5B997F27">
      <w:pPr>
        <w:keepNext/>
        <w:keepLines/>
        <w:widowControl/>
        <w:spacing w:before="240" w:after="80" w:line="570" w:lineRule="exact"/>
        <w:ind w:firstLine="640" w:firstLineChars="200"/>
        <w:jc w:val="left"/>
        <w:outlineLvl w:val="0"/>
        <w:rPr>
          <w:rFonts w:ascii="Times New Roman" w:hAnsi="Times New Roman" w:eastAsia="方正黑体简体" w:cs="Times New Roman"/>
          <w:kern w:val="2"/>
          <w:sz w:val="32"/>
          <w:szCs w:val="32"/>
          <w:lang w:val="en-US" w:eastAsia="zh-CN" w:bidi="ar-SA"/>
        </w:rPr>
      </w:pPr>
      <w:r>
        <w:rPr>
          <w:rFonts w:hint="eastAsia" w:ascii="Times New Roman" w:hAnsi="Times New Roman" w:eastAsia="方正黑体简体" w:cs="Times New Roman"/>
          <w:kern w:val="2"/>
          <w:sz w:val="32"/>
          <w:szCs w:val="32"/>
          <w:lang w:val="en-US" w:eastAsia="zh-CN" w:bidi="ar-SA"/>
        </w:rPr>
        <w:t>三、推动生物制造深度赋能千行百业</w:t>
      </w:r>
    </w:p>
    <w:p w14:paraId="6952F4B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（一）生物制造+医药。</w:t>
      </w:r>
    </w:p>
    <w:p w14:paraId="10C4D758">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以合成生物、人工智能等前沿技术赋能传统医药行业，全链条支持创新药物、先进诊疗、现代中药高质量发展，推动生物医药产业迈上新台阶。</w:t>
      </w:r>
    </w:p>
    <w:p w14:paraId="159156C3">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创新药物。</w:t>
      </w:r>
      <w:r>
        <w:rPr>
          <w:rFonts w:hint="eastAsia" w:ascii="Times New Roman" w:hAnsi="Times New Roman" w:eastAsia="方正仿宋简体" w:cs="方正仿宋简体"/>
          <w:color w:val="424242"/>
          <w:kern w:val="0"/>
          <w:sz w:val="32"/>
          <w:szCs w:val="32"/>
          <w:shd w:val="clear" w:color="auto" w:fill="FFFFFF"/>
          <w:lang w:bidi="ar"/>
        </w:rPr>
        <w:t>面向重大疾病领域，围绕新靶点、新机制、新结构、新技术，重点开发抗体药物、细胞与基因治疗、核酸药物、新型生物制品、重组蛋白与多肽、天然产物药物等新型药物，鼓励活菌药物的研发与应用。推动生物制品分段生产试点落地实施，支持新型生物制品等在我省实现产业化。发布我省已获批生物医药创新药产品目录，按照“应配尽配”原则，推动入院应用。加快培育AI制药等产业新赛道。（省发展改革委、科技厅、工业和信息化厅、卫生健康委、医保局、药监局等按职责分工负责）</w:t>
      </w:r>
    </w:p>
    <w:p w14:paraId="4674C28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先进诊疗。</w:t>
      </w:r>
      <w:r>
        <w:rPr>
          <w:rFonts w:hint="eastAsia" w:ascii="Times New Roman" w:hAnsi="Times New Roman" w:eastAsia="方正仿宋简体" w:cs="方正仿宋简体"/>
          <w:color w:val="424242"/>
          <w:kern w:val="0"/>
          <w:sz w:val="32"/>
          <w:szCs w:val="32"/>
          <w:shd w:val="clear" w:color="auto" w:fill="FFFFFF"/>
          <w:lang w:bidi="ar"/>
        </w:rPr>
        <w:t>围绕产前检查、肿瘤早筛、伴随诊断、传染病检测以及基因检测，提高酶联免疫、化学发光、快速诊断、分子诊断、临床生化等诊断试剂核心原料性能。推动脑机接口技术在诊疗等领域应用。研制一批具有自主知识产权的高质量体外诊断产品，加快新技术的推广，有效提升疾病精准诊断与治疗水平。发展壮大第三方检测产业。（省发展改革委、科技厅、卫生健康委、医保局、药监局等按职责分工负责）</w:t>
      </w:r>
    </w:p>
    <w:p w14:paraId="3BEB7EA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现代中药。</w:t>
      </w:r>
      <w:r>
        <w:rPr>
          <w:rFonts w:hint="eastAsia" w:ascii="Times New Roman" w:hAnsi="Times New Roman" w:eastAsia="方正仿宋简体" w:cs="方正仿宋简体"/>
          <w:color w:val="424242"/>
          <w:kern w:val="0"/>
          <w:sz w:val="32"/>
          <w:szCs w:val="32"/>
          <w:shd w:val="clear" w:color="auto" w:fill="FFFFFF"/>
          <w:lang w:bidi="ar"/>
        </w:rPr>
        <w:t>保护和利用好传统中药资源，借助人工智能算法，实现中药药效成分的快速筛选和分析。鼓励研究合成生物在中药资源可持续开发利用中的应用，拓宽中草药活性成分来源，探索发展中草药囊泡研究与应用。利用生物技术推动传统植物药、动物药等临床应用和转化的快速发展。（省发展改革委、中医药局、药监局按职责分工负责）</w:t>
      </w:r>
    </w:p>
    <w:p w14:paraId="6581A87D">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（二）生物制造+化工。</w:t>
      </w:r>
    </w:p>
    <w:p w14:paraId="2319066B">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聚焦生物基化学品、生物基材料、美妆医美和活体功能材料，加强生物路径设计与合成生物技术创新，促进生物基化学品和材料全产业链协同发展。</w:t>
      </w:r>
    </w:p>
    <w:p w14:paraId="4097E9A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精细化学品。</w:t>
      </w:r>
      <w:r>
        <w:rPr>
          <w:rFonts w:hint="eastAsia" w:ascii="Times New Roman" w:hAnsi="Times New Roman" w:eastAsia="方正仿宋简体" w:cs="方正仿宋简体"/>
          <w:color w:val="424242"/>
          <w:kern w:val="0"/>
          <w:sz w:val="32"/>
          <w:szCs w:val="32"/>
          <w:shd w:val="clear" w:color="auto" w:fill="FFFFFF"/>
          <w:lang w:bidi="ar"/>
        </w:rPr>
        <w:t>推动传统石化产业向产业链高端延伸，大力发展生物基精细化学品，提升产品附加值。支持精细化学品行业企业联合科研院所，开展生物法高效合成路线设计及定制合成化学品研发，拓展生物合成工艺在生产中的应用。鼓励企业依托自有生产线开展生物合成中试示范，打造生物基精细化学品生产体系，逐步提升生物基产品的市场占有率。（省发展改革委、科技厅、工业和信息化厅、药监局等按职责分工负责）</w:t>
      </w:r>
    </w:p>
    <w:p w14:paraId="3309F33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2. 大宗化学品与材料。</w:t>
      </w:r>
      <w:r>
        <w:rPr>
          <w:rFonts w:hint="eastAsia" w:ascii="Times New Roman" w:hAnsi="Times New Roman" w:eastAsia="方正仿宋简体" w:cs="方正仿宋简体"/>
          <w:color w:val="424242"/>
          <w:kern w:val="0"/>
          <w:sz w:val="32"/>
          <w:szCs w:val="32"/>
          <w:shd w:val="clear" w:color="auto" w:fill="FFFFFF"/>
          <w:lang w:bidi="ar"/>
        </w:rPr>
        <w:t>发挥我省科技、制造和市场优势，支持企业联合科研机构开展生物基大宗化学品的原料非粮化和高效合成技术及制造工艺研发，加强生物基材料产业化应用，加快推动生物基塑料、橡胶、纤维等下游制品在塑料包装、日化消费、交通物流、环保建材等行业领域的推广应用。在原料条件较好的地区建设生物基材料先进技术工程化示范项目。加快推动活体功能材料新技术新产品走向市场。（省发展改革委、科技厅、工业和信息化厅、生态环境厅等按职责分工负责）</w:t>
      </w:r>
    </w:p>
    <w:p w14:paraId="289E895A">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美妆医美。</w:t>
      </w:r>
      <w:r>
        <w:rPr>
          <w:rFonts w:hint="eastAsia" w:ascii="Times New Roman" w:hAnsi="Times New Roman" w:eastAsia="方正仿宋简体" w:cs="方正仿宋简体"/>
          <w:color w:val="424242"/>
          <w:kern w:val="0"/>
          <w:sz w:val="32"/>
          <w:szCs w:val="32"/>
          <w:shd w:val="clear" w:color="auto" w:fill="FFFFFF"/>
          <w:lang w:bidi="ar"/>
        </w:rPr>
        <w:t>突破护肤品原料量产技术瓶颈，开发高端化妆品核心原料的微生物和酶法等生物技术高效合成路线，推动我省美妆产品专业化、品牌化、国际化发展。加强和规范医美行业监管，积极发展医美原料敷料，支持生物类医美产品产业化，探索个性化定制医美服务。（省发展改革委、科技厅、工业和信息化厅、卫生健康委、市场监管局、药监局按职责分工负责）</w:t>
      </w:r>
    </w:p>
    <w:p w14:paraId="709F1DA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（三）生物制造+农业。</w:t>
      </w:r>
    </w:p>
    <w:p w14:paraId="50C0FDAD">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大力推动生物技术在农业领域的融合发展，提高核心种源自给率，加快推进饲料原料减量替代，夯实粮食安全根基，发展面向现代化的生物农业。</w:t>
      </w:r>
    </w:p>
    <w:p w14:paraId="1937F571">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生物育种。</w:t>
      </w:r>
      <w:r>
        <w:rPr>
          <w:rFonts w:hint="eastAsia" w:ascii="Times New Roman" w:hAnsi="Times New Roman" w:eastAsia="方正仿宋简体" w:cs="方正仿宋简体"/>
          <w:color w:val="424242"/>
          <w:kern w:val="0"/>
          <w:sz w:val="32"/>
          <w:szCs w:val="32"/>
          <w:shd w:val="clear" w:color="auto" w:fill="FFFFFF"/>
          <w:lang w:bidi="ar"/>
        </w:rPr>
        <w:t>实施“粤强种芯”工程，开展种业联合攻关，做大做强优势特色种业企业，高标准建设现代种业基地。发展快繁育种、航天育种、C4作物高光效育种技术，积极开展广东特色粮油作物、畜禽、蔬菜、水果及水产品的遗传解析、良种攻关，推广绿色高效的科学种养殖技术。筛选和培育食药用菌新品种等农业微生物优势菌种，促进食物来源多元化。（省农业农村厅，省农科院、科学院等按职责分工负责）</w:t>
      </w:r>
    </w:p>
    <w:p w14:paraId="39889F6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　2. 生物饲料和生物肥料。</w:t>
      </w:r>
      <w:r>
        <w:rPr>
          <w:rFonts w:hint="eastAsia" w:ascii="Times New Roman" w:hAnsi="Times New Roman" w:eastAsia="方正仿宋简体" w:cs="方正仿宋简体"/>
          <w:color w:val="424242"/>
          <w:kern w:val="0"/>
          <w:sz w:val="32"/>
          <w:szCs w:val="32"/>
          <w:shd w:val="clear" w:color="auto" w:fill="FFFFFF"/>
          <w:lang w:bidi="ar"/>
        </w:rPr>
        <w:t>持续实施饲用豆粕减量替代行动，支持探索浮萍等新型蛋白饲料资源的开发利用。推动农副产品和有机废弃物的高值化利用，发展生物发酵饲料，支持新型高效饲料添加剂创制与产业化。加快发展海洋生物饲料产业。实施化肥减量增效和有机肥替代利用行动，大力推广新型农用微生物菌剂、复合微生物肥料、功能性生物有机肥和微生物土壤改良产品。鼓励省内推广生物饲料和生物饲料添加剂的生产应用，加快制定相关规范和标准。（省发展改革委、农业农村厅，省农科院等按职责分工负责）</w:t>
      </w:r>
    </w:p>
    <w:p w14:paraId="3B5B5C3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农业绿色防控。</w:t>
      </w:r>
      <w:r>
        <w:rPr>
          <w:rFonts w:hint="eastAsia" w:ascii="Times New Roman" w:hAnsi="Times New Roman" w:eastAsia="方正仿宋简体" w:cs="方正仿宋简体"/>
          <w:color w:val="424242"/>
          <w:kern w:val="0"/>
          <w:sz w:val="32"/>
          <w:szCs w:val="32"/>
          <w:shd w:val="clear" w:color="auto" w:fill="FFFFFF"/>
          <w:lang w:bidi="ar"/>
        </w:rPr>
        <w:t>推进微生物农药、植物源农药、生物化学农药在植物生长调节、植物抗性诱导、植物病虫害生物防控等方面的应用。鼓励研创新型生物兽药，攻关新剂型，提升利用度。加速动物病原检测试剂的研发推广，促进禽流感、猪繁殖与呼吸综合征、腹泻病等重大动物疫病新型疫苗和天然活性物质绿色防控产品研发与产业化。统筹建立全省农药、兽药等投入品追溯系统，集成推广全程绿色防控与专业化防治技术模式。（省农业农村厅，省农科院等按职责分工负责）</w:t>
      </w:r>
    </w:p>
    <w:p w14:paraId="5A903216">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（四）生物制造+食品。</w:t>
      </w:r>
    </w:p>
    <w:p w14:paraId="7EB08C50">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践行“大食物观”理念，鼓励企业应用生物技术加快功能型、健康型、风味型食品开发，拓展食物来源和创新生产方式，实现现代食品产业能级与产业层级双跃升。</w:t>
      </w:r>
    </w:p>
    <w:p w14:paraId="0B4C6840">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健康食品。</w:t>
      </w:r>
      <w:r>
        <w:rPr>
          <w:rFonts w:hint="eastAsia" w:ascii="Times New Roman" w:hAnsi="Times New Roman" w:eastAsia="方正仿宋简体" w:cs="方正仿宋简体"/>
          <w:color w:val="424242"/>
          <w:kern w:val="0"/>
          <w:sz w:val="32"/>
          <w:szCs w:val="32"/>
          <w:shd w:val="clear" w:color="auto" w:fill="FFFFFF"/>
          <w:lang w:bidi="ar"/>
        </w:rPr>
        <w:t>深入推进“粤食越好·粤品世界”食品工业提质升级行动，以生物技术改良传统食品品质，开发低嘌呤啤酒、营养特色酱油、功能型乳制品等新型产品，形成一批名品爆品。着力发展保健食品、特殊医学用途配方食品、运动营养食品等健康食品。积极开发满足老年人、婴童和特殊人群等消费群体多元化需求的功能食品。支持岭南特色药食同源活性成分的食品和保健食品开发，充分挖掘健康价值。推进植物源精油、多酚、低聚糖、抗菌肽等食品添加剂的研发和产业化。（省工业和信息化厅、卫生健康委、市场监管局，省农科院等按职责分工负责）</w:t>
      </w:r>
    </w:p>
    <w:p w14:paraId="380B720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未来食品。</w:t>
      </w:r>
      <w:r>
        <w:rPr>
          <w:rFonts w:hint="eastAsia" w:ascii="Times New Roman" w:hAnsi="Times New Roman" w:eastAsia="方正仿宋简体" w:cs="方正仿宋简体"/>
          <w:color w:val="424242"/>
          <w:kern w:val="0"/>
          <w:sz w:val="32"/>
          <w:szCs w:val="32"/>
          <w:shd w:val="clear" w:color="auto" w:fill="FFFFFF"/>
          <w:lang w:bidi="ar"/>
        </w:rPr>
        <w:t>开展微生物蛋白、新型植物蛋白、细胞培养肉、蛋白肉、生物合成食品等技术的源头创新和科技攻关，培育发展未来食品产业。在成分、口感、功效、消费场景、包装设计等方面加大创新力度，通过“生物制造”“绿色高端”等特色IP加快市场拓展。抢抓宠物食品市场快速发展机遇，推动未来生物食品率先在猫、犬、观赏鸟、观赏鱼、龟和兔等宠物食品中应用熟化。（省发展改革委、科技厅、工业和信息化厅、农业农村厅、市场监管局等按职责分工负责）</w:t>
      </w:r>
    </w:p>
    <w:p w14:paraId="42804D83">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（五）生物制造+能源。</w:t>
      </w:r>
    </w:p>
    <w:p w14:paraId="32ED30F2">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围绕“双碳”国家战略目标和构建新型能源体系要求，因地制宜推进生物能源产品的多元化开发与多场景应用，逐步提高各类生物能源的生产和消费比例。</w:t>
      </w:r>
    </w:p>
    <w:p w14:paraId="551B28AC">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生物液体燃料。</w:t>
      </w:r>
      <w:r>
        <w:rPr>
          <w:rFonts w:hint="eastAsia" w:ascii="Times New Roman" w:hAnsi="Times New Roman" w:eastAsia="方正仿宋简体" w:cs="方正仿宋简体"/>
          <w:color w:val="424242"/>
          <w:kern w:val="0"/>
          <w:sz w:val="32"/>
          <w:szCs w:val="32"/>
          <w:shd w:val="clear" w:color="auto" w:fill="FFFFFF"/>
          <w:lang w:bidi="ar"/>
        </w:rPr>
        <w:t>持续推进生物柴油、生物航油、生物甲醇、生物丁醇、燃料乙醇等生物能源技术研发和更新迭代，加强生物炼制专用设备研发，鼓励生物能源与高附加值产品的协同炼制。支持生物液体燃料在交通、农业生产等重点场景的应用，加快产业化示范项目建设。推进广州、佛山等国家生物柴油推广应用试点示范。鼓励生物液体燃料企业参与国际航空航运碳减排市场机制。（省发展改革委、工业和信息化厅、能源局等按职责分工负责）</w:t>
      </w:r>
    </w:p>
    <w:p w14:paraId="36E4E474">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b/>
          <w:bCs/>
          <w:color w:val="424242"/>
          <w:kern w:val="0"/>
          <w:sz w:val="32"/>
          <w:szCs w:val="32"/>
          <w:shd w:val="clear" w:color="auto" w:fill="FFFFFF"/>
          <w:lang w:bidi="ar"/>
        </w:rPr>
        <w:t>　　2. 生物天然气。</w:t>
      </w:r>
      <w:r>
        <w:rPr>
          <w:rFonts w:hint="eastAsia" w:ascii="Times New Roman" w:hAnsi="Times New Roman" w:eastAsia="方正仿宋简体" w:cs="方正仿宋简体"/>
          <w:color w:val="424242"/>
          <w:kern w:val="0"/>
          <w:sz w:val="32"/>
          <w:szCs w:val="32"/>
          <w:shd w:val="clear" w:color="auto" w:fill="FFFFFF"/>
          <w:lang w:bidi="ar"/>
        </w:rPr>
        <w:t>加强厌氧生物强化等生物天然气提质增效技术开发，提升专用装备标准化制造水平。在畜禽养殖集中区和厨余垃圾富集区，加快建立“生物天然气+生物有机肥”示范项目。引导高耗能企业开展生物天然气清洁能源替代，鼓励开展生物天然气生产副产物高值化利用。（省发展改革委、工业和信息化厅、农业农村厅、能源局等按职责分工负责）</w:t>
      </w:r>
    </w:p>
    <w:p w14:paraId="3FD49F59">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3. 生物制氢。</w:t>
      </w:r>
      <w:r>
        <w:rPr>
          <w:rFonts w:hint="eastAsia" w:ascii="Times New Roman" w:hAnsi="Times New Roman" w:eastAsia="方正仿宋简体" w:cs="方正仿宋简体"/>
          <w:color w:val="424242"/>
          <w:kern w:val="0"/>
          <w:sz w:val="32"/>
          <w:szCs w:val="32"/>
          <w:shd w:val="clear" w:color="auto" w:fill="FFFFFF"/>
          <w:lang w:bidi="ar"/>
        </w:rPr>
        <w:t>持续推进生物制氢储氢、生物燃料电池等技术研发和迭代，加强专业设备研发制造，为商业化推广应用提供技术和装备支持。鼓励开展生物制氢工程示范，拓宽省内绿氢供给渠道，结合燃料电池汽车示范城市群建设和广湛氢能高速示范项目实施，加大推广应用力度。探索开发未来生物能源、新型生物燃料电池技术。（省发展改革委、科技厅、工业和信息化厅、能源局等按职责分工负责）</w:t>
      </w:r>
    </w:p>
    <w:p w14:paraId="4F461BB2">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（六）生物制造+环保。</w:t>
      </w:r>
    </w:p>
    <w:p w14:paraId="6AF15960">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推进先进生物技术在环境领域的融合应用，加大应用场景覆盖范围。持续提升生物环保技术供给和服务水平，为绿色低碳发展提供有力支撑。</w:t>
      </w:r>
    </w:p>
    <w:p w14:paraId="4CDE2A6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1. 水污染生物治理。</w:t>
      </w:r>
      <w:r>
        <w:rPr>
          <w:rFonts w:hint="eastAsia" w:ascii="Times New Roman" w:hAnsi="Times New Roman" w:eastAsia="方正仿宋简体" w:cs="方正仿宋简体"/>
          <w:color w:val="424242"/>
          <w:kern w:val="0"/>
          <w:sz w:val="32"/>
          <w:szCs w:val="32"/>
          <w:shd w:val="clear" w:color="auto" w:fill="FFFFFF"/>
          <w:lang w:bidi="ar"/>
        </w:rPr>
        <w:t>加强污水脱氮除磷、难降解有机物去除等抗逆高效微生物和酶制剂的开发及应用。开展专用生物制剂、水生生物在面源污染控制、黑臭水体消除等领域的示范应用。鼓励运用生物技术实现废水、活性污泥等的资源化利用。探索建立多维度生物传感与环境监测体系。（省工业和信息化厅、生态环境厅、住房城乡建设厅、农业农村厅，省科学院等按职责分工负责）</w:t>
      </w:r>
    </w:p>
    <w:p w14:paraId="7124AAB4">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2. 土壤与海洋污染控制。</w:t>
      </w:r>
      <w:r>
        <w:rPr>
          <w:rFonts w:hint="eastAsia" w:ascii="Times New Roman" w:hAnsi="Times New Roman" w:eastAsia="方正仿宋简体" w:cs="方正仿宋简体"/>
          <w:color w:val="424242"/>
          <w:kern w:val="0"/>
          <w:sz w:val="32"/>
          <w:szCs w:val="32"/>
          <w:shd w:val="clear" w:color="auto" w:fill="FFFFFF"/>
          <w:lang w:bidi="ar"/>
        </w:rPr>
        <w:t>加强基于华南地区尾矿和土壤污染特性的生物修复技术开发及应用示范，着力完善生态修复产业体系。强化海水养殖污染生物治理，支持利用微生物技术开展养殖池塘生态化改造示范，加速生物技术与美丽海湾建设融合。（省工业和信息化厅、自然资源厅、生态环境厅、农业农村厅，省科学院等按职责分工负责）</w:t>
      </w:r>
    </w:p>
    <w:p w14:paraId="45ABB5F9">
      <w:pPr>
        <w:widowControl/>
        <w:shd w:val="clear" w:color="auto" w:fill="FFFFFF"/>
        <w:spacing w:line="480" w:lineRule="atLeast"/>
        <w:ind w:firstLine="643"/>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b/>
          <w:bCs/>
          <w:color w:val="424242"/>
          <w:kern w:val="0"/>
          <w:sz w:val="32"/>
          <w:szCs w:val="32"/>
          <w:shd w:val="clear" w:color="auto" w:fill="FFFFFF"/>
          <w:lang w:bidi="ar"/>
        </w:rPr>
        <w:t>　　3. 废气与固体废物处置。</w:t>
      </w:r>
      <w:r>
        <w:rPr>
          <w:rFonts w:hint="eastAsia" w:ascii="Times New Roman" w:hAnsi="Times New Roman" w:eastAsia="方正仿宋简体" w:cs="方正仿宋简体"/>
          <w:color w:val="424242"/>
          <w:kern w:val="0"/>
          <w:sz w:val="32"/>
          <w:szCs w:val="32"/>
          <w:shd w:val="clear" w:color="auto" w:fill="FFFFFF"/>
          <w:lang w:bidi="ar"/>
        </w:rPr>
        <w:t>加速固体废物生物转化创新技术的开发，加大生物技术在构建废弃物循环利用体系中的应用，推动第三方收集、储运、集中处置服务，畅通资源化综合利用渠道。鼓励生物制剂在低浓度挥发性有机物废气和恶臭异味治理中的应用。（省工业和信息化厅、生态环境厅、住房城乡建设厅等按职责分工负责）</w:t>
      </w:r>
    </w:p>
    <w:p w14:paraId="0667537E">
      <w:pPr>
        <w:widowControl/>
        <w:shd w:val="clear" w:color="auto" w:fill="FFFFFF"/>
        <w:spacing w:line="480" w:lineRule="atLeast"/>
        <w:rPr>
          <w:rFonts w:ascii="Times New Roman" w:hAnsi="Times New Roman" w:eastAsia="方正黑体简体" w:cs="Times New Roman"/>
          <w:sz w:val="32"/>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仿宋简体" w:cs="方正仿宋简体"/>
          <w:b/>
          <w:bCs/>
          <w:color w:val="424242"/>
          <w:kern w:val="0"/>
          <w:sz w:val="32"/>
          <w:szCs w:val="32"/>
          <w:shd w:val="clear" w:color="auto" w:fill="FFFFFF"/>
          <w:lang w:bidi="ar"/>
        </w:rPr>
        <w:t>4. 烟气二氧化碳利用。</w:t>
      </w:r>
      <w:r>
        <w:rPr>
          <w:rFonts w:hint="eastAsia" w:ascii="Times New Roman" w:hAnsi="Times New Roman" w:eastAsia="方正仿宋简体" w:cs="方正仿宋简体"/>
          <w:color w:val="424242"/>
          <w:kern w:val="0"/>
          <w:sz w:val="32"/>
          <w:szCs w:val="32"/>
          <w:shd w:val="clear" w:color="auto" w:fill="FFFFFF"/>
          <w:lang w:bidi="ar"/>
        </w:rPr>
        <w:t>推动合成生物在烟气二氧化碳利用中的应用，持续突破二氧化碳生物转化技术。依托惠州大亚湾石化基地、湛江东海岛石化产业园区、粤东粤西地区沿海高性能火电机组等沿海二氧化碳排放源富集区，打造固定源二氧化碳生物利用技术应用示范，加速工业品制造过程低碳化转型。（省发展改革委、工业和信息化厅、生态环境厅等按职责分工负责）</w:t>
      </w:r>
    </w:p>
    <w:p w14:paraId="1D6AADA3">
      <w:pPr>
        <w:keepNext/>
        <w:keepLines/>
        <w:widowControl/>
        <w:spacing w:before="240" w:after="80" w:line="570" w:lineRule="exact"/>
        <w:ind w:firstLine="640" w:firstLineChars="200"/>
        <w:jc w:val="left"/>
        <w:outlineLvl w:val="0"/>
        <w:rPr>
          <w:rFonts w:ascii="Times New Roman" w:hAnsi="Times New Roman" w:eastAsia="方正仿宋简体" w:cs="方正仿宋简体"/>
          <w:color w:val="424242"/>
          <w:kern w:val="0"/>
          <w:sz w:val="32"/>
          <w:szCs w:val="32"/>
          <w:shd w:val="clear" w:color="auto" w:fill="FFFFFF"/>
          <w:lang w:val="en-US" w:eastAsia="zh-CN" w:bidi="ar-SA"/>
        </w:rPr>
      </w:pPr>
      <w:r>
        <w:rPr>
          <w:rFonts w:hint="eastAsia" w:ascii="Times New Roman" w:hAnsi="Times New Roman" w:eastAsia="方正黑体简体" w:cs="Times New Roman"/>
          <w:kern w:val="2"/>
          <w:sz w:val="32"/>
          <w:szCs w:val="32"/>
          <w:lang w:val="en-US" w:eastAsia="zh-CN" w:bidi="ar-SA"/>
        </w:rPr>
        <w:t>四、强化支撑保障措施</w:t>
      </w:r>
    </w:p>
    <w:p w14:paraId="4111C90D">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（一）加强组织领导。</w:t>
      </w:r>
    </w:p>
    <w:p w14:paraId="143852F7">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各地、各有关部门要高度重视生物科技和生物制造产业发展工作，将其作为培育新质生产力的重要抓手，因地制宜推进相关领域发展。建立健全全省生物制造产业统筹协调和常态化推进工作机制，统筹方案实施，监测评估实施情况，强化目标任务督导。研究建立生物制造产业统计监测体系。健全专家咨询制度，发挥生物制造相关领域专家力量，为全省生物制造产业科技发展提供智力支撑。（省发展改革委牵头，省各有关单位按职责分工负责）</w:t>
      </w:r>
    </w:p>
    <w:p w14:paraId="1504DD66">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（二）优化产业布局。</w:t>
      </w:r>
    </w:p>
    <w:p w14:paraId="05DADCE0">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加强统筹规划布局，加快构建以广州、深圳为产业科技创新策源地、珠三角地区为产业核心发展区、粤东粤西粤北为生产制造承载区和原料供应基地的生物制造产业协同发展格局，支持有条件地区创建一批国家、省级生物科技和生物制造产业先导区。建立省市联动工作机制，推进生物制造重大项目、重大平台、重点产业园区建设。支持粤东粤西粤北联合珠三角有关地市，因地制宜建设若干产业科创“正向+反向”飞地，促进生物制造科技成果转化和企业孵化。（省发展改革委牵头，省各有关单位按职责分工负责）</w:t>
      </w:r>
    </w:p>
    <w:p w14:paraId="366B68E1">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（三）加大政策扶持。</w:t>
      </w:r>
    </w:p>
    <w:p w14:paraId="1AF545B5">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各地、各有关部门要围绕生物制造重点领域和薄弱环节，制定出台务实管用政策措施，加强新领域新赛道制度供给，加快形成支持生物制造全产业链条发展的政策制度体系。面向重点领域公开征集并发布一批技术水平先进、经济效益明显、推广价值突出的生物制造标志性产品名单。落实生物制造产品碳足迹管理政策，试点将绿色低碳的生物制造产品纳入碳排放自愿减排交易市场。将符合条件的生物基材料纳入重点新材料首批次应用示范指导目录，鼓励机关企事业单位加大对生物基产品采购力度。深化体制机制创新，在省事权范围内对生物医药、生物食品等建立提前介入机制和特别审查程序，进一步优化生物制造重点产品审批时限和流程。（省发展改革委、科技厅、工业和信息化厅、财政厅、生态环境厅、市场监管局、药监局等按职责分工负责）</w:t>
      </w:r>
    </w:p>
    <w:p w14:paraId="34A9D2FB">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（四）健全要素支撑。</w:t>
      </w:r>
    </w:p>
    <w:p w14:paraId="22DD9C57">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将符合条件的重大项目列入国家、省重大项目清单，在规划选址、政策扶持、立项审批等方面给予政策支持，提高用能、用地、用林、用海、用数等要素保障水平。建立生物制造产业投入增长机制，强化财经政策扶持力度，在政府投资基金、地方政府专项债、超长期特别国债等方面给予必要的支持。以市场化方式研究组建省生物制造产业引导基金，鼓励社会资本参与。加大引进高层次人才，构建顶尖生物科技人才库，加强生物制造学科建设，培养生物制造产业应用型、复合型人才。加快生物制造原创性成果专利布局，推进知识产权保护运用。（省委组织部、金融办，省发展改革委、教育厅、科技厅、工业和信息化厅、财政厅、人力资源社会保障厅、自然资源厅、市场监管局、药监局等按职责分工负责）</w:t>
      </w:r>
    </w:p>
    <w:p w14:paraId="71158281">
      <w:pPr>
        <w:shd w:val="clear" w:color="auto" w:fill="FFFFFF"/>
        <w:spacing w:line="480" w:lineRule="atLeast"/>
        <w:ind w:firstLine="643"/>
        <w:rPr>
          <w:rFonts w:ascii="Times New Roman" w:hAnsi="Times New Roman" w:eastAsia="方正仿宋简体" w:cs="Times New Roman"/>
          <w:sz w:val="32"/>
        </w:rPr>
      </w:pPr>
      <w:r>
        <w:rPr>
          <w:rFonts w:hint="eastAsia" w:ascii="Times New Roman" w:hAnsi="Times New Roman" w:eastAsia="方正楷体简体" w:cs="Times New Roman"/>
          <w:b/>
          <w:sz w:val="32"/>
          <w:szCs w:val="32"/>
        </w:rPr>
        <w:t>　　（五）强化宣传引导。</w:t>
      </w:r>
    </w:p>
    <w:p w14:paraId="4AE6398A">
      <w:pPr>
        <w:widowControl/>
        <w:shd w:val="clear" w:color="auto" w:fill="FFFFFF"/>
        <w:spacing w:before="150"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持续办好中国生物产业大会、工程生物创新大会等高端平台，强化交流合作和供需对接，营造良好产业生态氛围。加强对生物科技和生物制造产业相关政策的解读，对经认定的生物制造先进示范园区、创新平台以及纳入生物制造标志性产品名单的产品加大宣传推广力度。加强生物制造科普宣传，提高公众对生命科学、生物技术和生物制造的认知接受程度。大力宣传绿色环保消费观念，鼓励开展多种形式的生物制造主题宣传。积极发挥行业协会商会在政企沟通方面的桥梁纽带作用，强化行业自律。（省各有关单位按职责分工负责）</w:t>
      </w:r>
    </w:p>
    <w:p w14:paraId="4DDC7558">
      <w:pPr>
        <w:widowControl/>
        <w:shd w:val="clear" w:color="auto" w:fill="FFFFFF"/>
        <w:spacing w:line="480" w:lineRule="atLeast"/>
        <w:rPr>
          <w:rFonts w:ascii="Times New Roman" w:hAnsi="Times New Roman" w:eastAsia="方正仿宋简体" w:cs="方正仿宋简体"/>
          <w:color w:val="424242"/>
          <w:kern w:val="0"/>
          <w:sz w:val="32"/>
          <w:szCs w:val="32"/>
          <w:shd w:val="clear" w:color="auto" w:fill="FFFFFF"/>
        </w:rPr>
      </w:pPr>
      <w:r>
        <w:rPr>
          <w:rFonts w:hint="eastAsia" w:ascii="Times New Roman" w:hAnsi="Times New Roman" w:eastAsia="方正仿宋简体" w:cs="方正仿宋简体"/>
          <w:color w:val="424242"/>
          <w:kern w:val="0"/>
          <w:sz w:val="32"/>
          <w:szCs w:val="32"/>
          <w:shd w:val="clear" w:color="auto" w:fill="FFFFFF"/>
          <w:lang w:bidi="ar"/>
        </w:rPr>
        <w:t>　</w:t>
      </w:r>
      <w:r>
        <w:rPr>
          <w:rFonts w:hint="eastAsia" w:ascii="Times New Roman" w:hAnsi="Times New Roman" w:eastAsia="方正楷体简体" w:cs="Times New Roman"/>
          <w:b/>
          <w:sz w:val="32"/>
          <w:szCs w:val="32"/>
        </w:rPr>
        <w:t>　（六）深化国际合作。</w:t>
      </w:r>
    </w:p>
    <w:p w14:paraId="6D039C8A">
      <w:pPr>
        <w:snapToGrid w:val="0"/>
        <w:spacing w:line="570" w:lineRule="exact"/>
        <w:ind w:firstLine="640" w:firstLineChars="200"/>
        <w:jc w:val="left"/>
        <w:rPr>
          <w:rFonts w:hint="eastAsia" w:ascii="Times New Roman" w:hAnsi="Times New Roman" w:eastAsia="方正仿宋简体" w:cs="方正仿宋简体"/>
          <w:color w:val="424242"/>
          <w:kern w:val="0"/>
          <w:sz w:val="32"/>
          <w:szCs w:val="32"/>
          <w:shd w:val="clear" w:color="auto" w:fill="FFFFFF"/>
          <w:lang w:val="en-US" w:eastAsia="zh-CN" w:bidi="ar"/>
        </w:rPr>
      </w:pPr>
      <w:r>
        <w:rPr>
          <w:rFonts w:hint="eastAsia" w:ascii="Times New Roman" w:hAnsi="Times New Roman" w:eastAsia="方正仿宋简体" w:cs="方正仿宋简体"/>
          <w:color w:val="424242"/>
          <w:kern w:val="0"/>
          <w:sz w:val="32"/>
          <w:szCs w:val="32"/>
          <w:shd w:val="clear" w:color="auto" w:fill="FFFFFF"/>
          <w:lang w:bidi="ar"/>
        </w:rPr>
        <w:t>充分发挥粤港澳大湾区战略区位优势，推动重大科技基础设施等科技资源开放共享，进一步扩大生物制造国际交流合作。推进人体蛋白质组导航国际大科学计划，在单细胞生命合成等领域研究发起国际大科学计划可行性。优化高校、科研院所对外专业交流管理机制，完善海外高水平人才引进支持保障制度。鼓励符合条件的生物领域外资企业在粤设立研发机构，允许外资企业在中国（广东）自由贸易试验区从事人体干细胞、基因诊断与治疗技术开发和应用。支持我省生物制造企业拓展海外市场，推动产业链、供应链国际合作。（省各有关单位按职责分工</w:t>
      </w:r>
      <w:r>
        <w:rPr>
          <w:rFonts w:hint="eastAsia" w:ascii="Times New Roman" w:hAnsi="Times New Roman" w:eastAsia="方正仿宋简体" w:cs="方正仿宋简体"/>
          <w:color w:val="424242"/>
          <w:kern w:val="0"/>
          <w:sz w:val="32"/>
          <w:szCs w:val="32"/>
          <w:shd w:val="clear" w:color="auto" w:fill="FFFFFF"/>
          <w:lang w:val="en-US" w:eastAsia="zh-CN" w:bidi="ar"/>
        </w:rPr>
        <w:t>负责）</w:t>
      </w:r>
    </w:p>
    <w:p w14:paraId="76F8A516">
      <w:pPr>
        <w:snapToGrid w:val="0"/>
        <w:spacing w:line="570" w:lineRule="exact"/>
        <w:ind w:firstLine="640" w:firstLineChars="200"/>
        <w:jc w:val="left"/>
        <w:rPr>
          <w:rFonts w:hint="eastAsia" w:ascii="Times New Roman" w:hAnsi="Times New Roman" w:eastAsia="方正仿宋简体" w:cs="方正仿宋简体"/>
          <w:color w:val="424242"/>
          <w:kern w:val="0"/>
          <w:sz w:val="32"/>
          <w:szCs w:val="32"/>
          <w:shd w:val="clear" w:color="auto" w:fill="FFFFFF"/>
          <w:lang w:val="en-US" w:eastAsia="zh-CN" w:bidi="ar"/>
        </w:rPr>
      </w:pPr>
    </w:p>
    <w:p w14:paraId="57FE7329">
      <w:pPr>
        <w:snapToGrid w:val="0"/>
        <w:spacing w:line="570" w:lineRule="exact"/>
        <w:ind w:firstLine="640" w:firstLineChars="200"/>
        <w:jc w:val="left"/>
        <w:rPr>
          <w:rFonts w:hint="eastAsia" w:ascii="Times New Roman" w:hAnsi="Times New Roman" w:eastAsia="方正仿宋简体" w:cs="方正仿宋简体"/>
          <w:color w:val="424242"/>
          <w:kern w:val="0"/>
          <w:sz w:val="32"/>
          <w:szCs w:val="32"/>
          <w:shd w:val="clear" w:color="auto" w:fill="FFFFFF"/>
          <w:lang w:val="en-US" w:eastAsia="zh-CN" w:bidi="ar"/>
        </w:rPr>
      </w:pPr>
    </w:p>
    <w:p w14:paraId="0478ADC2">
      <w:pPr>
        <w:snapToGrid w:val="0"/>
        <w:spacing w:line="570" w:lineRule="exact"/>
        <w:jc w:val="center"/>
        <w:rPr>
          <w:rFonts w:hint="eastAsia"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内蒙古自治区2024年坚持稳中求进以进促稳推动产业高质量发展政策清单</w:t>
      </w:r>
    </w:p>
    <w:p w14:paraId="018E31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方正楷体简体" w:cs="Times New Roman"/>
          <w:sz w:val="32"/>
          <w:szCs w:val="32"/>
        </w:rPr>
      </w:pPr>
      <w:r>
        <w:rPr>
          <w:rFonts w:hint="eastAsia" w:ascii="Times New Roman" w:hAnsi="Times New Roman" w:eastAsia="方正楷体简体" w:cs="Times New Roman"/>
          <w:sz w:val="32"/>
          <w:szCs w:val="32"/>
        </w:rPr>
        <w:t>为全面贯彻落实中央经济工作会议精神，坚持稳中求进、以进促稳，以铸牢中华民族共同体意识为主线，聚焦聚力办好“两件大事”，认真落实《国务院关于推动内蒙古高质量发展奋力书写中国式现代化新篇章的意见》（国发〔2023〕16号）精神，推动产业高质量发展，结合自治区实际，提出如下政策清单。</w:t>
      </w:r>
    </w:p>
    <w:p w14:paraId="216C6B09">
      <w:pPr>
        <w:rPr>
          <w:rFonts w:hint="eastAsia" w:ascii="Times New Roman" w:hAnsi="Times New Roman" w:eastAsia="方正楷体简体" w:cs="Times New Roman"/>
          <w:sz w:val="32"/>
          <w:szCs w:val="32"/>
        </w:rPr>
      </w:pPr>
    </w:p>
    <w:p w14:paraId="3128B74D">
      <w:pPr>
        <w:snapToGrid w:val="0"/>
        <w:spacing w:line="570" w:lineRule="exact"/>
        <w:rPr>
          <w:rFonts w:hint="eastAsia" w:ascii="Times New Roman" w:hAnsi="Times New Roman" w:eastAsia="宋体" w:cs="Times New Roman"/>
        </w:rPr>
      </w:pPr>
      <w:r>
        <w:rPr>
          <w:rFonts w:hint="eastAsia" w:ascii="Times New Roman" w:hAnsi="Times New Roman" w:eastAsia="方正黑体简体" w:cs="Times New Roman"/>
          <w:sz w:val="32"/>
          <w:szCs w:val="32"/>
        </w:rPr>
        <w:t>一、推进农牧业现代化</w:t>
      </w:r>
    </w:p>
    <w:p w14:paraId="0C551858">
      <w:pPr>
        <w:rPr>
          <w:rFonts w:hint="eastAsia" w:ascii="Times New Roman" w:hAnsi="Times New Roman" w:eastAsia="宋体" w:cs="Times New Roman"/>
        </w:rPr>
      </w:pPr>
      <w:r>
        <w:rPr>
          <w:rFonts w:hint="eastAsia" w:ascii="Times New Roman" w:hAnsi="Times New Roman" w:eastAsia="方正楷体简体" w:cs="Times New Roman"/>
          <w:b/>
          <w:sz w:val="32"/>
          <w:szCs w:val="32"/>
        </w:rPr>
        <w:t>（一）增强粮食综合生产能力。</w:t>
      </w:r>
    </w:p>
    <w:p w14:paraId="6659187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实施粮油等主要作物大面积单产提升行动，稳定粮油播种面积，着力提高单产水平，提升特色作物产量及效益，进一步增强粮食和重要农产品稳定安全供给能力。〔责任单位：自治区农牧厅（乡村振兴局）、财政厅〕</w:t>
      </w:r>
    </w:p>
    <w:p w14:paraId="50A18B7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实施耕地保护与建设行动，积极争取高标准农田建设项目710万亩以上。实施黑土地保护性耕作推进行动，支持呼伦贝尔市、兴安盟、通辽市、赤峰市实施2130万亩黑土地保护性耕作。〔责任单位：自治区农牧厅（乡村振兴局）、发展改革委、财政厅〕</w:t>
      </w:r>
    </w:p>
    <w:p w14:paraId="5EB2D953">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3.开展国家盐碱地等耕地后备资源综合利用试点，逐步开发盐碱地，加强盐碱化耕地综合利用，推广在盐碱化耕地种植水稻、高粱等耐盐作物。〔责任单位：自治区农牧厅（乡村振兴局）〕</w:t>
      </w:r>
    </w:p>
    <w:p w14:paraId="31464122">
      <w:pPr>
        <w:rPr>
          <w:rFonts w:hint="eastAsia" w:ascii="Times New Roman" w:hAnsi="Times New Roman" w:eastAsia="宋体" w:cs="Times New Roman"/>
        </w:rPr>
      </w:pPr>
      <w:r>
        <w:rPr>
          <w:rFonts w:hint="eastAsia" w:ascii="Times New Roman" w:hAnsi="Times New Roman" w:eastAsia="方正楷体简体" w:cs="Times New Roman"/>
          <w:b/>
          <w:sz w:val="32"/>
          <w:szCs w:val="32"/>
        </w:rPr>
        <w:t>（二）实施种业振兴行动。</w:t>
      </w:r>
    </w:p>
    <w:p w14:paraId="7F72522C">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4.安排1.4亿元支持自治区种业高质量发展。〔责任单位：自治区农牧厅（乡村振兴局）、科技厅、财政厅〕</w:t>
      </w:r>
    </w:p>
    <w:p w14:paraId="204D5A0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开展种业科技创新重大示范工程。按照“5+N”的总体布局，继续加强对草业、奶牛、肉牛、肉羊、马铃薯5个优势领域和杂粮、蔬菜、向日葵、甜菜等N个重点领域科技创新重大示范工程、重大专项的支持，增加微生物、特色畜禽、作物等种业领域研究方向。〔责任单位：自治区科技厅、农牧厅（乡村振兴局）、林草局〕</w:t>
      </w:r>
    </w:p>
    <w:p w14:paraId="4486C8D2">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6.建立优良品种奖励机制，对具有自主知识产权的马铃薯优质新品种，年推广面积在10万亩以上的一次性奖补500万元；年推广面积在30万亩以上的一次性奖补1000万元。对通过国家审定的玉米、大豆等品种每个一次性奖励10万元。〔责任单位：自治区农牧厅（乡村振兴局）、财政厅〕</w:t>
      </w:r>
    </w:p>
    <w:p w14:paraId="029FE5BA">
      <w:pPr>
        <w:rPr>
          <w:rFonts w:hint="eastAsia" w:ascii="Times New Roman" w:hAnsi="Times New Roman" w:eastAsia="宋体" w:cs="Times New Roman"/>
        </w:rPr>
      </w:pPr>
      <w:r>
        <w:rPr>
          <w:rFonts w:hint="eastAsia" w:ascii="Times New Roman" w:hAnsi="Times New Roman" w:eastAsia="方正楷体简体" w:cs="Times New Roman"/>
          <w:b/>
          <w:sz w:val="32"/>
          <w:szCs w:val="32"/>
        </w:rPr>
        <w:t>（三）实施奶业振兴行动。</w:t>
      </w:r>
    </w:p>
    <w:p w14:paraId="78DED6A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稳定优质奶源供应，对符合条件的新建、改扩建奶畜规模养殖场，给予适当补贴。对入选奶业生产能力整县推进项目的100—3000头奶畜养殖场从草畜配套、智慧牧场、养加一体化试点等方面给予补贴。〔责任单位：自治区农牧厅（乡村振兴局）、财政厅〕</w:t>
      </w:r>
    </w:p>
    <w:p w14:paraId="0F4110D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支持优质种源培育，对育种能力评价达到良好等级以上的奶牛育种企业给予基础性奖励100万元，并根据种公牛每年排名结果，对育种企业给予奖励；对新创建的国家级奶牛、奶羊核心育种场一次性奖励300万元、自治区级核心育种场一次性奖励200万元。推广良种繁育技术，使用奶牛性控胚胎，依据性能指数进行分档补贴，使用奶牛性控冻精每头补贴120元，使用奶羊冻精每只补贴60元。〔责任单位：自治区农牧厅（乡村振兴局）、财政厅〕</w:t>
      </w:r>
    </w:p>
    <w:p w14:paraId="2AB4D7B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9.加大饲草收储补贴力度，对奶畜养殖场和奶农合作社就地就近收储青贮玉米等饲草料给予适当补贴。〔责任单位：自治区农牧厅（乡村振兴局）、财政厅，各盟行政公署、市人民政府〕</w:t>
      </w:r>
    </w:p>
    <w:p w14:paraId="40A5CBF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推进国产优质苜蓿提质增产，对集中连片标准化种植500亩以上且与养殖场（户）签订饲草购销合同的种植企业（合作社、种植户）分3年共给予每亩1000元补贴。〔责任单位：自治区农牧厅（乡村振兴局）、财政厅〕</w:t>
      </w:r>
    </w:p>
    <w:p w14:paraId="7D62062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11.支持乳制品加工企业扩大加工量，以上一年度生鲜乳加工量为基数，每增加1吨补贴200元，自治区和盟市各承担50%。支持乳制品加工企业在3—5月份销售淡季足额收奶，对使用生鲜乳进行喷粉，按收购数量的10%每吨补贴1000元，自治区和盟市各承担50%。〔责任单位：自治区工业和信息化厅、农牧厅（乡村振兴局）、财政厅，各盟行政公署、市人民政府〕</w:t>
      </w:r>
    </w:p>
    <w:p w14:paraId="61D181A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12.支持乳制品加工企业发展精深加工，对新建或改扩建生产原制奶酪、乳清、乳铁蛋白等乳制品精深加工项目的企业，按照设备投资总额的10%给予最高5000万元补贴。对乳制品加工企业使用生鲜乳加工原制奶酪，以上一年度使用生鲜乳加工原制奶酪量为基数，每增加1吨补贴2000元。〔责任单位：自治区工业和信息化厅、农牧厅（乡村振兴局）、财政厅〕</w:t>
      </w:r>
    </w:p>
    <w:p w14:paraId="361EDE61">
      <w:pPr>
        <w:snapToGrid w:val="0"/>
        <w:spacing w:line="570" w:lineRule="exact"/>
        <w:ind w:firstLine="640" w:firstLineChars="200"/>
        <w:rPr>
          <w:rFonts w:hint="eastAsia" w:ascii="Times New Roman" w:hAnsi="Times New Roman" w:eastAsia="方正仿宋简体" w:cs="Times New Roman"/>
          <w:sz w:val="32"/>
          <w:szCs w:val="32"/>
        </w:rPr>
      </w:pPr>
    </w:p>
    <w:p w14:paraId="22ECC091">
      <w:pPr>
        <w:rPr>
          <w:rFonts w:hint="eastAsia" w:ascii="Times New Roman" w:hAnsi="Times New Roman" w:eastAsia="宋体" w:cs="Times New Roman"/>
        </w:rPr>
      </w:pPr>
      <w:r>
        <w:rPr>
          <w:rFonts w:hint="eastAsia" w:ascii="Times New Roman" w:hAnsi="Times New Roman" w:eastAsia="方正楷体简体" w:cs="Times New Roman"/>
          <w:b/>
          <w:sz w:val="32"/>
          <w:szCs w:val="32"/>
        </w:rPr>
        <w:t>（四）推进农牧业全产业链发展。</w:t>
      </w:r>
    </w:p>
    <w:p w14:paraId="63CA7F2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13.安排专项资金支持建设农牧业优势特色产业集群，巩固提升奶业、玉米2个千亿级产业集群，以及肉牛、肉羊、向日葵、羊绒、马铃薯、杂粮杂豆、小麦、蔬菜、饲草料和大豆10个百亿级产业集群。〔责任单位：自治区农牧厅（乡村振兴局）、财政厅〕</w:t>
      </w:r>
    </w:p>
    <w:p w14:paraId="0ED9831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14.扎实推进粮油、肉类生产，实施粮油、肉牛、肉羊、生猪调出大县奖励政策。支持调出大县提高养殖效率和生产效益，鼓励就地新建改建大型屠宰项目，配套建设畜禽产品精细分割、冷链加工及配送体系。〔责任单位：自治区财政厅、农牧厅（乡村振兴局）、工业和信息化厅〕</w:t>
      </w:r>
    </w:p>
    <w:p w14:paraId="2D6B940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15.支持皮革、羊毛产业发展，对符合条件的产业集群、产业强镇、重点企业、重点项目，自治区重点产业发展专项资金给予一定补贴。〔责任单位：自治区工业和信息化厅、农牧厅（乡村振兴局）、财政厅〕</w:t>
      </w:r>
    </w:p>
    <w:p w14:paraId="3560D82B">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16.支持建立农牧业品牌目录，主管部门制定政策措施，鼓励相关企业申请绿色食品、有机产品认证。加强地理标志建设。推动“蒙”字标认证，打造内蒙古绿色有机品牌。〔责任单位：自治区农牧厅（乡村振兴局）、市场监管局〕</w:t>
      </w:r>
    </w:p>
    <w:p w14:paraId="3CFB4C88">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17.支持药材规模化种植，培育自治区道地药材、仿野生药材种植基地，对认定为自治区级道地药材种植基地、仿野生药材种植基地的一次性奖补50万元。统筹相关项目资金300万元以上，选择优势旗县（市、区）建设中药材高产高效种植示范区和中药材园区。〔责任单位：自治区林草局、农牧厅（乡村振兴局）、药监局、市场监管局、财政厅〕</w:t>
      </w:r>
    </w:p>
    <w:p w14:paraId="614A9C37">
      <w:pPr>
        <w:snapToGrid w:val="0"/>
        <w:spacing w:line="570" w:lineRule="exact"/>
        <w:rPr>
          <w:rFonts w:hint="eastAsia" w:ascii="Times New Roman" w:hAnsi="Times New Roman" w:eastAsia="宋体" w:cs="Times New Roman"/>
        </w:rPr>
      </w:pPr>
      <w:r>
        <w:rPr>
          <w:rFonts w:hint="eastAsia" w:ascii="Times New Roman" w:hAnsi="Times New Roman" w:eastAsia="方正黑体简体" w:cs="Times New Roman"/>
          <w:sz w:val="32"/>
          <w:szCs w:val="32"/>
        </w:rPr>
        <w:t>二、推动新型工业化发展</w:t>
      </w:r>
    </w:p>
    <w:p w14:paraId="2FD963BD">
      <w:pPr>
        <w:rPr>
          <w:rFonts w:hint="eastAsia" w:ascii="Times New Roman" w:hAnsi="Times New Roman" w:eastAsia="宋体" w:cs="Times New Roman"/>
        </w:rPr>
      </w:pPr>
      <w:r>
        <w:rPr>
          <w:rFonts w:hint="eastAsia" w:ascii="Times New Roman" w:hAnsi="Times New Roman" w:eastAsia="方正楷体简体" w:cs="Times New Roman"/>
          <w:b/>
          <w:sz w:val="32"/>
          <w:szCs w:val="32"/>
        </w:rPr>
        <w:t>（一）培育壮大工业产业链。</w:t>
      </w:r>
    </w:p>
    <w:p w14:paraId="4A1F63A7">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18.对投资5亿元及以上且竣工投产的制造业重点产业链“延链补链强链”基本建设项目，按照实际贷款利息的30%给予一次性贴息奖补，单个项目最高奖补500万元。培育先进制造业集群，对新认定的国家先进制造业集群和自治区级先进制造业集群分别给予1000万元、500万元一次性奖补。（责任单位：自治区工业和信息化厅、财政厅）</w:t>
      </w:r>
    </w:p>
    <w:p w14:paraId="7BC2029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19.对于投资2000万元及以上且已完工的制造业技术改造项目，按照当年技术改造设备投资的20%、单个项目最高不超过500万元给予补助。（责任单位：自治区工业和信息化厅、财政厅）</w:t>
      </w:r>
    </w:p>
    <w:p w14:paraId="632B5F6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20.支持节能、节水技术改造，对年节能量2000吨标准煤以上（含2000吨标准煤）的节能技术改造项目（包括打捆项目），每节约1吨标准煤给予200元奖补，单个项目最高奖补500万元；对大数据中心电源使用效率（PUE值）首次降低到1.3的，按照技改投资额的10%奖补，单个项目最高奖补500万元；对年节水量5万吨以上的节水技术改造项目（包括打捆项目），按每节约1吨水给予10元补助，单个项目补助不超过500万元。（责任单位：自治区工业和信息化厅、财政厅）</w:t>
      </w:r>
    </w:p>
    <w:p w14:paraId="1469044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21.支持工业固废资源综合利用，对新建工业固废资源综合利用量1万吨/年以上的采用先进适用技术进行工业固废和再生资源高端化、绿色化、循环化利用项目，按每综合利用1吨给予10元补助；再生资源中废塑料、废纸回收加工利用量在1千吨/年以上的项目按设备投资额的10%补助，单个项目补助不超过500万元。（责任单位：自治区工业和信息化厅、财政厅）</w:t>
      </w:r>
    </w:p>
    <w:p w14:paraId="6195BC4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22.对新认定为国家级绿色园区、绿色工厂、绿色供应链、绿色设计示范企业、能效领跑者、水效领跑者的给予100万元一次性奖励，对新认定为自治区级绿色园区、绿色工厂、绿色供应链、节水标杆的给予50万元一次性奖励。（责任单位：自治区工业和信息化厅、财政厅）</w:t>
      </w:r>
    </w:p>
    <w:p w14:paraId="1A4EBDB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23.支持制造业数字化转型，对列入自治区制造业数字化转型试点的盟市，给予5000万元奖补。对列入国家中小企业数字化转型城市试点的盟市，给予5000万元奖补。（责任单位：自治区工业和信息化厅、财政厅）</w:t>
      </w:r>
    </w:p>
    <w:p w14:paraId="30D3088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24.对主导制定国际、国家（行业）标准的企业，分别给予每个标准30万元、20万元一次性奖励；对参与制定国际、国家（行业）标准的企业，分别给予每个标准20万元、10万元一次性奖励。单个企业主导或参与标准制定每年奖励资金不超过50万元。（责任单位：自治区工业和信息化厅、财政厅）</w:t>
      </w:r>
    </w:p>
    <w:p w14:paraId="5325372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25.对2022年1月1日后通过研发或引进方式获得国家批准文号的1类或2类化学药、生物制品、中（蒙）药创新药、改良型新药、古代经典名方中药复方制剂，填补自治区空白的第三类医疗器械和进入创新医疗器械特别审查程序并取得第二类医疗器械首次注册证书的产品（不含二类体外诊断试剂及设备零部件），取得一、二类《新兽药注册证书》的创新兽药，并实现产业化的项目，一次性给予设备总投资20%的资金补助，最高不超过1000万元。对按新化学药品注册分类注册申请获批或通过仿制药一致性评价的药品品种给予奖补，原则上单个品种奖补总额不超过300万元。〔责任单位：自治区工业和信息化厅、农牧厅（乡村振兴局）、药监局、财政厅〕</w:t>
      </w:r>
    </w:p>
    <w:p w14:paraId="75D0472C">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26.鼓励药物临床研究，对临床试验申办者开展Ⅰ、Ⅱ、Ⅲ期临床试验研究并承诺成果转化的，分别给予100万元、200万元、300万元一次性补助。对医疗机构承接自治区药物临床试验申办者临床试验项目的，按照本项目与本机构发生的药物临床试验项目费用的5%给予医疗机构奖补，单个机构每年最高不超过200万元。（责任单位：自治区药监局、卫生健康委、财政厅）</w:t>
      </w:r>
    </w:p>
    <w:p w14:paraId="0106F1E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27.支持生物医药研发创新和孵化平台建设。引导生物医药企业加大研发投入，按照企业上年度研发投入强度及增量增幅给予奖补，单个企业每年最高奖补500万元。鼓励成熟的生物医药孵化平台入驻自治区，为初创型企业和研发机构提供完善的办公、研发、生产、注册报批服务，推动更多原创成果和技术在自治区转化落地。对经认定的自治区生物医药孵化平台，每进驻1家生物医药企业或研发机构，给予一次性奖补20万元，单个平台每年最高奖补200万元。（责任单位：自治区科技厅、药监局、财政厅）</w:t>
      </w:r>
    </w:p>
    <w:p w14:paraId="515A7F1F">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28.对2022年1月1日后获得国家注册的特殊医学用途配方食品和保健食品，并获得生产许可的企业，每个产品给予一次性奖补100万元。对2022年1月1日后获得特殊化妆品注册证，并获得生产许可的企业，每个品种给予一次性奖补50万元，单个企业每年最高不超过500万元。（责任单位：自治区市场监管局、药监局、财政厅）</w:t>
      </w:r>
    </w:p>
    <w:p w14:paraId="1659CBBE">
      <w:pPr>
        <w:rPr>
          <w:rFonts w:hint="eastAsia" w:ascii="Times New Roman" w:hAnsi="Times New Roman" w:eastAsia="宋体" w:cs="Times New Roman"/>
        </w:rPr>
      </w:pPr>
      <w:r>
        <w:rPr>
          <w:rFonts w:hint="eastAsia" w:ascii="Times New Roman" w:hAnsi="Times New Roman" w:eastAsia="方正楷体简体" w:cs="Times New Roman"/>
          <w:b/>
          <w:sz w:val="32"/>
          <w:szCs w:val="32"/>
        </w:rPr>
        <w:t>（二）构建现代能源经济体系。</w:t>
      </w:r>
    </w:p>
    <w:p w14:paraId="16D076B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29.支持煤炭优质产能释放，提高发电供热用煤中长期合同履约水平。优化电价政策，支持煤电企业提高发电出力。鼓励产业链重点企业与煤炭企业积极开展供需对接，高比例签订煤炭长期购销合同。（责任单位：自治区能源局、矿山安全监管局，国家矿山安全监察局内蒙古局）</w:t>
      </w:r>
    </w:p>
    <w:p w14:paraId="742E72FC">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30.支持符合条件的新能源电源及配套送出工程建成即并网，对纳入相关规划的新能源配套送出工程项目开辟绿色审批通道。〔责任单位：自治区自然资源厅、林草局、能源局，内蒙古电力（集团）公司、国网蒙东电力公司，各盟行政公署、市人民政府〕</w:t>
      </w:r>
    </w:p>
    <w:p w14:paraId="718A06AE">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31.支持新增源网荷储一体化项目增配新能源规模，支持工业园区燃煤自备电厂可再生能源替代，鼓励燃煤机组灵活性改造，鼓励自建、购买储能或调峰能力配建新能源项目。〔责任单位：自治区能源局，内蒙古电力（集团）公司、国网蒙东电力公司，各盟行政公署、市人民政府〕</w:t>
      </w:r>
    </w:p>
    <w:p w14:paraId="562ABE92">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32.制定新增大型用电负荷绿电应用实施细则，对拉动工业经济增长作用明显，符合国家及自治区产业、能耗、环保等政策要求，且年用电量不低于50亿千瓦时的项目，按照“一事一议”原则，制定高比例绿电供应解决方案。（责任单位：自治区能源局、工业和信息化厅、发展改革委，各盟行政公署、市人民政府）</w:t>
      </w:r>
    </w:p>
    <w:p w14:paraId="5EF0010F">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33.对纳入示范的风光制氢一体化项目，按照制氢量所需电量合理配置新能源规模。对氢燃料电池汽车发放新能源汽车号牌。（责任单位：自治区能源局、公安厅）</w:t>
      </w:r>
    </w:p>
    <w:p w14:paraId="3BDDA89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34.加大资金投入力度，推动重点行业大气污染深度治理。按照“以供定改、确村确户、先立后破”原则，对全区煤改电客户实行统一规划、分批接入。〔责任单位：自治区生态环境厅、财政厅，内蒙古电力（集团）公司〕</w:t>
      </w:r>
    </w:p>
    <w:p w14:paraId="7A3494E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35.有序淘汰国Ⅲ以下柴油老旧车辆，引导推广新增和更新车辆使用新能源重卡，新增和更新城市公交车辆新能源车辆占比不低于85%，新能源巡游出租汽车不低于1600辆。购买符合相关技术要求的新能源巡游出租汽车给予补贴。其中，充电车每车补贴4万元，换电车每车补贴4.5万元。自治区本级新增和更新党政机关公务用车（不含执法执勤用车和特种专业技术用车）中新能源汽车比例达到50%，盟市新增和更新党政机关公务用车（不含执法执勤用车和特种专业技术用车）中新能源汽车比例平均达到30%。（责任单位：自治区工业和信息化厅、交通运输厅、公安厅、能源局、机关事务管理局，国家矿山安全监察局内蒙古局，各盟行政公署、市人民政府）</w:t>
      </w:r>
    </w:p>
    <w:p w14:paraId="383C331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36.推进电动汽车充电设施建设。新建公共停车场配套建设充电基础设施的车位占总车位的比例达到10%以上。新建居民小区配套的机动车停车位100%建设电动汽车充电基础设施或预留建设安装条件，与主体建筑同步设计、施工、验收。改造老旧小区时，对具备条件的小区建设充电桩。将独立占地的公共充换电站纳入国土空间详细规划。各类充电设备统一接入国家充电设施监测平台。〔责任单位：自治区住房城乡建设厅、交通运输厅、能源局，内蒙古电力（集团）公司、国网蒙东电力公司〕</w:t>
      </w:r>
    </w:p>
    <w:p w14:paraId="30F834B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37.完善具备条件的等级公路沿途充电基础设施建设。加快公路服务区充电基础设施建设，力争实现除高寒高海拔以外区域的高速公路服务区和具备条件的普通国省干线公路服务区能够提供基本充电服务。〔责任单位：自治区交通运输厅、能源局，内蒙古电力（集团）公司、国网蒙东电力公司〕</w:t>
      </w:r>
    </w:p>
    <w:p w14:paraId="107E0712">
      <w:pPr>
        <w:rPr>
          <w:rFonts w:hint="eastAsia" w:ascii="Times New Roman" w:hAnsi="Times New Roman" w:eastAsia="宋体" w:cs="Times New Roman"/>
        </w:rPr>
      </w:pPr>
    </w:p>
    <w:p w14:paraId="50C2C934">
      <w:pPr>
        <w:rPr>
          <w:rFonts w:hint="eastAsia" w:ascii="Times New Roman" w:hAnsi="Times New Roman" w:eastAsia="宋体" w:cs="Times New Roman"/>
        </w:rPr>
      </w:pPr>
      <w:r>
        <w:rPr>
          <w:rFonts w:hint="eastAsia" w:ascii="Times New Roman" w:hAnsi="Times New Roman" w:eastAsia="方正楷体简体" w:cs="Times New Roman"/>
          <w:b/>
          <w:sz w:val="32"/>
          <w:szCs w:val="32"/>
        </w:rPr>
        <w:t>（三）支持工业园区提质增效。</w:t>
      </w:r>
    </w:p>
    <w:p w14:paraId="08F877E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38.支持低碳零碳示范园区建设，对自治区低碳示范园区、零碳示范园区给予奖补。安排自治区工业园区发展专项资金，支持重点工业园区基础设施建设。（责任单位：自治区工业和信息化厅、财政厅）</w:t>
      </w:r>
    </w:p>
    <w:p w14:paraId="661DB42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39.突出高质量发展导向，按年度对工业园区考核评价，对综合实力考核评价前3名的工业园区给予资金支持；对招商引资、亩均效益、税收贡献、争先进位、科技创新等单项指标考核评价前3名的工业园区给予资金支持。对新获批的国家级高新技术产业开发区给予一次性最高2000万元研发经费支持；对进入全国排名前60名、年度排名提升5位以上及新获批的自治区级高新技术产业开发区给予一次性1000万元研发经费支持。（责任单位：自治区工业和信息化厅、科技厅、财政厅）</w:t>
      </w:r>
    </w:p>
    <w:p w14:paraId="0F670836">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40.培育新型工业化产业示范基地，对新认定的国家新型工业化产业示范基地和自治区级新型工业化产业示范基地分别给予500万元、300万元一次性奖补。（责任单位：自治区工业和信息化厅、财政厅）</w:t>
      </w:r>
    </w:p>
    <w:p w14:paraId="4C89E68B">
      <w:pPr>
        <w:rPr>
          <w:rFonts w:hint="eastAsia" w:ascii="Times New Roman" w:hAnsi="Times New Roman" w:eastAsia="宋体" w:cs="Times New Roman"/>
        </w:rPr>
      </w:pPr>
      <w:r>
        <w:rPr>
          <w:rFonts w:hint="eastAsia" w:ascii="Times New Roman" w:hAnsi="Times New Roman" w:eastAsia="方正楷体简体" w:cs="Times New Roman"/>
          <w:b/>
          <w:sz w:val="32"/>
          <w:szCs w:val="32"/>
        </w:rPr>
        <w:t>（四）支持产业和企业技术创新。</w:t>
      </w:r>
    </w:p>
    <w:p w14:paraId="75A5F568">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41.实施科技突围工程。安排7亿元资金，组织实施科技创新重大示范工程、重点研发和成果转化计划。在低碳能源、防沙治沙、稀土、乳业、种业，以及前沿技术领域安排部署一批重大科技任务。安排自治区自然科学基金1.2亿元，支持基础研究和应用基础研究。对已争取到的国家科技计划项目，按要求给予配套资金支持。支持鄂尔多斯实验室和大青山实验室建设。支持乳业国家技术创新中心、稀土新材料技术创新中心、草业技术创新中心各1亿元经费，用于开展基础研究、关键技术攻关、科技成果转化和人才引育、仪器设备购置等。（责任单位：自治区科技厅、财政厅）</w:t>
      </w:r>
    </w:p>
    <w:p w14:paraId="39B4038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42.对获批国家级制造业创新中心，连续5年每年给予1000万元研发经费奖补。对新创建成为自治区制造业创新中心的给予500万元一次性研发经费奖补。对新认定为国家级、自治区级工业设计中心的，分别给予100万元、50万元一次性研发经费奖补。对新认定的自治区级企业技术中心，给予50万元一次性研发经费奖补。对新认定的国家技术创新示范企业、全国“质量标杆”企业，给予100万元一次性研发经费奖补。（责任单位：自治区工业和信息化厅、科技厅、财政厅）</w:t>
      </w:r>
    </w:p>
    <w:p w14:paraId="1B387AD9">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43.引导和推动自治区制造业企业扎根所属细分行业产品“精耕细作”，专注于细分行业产品创新、质量提升和品牌培育，对认定为自治区级制造业单项冠军的企业奖励100万元，对认定为国家级制造业单项冠军的企业奖励200万元。（责任单位：自治区工业和信息化厅、财政厅）</w:t>
      </w:r>
    </w:p>
    <w:p w14:paraId="18A40C5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44.支持铁合金企业矿热炉煤气制备化工产品，支持碳捕集、利用、封存示范项目。对合理利用矿热炉煤气中的有效气体成分，达到二氧化碳零排放等资源综合利用产业化项目，自实现销售收入年度起，5年内按销售收入的5%给予奖补，每年最高奖补500万元。（责任单位：自治区工业和信息化厅、财政厅）</w:t>
      </w:r>
    </w:p>
    <w:p w14:paraId="6192F27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45.采取揭榜挂帅、赛马制等方式，支持铁合金企业联合高等院校、科研院所等开展技术攻关。对使用氢冶金、二氧化碳替代氩气冶炼、直流炉等新技术、新装备的铁合金试验示范项目，可不进行产能置换。（责任单位：自治区科技厅、发展改革委、工业和信息化厅、财政厅）</w:t>
      </w:r>
    </w:p>
    <w:p w14:paraId="45C61F3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46.将《国防科技成果转化目录》纳入支持计划。支持技术创新成果产业化应用，对列入《内蒙古自治区新技术产业化应用指导目录》的重大技术创新成果在自治区内实现转化应用的项目，按实际完成投资额的20%给予一次性奖补，单个项目最高不超过500万元。（责任单位：自治区工业和信息化厅、科技厅、财政厅）</w:t>
      </w:r>
    </w:p>
    <w:p w14:paraId="35E52E51">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47.对自治区认定的创新型中小企业、“专精特新”中小企业和“小巨人”企业，分别给予20万元、50万元、100万元一次性奖励。（责任单位：自治区工业和信息化厅、财政厅）</w:t>
      </w:r>
    </w:p>
    <w:p w14:paraId="53F5B89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48.建立科技型中小企业、高新技术企业、科技领军企业梯次培育机制，对首次认定的高新技术企业给予一次性30万元研发经费奖励，对首次认定的科技领军企业给予300万元科技创新项目支持。实施企业科技特派员行动，加强企业科技特派员工作站建设，引导科研人员、科技特派员、技术经纪人等精准服务企业科技创新。（责任单位：自治区科技厅、财政厅）</w:t>
      </w:r>
    </w:p>
    <w:p w14:paraId="290C2D3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49.支持“专精特新”中小企业和制造业单项冠军企业专业技术人才申报职称，将技术创新、专利发明、成果转化、技术推广、标准制定等方面获得的工作绩效、创新成果作为其申报职称的重要参考。（责任单位：自治区人力资源社会保障厅、工业和信息化厅）</w:t>
      </w:r>
    </w:p>
    <w:p w14:paraId="779A370E">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50.培育中小企业特色产业集群，对新认定的自治区级中小企业特色产业集群和国家级中小企业特色产业集群分别给予300万元、500万元一次性资金奖补。（责任单位：自治区工业和信息化厅、财政厅）</w:t>
      </w:r>
    </w:p>
    <w:p w14:paraId="563DBD67">
      <w:pPr>
        <w:snapToGrid w:val="0"/>
        <w:spacing w:line="570" w:lineRule="exact"/>
        <w:rPr>
          <w:rFonts w:hint="eastAsia" w:ascii="Times New Roman" w:hAnsi="Times New Roman" w:eastAsia="方正黑体简体" w:cs="Times New Roman"/>
          <w:sz w:val="32"/>
          <w:szCs w:val="32"/>
        </w:rPr>
      </w:pPr>
      <w:r>
        <w:rPr>
          <w:rFonts w:hint="eastAsia" w:ascii="Times New Roman" w:hAnsi="Times New Roman" w:eastAsia="方正黑体简体" w:cs="Times New Roman"/>
          <w:sz w:val="32"/>
          <w:szCs w:val="32"/>
        </w:rPr>
        <w:t>三、促进服务业提质提效</w:t>
      </w:r>
    </w:p>
    <w:p w14:paraId="326413EE">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（一）加快培育新兴服务业。</w:t>
      </w:r>
    </w:p>
    <w:p w14:paraId="1A37781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51.支持技术经纪服务行业加快发展，对新获批的国家级技术转移人才培养基地给予一次性100万元后补助支持，对技术经纪人（经理人）年度内累计促成技术转移转化交易金额超过100万元的，按技术交易合同实际成交额的2%，给予最高20万元奖励。（责任单位：自治区科技厅、财政厅）</w:t>
      </w:r>
    </w:p>
    <w:p w14:paraId="1331084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52.按照首版次软件取得知识产权或证书规定期限内截至申请时的实际销售总额的20%给予补助，单个企业补助金额最高不超过300万元。对企业新开发的工业软件（工业APP），按照研发该产品实际投入金额的20%给予补助，单个企业最高不超过300万元。（责任单位：自治区工业和信息化厅、发展改革委、财政厅）</w:t>
      </w:r>
    </w:p>
    <w:p w14:paraId="78AC4810">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53.安排专项资金支持各盟市培育“小而美”网络品牌，发展电子商务共享云仓，开展优势产业、特色产品电商化改造，开展网上主题消费促进活动，提升电子商务集聚区公共服务水平，促进电子商务高质量发展。（责任单位：自治区商务厅）</w:t>
      </w:r>
    </w:p>
    <w:p w14:paraId="2144BDD0">
      <w:pPr>
        <w:snapToGrid w:val="0"/>
        <w:spacing w:line="570" w:lineRule="exact"/>
        <w:rPr>
          <w:rFonts w:hint="eastAsia" w:ascii="Times New Roman" w:hAnsi="Times New Roman" w:eastAsia="方正仿宋简体" w:cs="Times New Roman"/>
          <w:b/>
          <w:sz w:val="32"/>
          <w:szCs w:val="32"/>
        </w:rPr>
      </w:pPr>
      <w:r>
        <w:rPr>
          <w:rFonts w:hint="eastAsia" w:ascii="Times New Roman" w:hAnsi="Times New Roman" w:eastAsia="方正仿宋简体" w:cs="Times New Roman"/>
          <w:b/>
          <w:sz w:val="32"/>
          <w:szCs w:val="32"/>
        </w:rPr>
        <w:t>（二）加快发展物流服务业。</w:t>
      </w:r>
    </w:p>
    <w:p w14:paraId="18005EF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54.使用网络货运产业试点补助资金，继续支持呼和浩特市、包头市、通辽市、赤峰市、乌兰察布市、鄂尔多斯市、乌海市、二连浩特市开展网络货运产业试点。（责任单位：自治区财政厅、交通运输厅，内蒙古税务局）</w:t>
      </w:r>
    </w:p>
    <w:p w14:paraId="73FFE4F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55.鼓励农村牧区客运货运邮政快递融合发展，给予国家城乡交通运输一体化示范县投资补助300万元，给予自治区级城乡交通运输一体化示范县投资补助200万元，对承担农村牧区客运功能的旗县（市、区）客运站给予年度运营补贴20万元，对投入运营的苏木乡镇客运站给予年度运营补贴3万元，打通农牧民出行消费“最后一公里”。（责任单位：自治区交通运输厅、财政厅，内蒙古邮政管理局）</w:t>
      </w:r>
    </w:p>
    <w:p w14:paraId="6A0E573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56.对新命名的全国“四好农村路”示范县，给予1000万元一次性激励资金；对新命名的自治区级“四好农村路”示范旗县，给予500万元一次性激励资金。激励资金主要用于农村公路建设和养护。〔责任单位：自治区交通运输厅、财政厅、农牧厅（乡村振兴局），内蒙古邮政管理局〕</w:t>
      </w:r>
    </w:p>
    <w:p w14:paraId="2233CF3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57.按照补贴后区域内业务总体盈亏平衡和自主可持续经营等原则，以快递进村单量、单件成本、派送距离和服务发生区域等为依据，对实际发生的快递进村业务服务，按照每单不超过0.3元的标准，由各盟市制定实施差异化后补贴政策。（责任单位：内蒙古邮政管理局，各盟行政公署、市人民政府）</w:t>
      </w:r>
    </w:p>
    <w:p w14:paraId="08E2BB71">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58.结合自治区乡村振兴工作要求，对基础设施建设较为薄弱、距离苏木乡镇路途较为偏远、“快递进村”较为困难的脱贫村和有寄递服务需求但未设立服务点的建制村，依据《内蒙古自治区乡村公益性岗位开发与管理办法》要求，设立村级寄递物流综合服务公益性岗位，补助标准为500元/月，补贴至2025年。〔责任单位：内蒙古邮政管理局，自治区农牧厅（乡村振兴局）、交通运输厅、人力资源和社会保障厅，中国邮政集团有限公司内蒙古分公司〕</w:t>
      </w:r>
    </w:p>
    <w:p w14:paraId="3B8850D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59.列为国家多式联运示范工程并验收合格的项目，每个给予1000万元资金奖补。（责任单位：自治区交通运输厅、财政厅）</w:t>
      </w:r>
    </w:p>
    <w:p w14:paraId="644E137C">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60.继续对通行自治区内高速公路ETC客货车给予5%通行费折扣优惠，长期执行。继续推行高速公路差异化收费试点，在不削弱高速公路偿债能力的基础上，探索实施适合本地区特点的差异化收费模式和配套政策措施。降低高速公路出行成本，促进物流业降本增效。（责任单位：自治区交通运输厅、财政厅、发展改革委）</w:t>
      </w:r>
    </w:p>
    <w:p w14:paraId="76287388">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（三）壮大文旅商贸服务业。</w:t>
      </w:r>
    </w:p>
    <w:p w14:paraId="28F5D54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61.鼓励盟市开展促消费活动，发放消费抵用券。（责任单位：自治区商务厅、财政厅，各盟行政公署、市人民政府）</w:t>
      </w:r>
    </w:p>
    <w:p w14:paraId="68489E4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62.安排旅游专项资金对旅游休闲城市、重点旅游景区、旅游“四地”重点项目、乡村旅游、重点文旅活动给予支持。（责任单位：自治区文化和旅游厅、财政厅）</w:t>
      </w:r>
    </w:p>
    <w:p w14:paraId="3B4897AF">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63.安排文化旅游商品传承创新专项资金，支持“我和草原有个约定”文化旅游商品实体店、文化旅游商品开发、旅游驻场演艺、文化产业园区项目，推动文化旅游产品传承创新发展。（责任单位：自治区文化和旅游厅、财政厅）</w:t>
      </w:r>
    </w:p>
    <w:p w14:paraId="33AAB86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64.对旅行社招徕区外游客给予奖励。（责任单位：自治区文化和旅游厅、财政厅）</w:t>
      </w:r>
    </w:p>
    <w:p w14:paraId="4373152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65.积极推进绿色商场创建，健全废旧物资循环利用体系，对获得认定的绿色商场给予资金支持。（责任单位：自治区商务厅）</w:t>
      </w:r>
    </w:p>
    <w:p w14:paraId="6C2FCA1C">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66.继续实施县域商业体系建设行动，补齐县域商业基础设施短板，完善旗县（市、区）、苏木乡镇、嘎查村三级物流配送体系，改善优化县域消费渠道，增强农畜产品上行动能，提高生活服务供给质量。（责任单位：自治区商务厅、财政厅）</w:t>
      </w:r>
    </w:p>
    <w:p w14:paraId="2CF350B7">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67.继续使用外经贸专项资金，支持自治区跨境电商发展。发挥跨境电商助力传统产业转型升级、促进产业数字化发展的积极作用，推动外贸优化升级。（责任单位：自治区商务厅）</w:t>
      </w:r>
    </w:p>
    <w:p w14:paraId="5522C2D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68.继续使用外经贸专项资金，开展县域外经贸破零增量示范工作，对经认定的县域外经贸破零增量示范地区给予支持，通过持续优选扶持一批外经贸破零增量示范旗县（市、区）。（责任单位：自治区商务厅）</w:t>
      </w:r>
    </w:p>
    <w:p w14:paraId="6DB28AFE">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69.继续使用外经贸专项资金，开展巩固海外仓培育工作，经过两年培育、一年扶持，重点在RCEP成员国、“一带一路”沿线重点国家和地区建设一批公共海外仓。开展口岸运行质效提升工作，对货运量、客运量、交通工具3项运行指标按照合理权重比例给予补贴支持，促进口岸高质量发展。（责任单位：自治区商务厅）</w:t>
      </w:r>
    </w:p>
    <w:p w14:paraId="3F4F96C7">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（四）增加公共服务供给。</w:t>
      </w:r>
    </w:p>
    <w:p w14:paraId="754C5C09">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70.安排不低于50亿元资金，加大公共服务基础设施补短板力度，支持卫生健康、教育强国、全民健身、应对人口老龄化和托育、文化保护传承利用及社会服务兜底等重大公共服务工程建设。（责任单位：自治区发展改革委、教育厅、民政厅、财政厅、文化和旅游厅、卫生健康委、体育局）</w:t>
      </w:r>
    </w:p>
    <w:p w14:paraId="198400EF">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71.开展普惠养老城企联动专项行动，支持党政机关和国有企事业单位及其他社会力量增加普惠养老供给，对列入国家普惠养老城企联动专项行动的项目，居家社区型和医养结合型按照每张床位2万元给予支持，旅居型按照每张床位1万元给予支持。（责任单位：自治区发展改革委、民政厅、卫生健康委）</w:t>
      </w:r>
    </w:p>
    <w:p w14:paraId="2DC420B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72.开展普惠托育服务专项工程，支持公办机构和社会力量依托社区、幼儿园、妇幼保健机构等建设嵌入式、分布式、连锁化、专业化的托育服务设施，提供日托、计时托等普惠托育服务。对列入国家普惠托育专项的项目，按每个托位1万元的标准给予资金补助；对纳入国家普惠托育服务发展示范项目的地区给予1亿元的资金补助。（责任单位：自治区发展改革委、教育厅、卫生健康委）</w:t>
      </w:r>
    </w:p>
    <w:p w14:paraId="1BFF8D3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73.深入实施家政兴农行动，持续开展家政劳务对接，鼓励和支持家政企业以独营、嵌入、合作、线上等方式进驻社区。充分发挥家政信用信息平台作用，依法依规实施守信激励和失信惩戒。加大家政劳务品牌宣传推介力度，全方位提升家政服务水平。（责任单位：自治区商务厅、发展改革委、民政厅、人力资源社会保障厅）</w:t>
      </w:r>
    </w:p>
    <w:p w14:paraId="7D4FB666">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74.对当年新获得中国质量奖、中国质量奖提名奖的单位分别奖励500万元、200万元，对新获得自治区主席质量奖的服务业企业给予100万元资助资金，支持中华老字号、内蒙古老字号企业创新发展。（责任单位：自治区市场监管局、商务厅）</w:t>
      </w:r>
    </w:p>
    <w:p w14:paraId="53311F93">
      <w:pPr>
        <w:snapToGrid w:val="0"/>
        <w:spacing w:line="570" w:lineRule="exact"/>
        <w:rPr>
          <w:rFonts w:hint="eastAsia" w:ascii="Times New Roman" w:hAnsi="Times New Roman" w:eastAsia="宋体" w:cs="Times New Roman"/>
        </w:rPr>
      </w:pPr>
      <w:r>
        <w:rPr>
          <w:rFonts w:hint="eastAsia" w:ascii="Times New Roman" w:hAnsi="Times New Roman" w:eastAsia="方正黑体简体" w:cs="Times New Roman"/>
          <w:sz w:val="32"/>
          <w:szCs w:val="32"/>
        </w:rPr>
        <w:t>四、强化要素支撑</w:t>
      </w:r>
    </w:p>
    <w:p w14:paraId="7AD134F7">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（一）加强土地要素保障。</w:t>
      </w:r>
    </w:p>
    <w:p w14:paraId="47EFC51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75.严格落实经国家批准启用的自治区“三区三线”划定成果，在各级国土空间规划正式批准前的过渡期，对已经自治区自然资源厅组织审查通过的盟市、旗县（市、区）国土空间总体规划，可作为项目用地组卷报批依据。待盟市、旗县（市、区）国土空间总体规划批准后，严格执行规划要求。〔责任单位：自治区自然资源厅、工业和信息化厅、交通运输厅、农牧厅（乡村振兴局）、水利厅、能源局〕</w:t>
      </w:r>
    </w:p>
    <w:p w14:paraId="0680D55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76.在符合国土空间规划等前提下，支持风电光伏项目使用未利用土地，对使用戈壁、荒漠等未利用地的，不占压土地、不改变地表形态的，按原地类认定。项目永久性建筑用地部分需办理建设用地审批手续。〔责任单位：自治区自然资源厅、能源局，内蒙古电力（集团）公司、国网蒙东电力公司〕</w:t>
      </w:r>
    </w:p>
    <w:p w14:paraId="70AFC56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77.鼓励风电光伏项目利用露天矿排土场、采煤沉陷区土地。对于因采煤沉陷无法恢复的农用地，根据变更调查技术规程标准，符合变更条件的按现状调查，上报国家予以变更。（责任单位：自治区自然资源厅、能源局）</w:t>
      </w:r>
    </w:p>
    <w:p w14:paraId="1D1846FE">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（二）加强水资源要素保障。</w:t>
      </w:r>
    </w:p>
    <w:p w14:paraId="541A8669">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78.加快推进盟市间水权二期工程建设，力争2024年为沿黄盟市解决5000万立方米工业用水指标。（责任单位：自治区水利厅）</w:t>
      </w:r>
    </w:p>
    <w:p w14:paraId="3161273C">
      <w:pPr>
        <w:snapToGrid w:val="0"/>
        <w:spacing w:line="570" w:lineRule="exact"/>
        <w:rPr>
          <w:rFonts w:hint="eastAsia" w:ascii="Times New Roman" w:hAnsi="Times New Roman" w:eastAsia="方正仿宋简体" w:cs="Times New Roman"/>
          <w:b/>
          <w:sz w:val="32"/>
          <w:szCs w:val="32"/>
        </w:rPr>
      </w:pPr>
      <w:r>
        <w:rPr>
          <w:rFonts w:hint="eastAsia" w:ascii="Times New Roman" w:hAnsi="Times New Roman" w:eastAsia="方正仿宋简体" w:cs="Times New Roman"/>
          <w:b/>
          <w:sz w:val="32"/>
          <w:szCs w:val="32"/>
        </w:rPr>
        <w:t>（三）合理统筹能耗指标。</w:t>
      </w:r>
    </w:p>
    <w:p w14:paraId="3B0A2A17">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79.全面落实新增原料用能和可再生能源消费量不纳入能耗总量和强度控制政策，对化石能源和可再生能源、燃料动力用能和原材料用能实行差别化的节能审查政策，在项目能耗强度影响评估中，对项目原料用能和可再生能源消费量予以核减。（责任单位：自治区发展改革委、能源局）</w:t>
      </w:r>
    </w:p>
    <w:p w14:paraId="49F01CB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80.实行项目节能审查能耗强度标杆值政策，突出能耗强度导向，充分保障低能耗强度项目用能需求，有效化解高能耗强度项目影响，引导能耗要素向低能耗、高附加值的项目配置。（责任单位：自治区发展改革委）</w:t>
      </w:r>
    </w:p>
    <w:p w14:paraId="7DF72E8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81.组织实施自治区重大项目能耗单列，加强能耗指标统筹，合理保障重大项目建设用能需求。（责任单位：自治区发展改革委、工业和信息化厅、能源局）</w:t>
      </w:r>
    </w:p>
    <w:p w14:paraId="4283708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82.全区城镇总体规划区内新建建筑全面执行绿色建筑标准。到2024年底，全区新建建筑中装配式建筑面积占比力争达到25%。（责任单位：自治区住房城乡建设厅）</w:t>
      </w:r>
    </w:p>
    <w:p w14:paraId="16907AAB">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（四）提升金融服务水平。</w:t>
      </w:r>
    </w:p>
    <w:p w14:paraId="13F06D91">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83.对当年支持小微企业和“三农三牧”主体融资担保（再担保）达到规定条件的融资担保公司，按照其当年新增小微企业和“三农三牧”主体担保（再担保）责任金额的1%进行风险补偿，单户最高不超500万元。对当年收取新增小微企业和“三农三牧”主体担保（再担保）费率1%（含）以下的，按照当年保费收入（不含税金）的10%给予保费补助。〔责任单位：自治区地方金融管理局、财政厅、农牧厅（乡村振兴局）〕</w:t>
      </w:r>
    </w:p>
    <w:p w14:paraId="64F78B3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84.支持农牧业经营主体融资，按照融资成本最高不超过8%的标准，重点对家庭农场、种养大户、农牧民合作社等适度规模新型经营主体提供10万元—300万元的担保贷款。〔责任单位：自治区财政厅、农牧厅（乡村振兴局）、地方金融管理局，中国人民银行内蒙古自治区分行、国家金融监管总局内蒙古监管局〕</w:t>
      </w:r>
    </w:p>
    <w:p w14:paraId="32AE9ADF">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85.加大农业保险支持力度，在产粮大县实施三大粮食作物完全成本保险或种植收入保险，中央和自治区分别承担45%和30%的保险费补贴。实施草原保险试点政策，推动草原保险健康发展。〔责任单位：自治区财政厅、农牧厅（乡村振兴局）、林草局，国家金融监管总局内蒙古监管局〕</w:t>
      </w:r>
    </w:p>
    <w:p w14:paraId="0BE3E6C6">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86.继续发挥自治区粮食收购贷款信用保证基金作用，支持农业发展银行为粮食企业市场化收购粮食提供更大规模融资增信。（责任单位：自治区粮食和物资储备局、财政厅，国家金融监管总局内蒙古监管局、农业发展银行内蒙古分行）</w:t>
      </w:r>
    </w:p>
    <w:p w14:paraId="08C46A0E">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87.2024年安排自治区重点产业发展引导基金2亿元，以市场化方式支持先进制造业集群和产业链重大项目。推动新能源装备制造产业基金认缴到位，重点支持新能源装备制造重大项目建设。发挥现有政府投资基金在做强已有产业、孵化新兴产业、捕捉未来产业的作用，推动生物医药创新研发平台建设，促进自治区生物医药产业结构转型升级。（责任单位：自治区财政厅、工业和信息化厅）</w:t>
      </w:r>
    </w:p>
    <w:p w14:paraId="28A7E58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88.有效发挥流动性风险防控基金和纾困发展基金作用，加大助企纾困力度，缓释企业流动性和刚性兑付、兑付信用债违约风险。（责任单位：自治区财政厅、地方金融管理局）</w:t>
      </w:r>
    </w:p>
    <w:p w14:paraId="12BE6A0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89.有效应对人民币汇率双向波动，支持推广汇率避险政策及汇率风险管理产品，鼓励银行让费减利，引导涉外企业树立风险中性意识，提升企业汇率风险管理能力与水平。推动小微企业汇率避险政策性担保机制落地。（责任单位：自治区地方金融管理局、商务厅，中国人民银行内蒙古自治区分行、国家金融监管总局内蒙古监管局）</w:t>
      </w:r>
    </w:p>
    <w:p w14:paraId="783C164A">
      <w:pPr>
        <w:snapToGrid w:val="0"/>
        <w:spacing w:line="570" w:lineRule="exact"/>
        <w:ind w:firstLine="640" w:firstLineChars="200"/>
        <w:rPr>
          <w:rFonts w:hint="eastAsia" w:ascii="Times New Roman" w:hAnsi="Times New Roman" w:eastAsia="方正仿宋简体" w:cs="Times New Roman"/>
          <w:sz w:val="32"/>
          <w:szCs w:val="32"/>
        </w:rPr>
      </w:pPr>
    </w:p>
    <w:p w14:paraId="79CE746F">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90.鼓励金融机构降低企业融资成本，支持辖区内地方法人金融机构将贷款市场报价利率（LPR）嵌入内部资金转移定价（FTP），持续监督放贷机构按要求明示贷款年化利率。（责任单位：中国人民银行内蒙古自治区分行、国家金融监管总局内蒙古监管局）</w:t>
      </w:r>
    </w:p>
    <w:p w14:paraId="052655D2">
      <w:pPr>
        <w:snapToGrid w:val="0"/>
        <w:spacing w:line="570" w:lineRule="exact"/>
        <w:ind w:firstLine="640" w:firstLineChars="200"/>
        <w:rPr>
          <w:rFonts w:hint="eastAsia" w:ascii="Times New Roman" w:hAnsi="Times New Roman" w:eastAsia="方正仿宋简体" w:cs="Times New Roman"/>
          <w:sz w:val="32"/>
          <w:szCs w:val="32"/>
        </w:rPr>
      </w:pPr>
    </w:p>
    <w:p w14:paraId="00E15FB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91.鼓励更多优质企业改制上市。对在内蒙古证监局办理上市辅导备案的企业，给予100万元奖补；对向沪、深、北证券交易所提交上市申报材料并获得受理的企业，给予200万元奖补；对在沪、深、北证券交易所实现首发上市的企业，给予1000万元奖补；对在境外（香港、纽约、纳斯达克证券交易所）上市的企业一次性奖补500万元。（责任单位：自治区地方金融管理局、财政厅，内蒙古证监局）</w:t>
      </w:r>
    </w:p>
    <w:p w14:paraId="362F1AFF">
      <w:pPr>
        <w:rPr>
          <w:rFonts w:hint="eastAsia" w:ascii="Times New Roman" w:hAnsi="Times New Roman" w:eastAsia="宋体" w:cs="Times New Roman"/>
        </w:rPr>
      </w:pPr>
    </w:p>
    <w:p w14:paraId="64975F0F">
      <w:pPr>
        <w:rPr>
          <w:rFonts w:hint="eastAsia" w:ascii="Times New Roman" w:hAnsi="Times New Roman" w:eastAsia="宋体" w:cs="Times New Roman"/>
        </w:rPr>
      </w:pPr>
      <w:r>
        <w:rPr>
          <w:rFonts w:hint="eastAsia" w:ascii="Times New Roman" w:hAnsi="Times New Roman" w:eastAsia="方正仿宋简体" w:cs="Times New Roman"/>
          <w:b/>
          <w:sz w:val="32"/>
          <w:szCs w:val="32"/>
        </w:rPr>
        <w:t>（五）加强人才政策支持。</w:t>
      </w:r>
    </w:p>
    <w:p w14:paraId="417A55D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92.获得国家科学技术奖的个人、组织，自治区按照国家奖金额度的5倍给予奖金和科研经费支持，其中，60%用于对获奖项目主要完成人的奖励，40%用于项目完成单位自主选题的科研经费。鼓励企业对科研人员实施股权、期权和分红激励，对按照国家规定实行项目收益分红、岗位分红等中长期激励和科技成果转化收益的国有企业，发放的激励收入据实计入工资总额，不作为工资总额预算基数。（责任单位：自治区科技厅、人力资源社会保障厅、国资委）</w:t>
      </w:r>
    </w:p>
    <w:p w14:paraId="17B077F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93.优化人才落户和子女入学政策，进一步完善人才落户绿色通道及服务专员机制，对符合条件来内蒙古就业的高层次引进人才子女，由属地教育行政部门按照有关政策要求就近就便安置入学。（责任单位：自治区公安厅、教育厅、工业和信息化厅、人力资源社会保障厅）</w:t>
      </w:r>
    </w:p>
    <w:p w14:paraId="654226C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94.支持盟市加快发展保障性租赁住房，重点解决符合条件的新市民、青年人住房困难问题。基本实现城镇低保、低收入住房困难家庭依申请应保尽保。各地区可结合当地的人才引进政策，针对不同层次人才，确定保障性住房的具体保障范围、保障标准和保障方式。加快推进老旧小区改造，2024年计划实施城镇老旧小区改造1185个、19.55万户。继续实施农村牧区危房改造，有效改善住房困难群众的住房条件和居住环境。（责任单位：自治区住房城乡建设厅、发展改革委、人力资源社会保障厅，各盟行政公署、市人民政府）</w:t>
      </w:r>
    </w:p>
    <w:p w14:paraId="1ABD8D7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95.对经自治区机构编制部门批准设立的新型研发机构，可使用自治区人才专项编制予以保障。（责任单位：自治区党委编办）</w:t>
      </w:r>
    </w:p>
    <w:p w14:paraId="3454C95E">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96.对“大国工匠”、“北疆工匠”分别按20万元、10万元标准给予一次性奖励。（责任单位：自治区工业和信息化厅、人力资源社会保障厅、财政厅、总工会）</w:t>
      </w:r>
    </w:p>
    <w:p w14:paraId="082C74DB">
      <w:pPr>
        <w:rPr>
          <w:rFonts w:hint="eastAsia" w:ascii="Times New Roman" w:hAnsi="Times New Roman" w:eastAsia="宋体" w:cs="Times New Roman"/>
        </w:rPr>
      </w:pPr>
    </w:p>
    <w:p w14:paraId="0BDE91E5">
      <w:pPr>
        <w:snapToGrid w:val="0"/>
        <w:spacing w:line="570" w:lineRule="exact"/>
        <w:rPr>
          <w:rFonts w:hint="eastAsia" w:ascii="Times New Roman" w:hAnsi="Times New Roman" w:eastAsia="方正黑体简体" w:cs="Times New Roman"/>
          <w:sz w:val="32"/>
          <w:szCs w:val="32"/>
        </w:rPr>
      </w:pPr>
      <w:r>
        <w:rPr>
          <w:rFonts w:hint="eastAsia" w:ascii="Times New Roman" w:hAnsi="Times New Roman" w:eastAsia="方正黑体简体" w:cs="Times New Roman"/>
          <w:sz w:val="32"/>
          <w:szCs w:val="32"/>
        </w:rPr>
        <w:t>五、优化发展环境</w:t>
      </w:r>
    </w:p>
    <w:p w14:paraId="2D83D89A">
      <w:pPr>
        <w:snapToGrid w:val="0"/>
        <w:spacing w:line="570" w:lineRule="exact"/>
        <w:rPr>
          <w:rFonts w:hint="eastAsia" w:ascii="Times New Roman" w:hAnsi="Times New Roman" w:eastAsia="宋体" w:cs="Times New Roman"/>
        </w:rPr>
      </w:pPr>
      <w:r>
        <w:rPr>
          <w:rFonts w:hint="eastAsia" w:ascii="Times New Roman" w:hAnsi="Times New Roman" w:eastAsia="方正仿宋简体" w:cs="Times New Roman"/>
          <w:b/>
          <w:sz w:val="32"/>
          <w:szCs w:val="32"/>
        </w:rPr>
        <w:t>（一）减轻企业负担。</w:t>
      </w:r>
    </w:p>
    <w:p w14:paraId="02DE989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97.拖欠民营企业、中小企业无分歧账款一律清偿到位，确保欠款动态清零。（责任单位：自治区工业和信息化厅、财政厅）</w:t>
      </w:r>
    </w:p>
    <w:p w14:paraId="13971E51">
      <w:pPr>
        <w:snapToGrid w:val="0"/>
        <w:spacing w:line="570" w:lineRule="exact"/>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98.自2021年1月1日至2025年12月31日，对年应纳税所得额低于100万元（含100万元）的小型微利企业免征企业所得税地方分享部分。对月销售额不超过3万元（按季9万元）的小规模纳税人免征房产税、城镇土地使用税。货车、挂车、专用作业车、轮式专用机械车车船税适用税额按照现行车船税适用税额的50%征收。（责任单位：内蒙古税务局、自治区财政厅）</w:t>
      </w:r>
    </w:p>
    <w:p w14:paraId="6D1098F8">
      <w:pPr>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99.落实城市配送车辆便利通行政策，对运输生活必需品、鲜活农产品、冷藏保鲜产品、邮政寄递等涉及民生物资的新能源和清洁能源配送车辆，给予优先通行权。（责任单位：自治区公安厅、内蒙古邮政管理局）</w:t>
      </w:r>
    </w:p>
    <w:p w14:paraId="6E6132DB">
      <w:pPr>
        <w:ind w:firstLine="640" w:firstLineChars="200"/>
        <w:rPr>
          <w:rFonts w:hint="eastAsia" w:ascii="Times New Roman" w:hAnsi="Times New Roman" w:eastAsia="宋体" w:cs="Times New Roman"/>
        </w:rPr>
      </w:pPr>
      <w:r>
        <w:rPr>
          <w:rFonts w:hint="eastAsia" w:ascii="Times New Roman" w:hAnsi="Times New Roman" w:eastAsia="方正仿宋简体" w:cs="Times New Roman"/>
          <w:sz w:val="32"/>
          <w:szCs w:val="32"/>
        </w:rPr>
        <w:t>100.开展涉企收费专项治理。强化对国家机关及下属单位收费监管，重点治理电子政务平台违规收费或转嫁费用的违法违规行为。继续加强水电气暖乱收费检查，强化供水供电供气供暖工程安装、维护维修领域价格监管，查处不执行政府定价或政府指导价、收取不合理费用的违法违规行为。聚焦金融机构融资环节和支付环节，重点查处与贷款捆绑强制收费、中间业务只收费不服务、不落实支付手续费减免政策等行为。（责任单位：自治区市场监管局）</w:t>
      </w:r>
    </w:p>
    <w:p w14:paraId="738BC7A1">
      <w:pPr>
        <w:rPr>
          <w:rFonts w:hint="eastAsia" w:ascii="Times New Roman" w:hAnsi="Times New Roman" w:eastAsia="宋体" w:cs="Times New Roman"/>
        </w:rPr>
      </w:pPr>
      <w:r>
        <w:rPr>
          <w:rFonts w:hint="eastAsia" w:ascii="Times New Roman" w:hAnsi="Times New Roman" w:eastAsia="方正仿宋简体" w:cs="Times New Roman"/>
          <w:b/>
          <w:sz w:val="32"/>
          <w:szCs w:val="32"/>
        </w:rPr>
        <w:t>（二）优化市场环境。</w:t>
      </w:r>
    </w:p>
    <w:p w14:paraId="0FE4D4BA">
      <w:pPr>
        <w:rPr>
          <w:rFonts w:hint="eastAsia" w:ascii="Times New Roman" w:hAnsi="Times New Roman" w:eastAsia="宋体" w:cs="Times New Roman"/>
        </w:rPr>
      </w:pPr>
    </w:p>
    <w:p w14:paraId="507E5BC1">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101.有条件的口岸对抵达海关监管作业场所且完整提交相关信息的RCEP原产易腐货物和快件，在满足必要条件下争取实行6小时内放行的便利措施。（责任单位：呼和浩特海关）</w:t>
      </w:r>
    </w:p>
    <w:p w14:paraId="521AFC92">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102.积极争取中国国家铁路集团有限公司增加内蒙古中欧班列开行计划，增加开行线路。在口岸通关、铁路作业等方面建立路企协作机制。支持“即卸即装”运输模式，推广实施“铁路快通”应用。（责任单位：中国铁路呼和浩特局集团有限公司、自治区发展改革委、呼和浩特海关、满洲里海关）</w:t>
      </w:r>
    </w:p>
    <w:p w14:paraId="7B3A5B7D">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103.贯彻落实《促进个体工商户发展条例》，深入实施《内蒙古自治区小微企业个体工商户三年成长计划（2023—2025）》。持续推动“全区通办”改革，动态调整“全区通办”事项清单，逐步扩大事项通办范围，实现高频政务服务事项“一次办”、“跨省通办”。推广电子营业执照和电子印章应用，实现企业身份识别认证。（责任单位：自治区政务服务与数据管理局、市场监管局）</w:t>
      </w:r>
    </w:p>
    <w:p w14:paraId="629322D8">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104.持续提升重点项目代办、帮办服务质效，为重点项目承建企业提供精准代办、贴心帮办服务。加快推进政务服务向工业园区延伸，以工业园区“政务服务工作站”为载体，为工业园区企业提供优质高效便捷的政务服务，实现“园区事园区办”。（责任单位：自治区政务服务与数据管理局、工业和信息化厅）</w:t>
      </w:r>
    </w:p>
    <w:p w14:paraId="57D993D9">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105.进一步加强计量、标准、检验检测、认证认可等质量基础设施建设，打造质量基础设施集成服务基地，推进质量技术服务“进园区”、“进企业”，促进区域经济创新发展。（责任单位：自治区市场监管局）</w:t>
      </w:r>
    </w:p>
    <w:p w14:paraId="6F68A737">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106.强化公平竞争审查。开展地方保护和市场分割突出问题专项整治，清理废除歧视、妨碍市场主体参与市场经济活动的政策措施，完善自治区公平竞争审查相关制度，开展公平竞争审查第三方评估工作，全面推进全国统一大市场建设。（责任单位：自治区市场监管局）</w:t>
      </w:r>
    </w:p>
    <w:p w14:paraId="20D93F28">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107.强化食品药品安全监管，针对群众反映强烈、危害产业发展的行为开展专项整治。（责任单位：自治区市场监管局、药监局）</w:t>
      </w:r>
    </w:p>
    <w:p w14:paraId="758577F2">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108.全面提升知识产权创造、运用、保护、管理和服务水平，实施专利转化运用专项行动，激发全社会创新活力。深化部门联合“双随机、一公开”监管，推进企业信用风险分级分类管理，强化事中事后监管。（责任单位：自治区市场监管局）</w:t>
      </w:r>
    </w:p>
    <w:p w14:paraId="5F33D28D">
      <w:pPr>
        <w:rPr>
          <w:rFonts w:hint="eastAsia" w:ascii="Times New Roman" w:hAnsi="Times New Roman" w:eastAsia="方正仿宋简体" w:cs="Times New Roman"/>
          <w:sz w:val="32"/>
          <w:szCs w:val="32"/>
        </w:rPr>
      </w:pPr>
      <w:r>
        <w:rPr>
          <w:rFonts w:hint="eastAsia" w:ascii="Times New Roman" w:hAnsi="Times New Roman" w:eastAsia="方正仿宋简体" w:cs="Times New Roman"/>
          <w:b/>
          <w:sz w:val="32"/>
          <w:szCs w:val="32"/>
        </w:rPr>
        <w:t>（三）激发地方活力。</w:t>
      </w:r>
    </w:p>
    <w:p w14:paraId="37C5E196">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109.鼓励各地区通过股权分配、税收分成等方式合作共建重大项目，支持发展“飞地经济”，按照采购规模，对产值、投资、税收等经济指标在产销两地进行分成核算。（责任单位：自治区能源局、工业和信息化厅、财政厅、统计局）</w:t>
      </w:r>
    </w:p>
    <w:p w14:paraId="170A82ED">
      <w:pPr>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110.按照各盟市优化营商环境评估、固定资产投资增长及中央预算内投资执行等情况，对排名靠前的盟市在安排自治区基本建设预算资金时给予倾斜。</w:t>
      </w:r>
    </w:p>
    <w:p w14:paraId="4C6543D1">
      <w:pPr>
        <w:snapToGrid w:val="0"/>
        <w:spacing w:line="570" w:lineRule="exact"/>
        <w:ind w:firstLine="640" w:firstLineChars="200"/>
        <w:jc w:val="left"/>
        <w:rPr>
          <w:rFonts w:hint="eastAsia" w:ascii="Times New Roman" w:hAnsi="Times New Roman" w:eastAsia="方正仿宋简体" w:cs="方正仿宋简体"/>
          <w:color w:val="424242"/>
          <w:kern w:val="0"/>
          <w:sz w:val="32"/>
          <w:szCs w:val="32"/>
          <w:shd w:val="clear" w:color="auto" w:fill="FFFFFF"/>
          <w:lang w:val="en-US" w:eastAsia="zh-CN" w:bidi="ar"/>
        </w:rPr>
      </w:pPr>
    </w:p>
    <w:p w14:paraId="717820D9">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t>贵州省服务“六大产业基地”建设加快发展</w:t>
      </w:r>
    </w:p>
    <w:p w14:paraId="33884957">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t>生产性服务业的若干政策措施</w:t>
      </w:r>
    </w:p>
    <w:p w14:paraId="7FE80940">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2024年12月29日</w:t>
      </w:r>
    </w:p>
    <w:p w14:paraId="36827F8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fldChar w:fldCharType="begin"/>
      </w:r>
      <w:r>
        <w:rPr>
          <w:rFonts w:ascii="Times New Roman" w:hAnsi="Times New Roman" w:eastAsia="方正仿宋简体" w:cs="Times New Roman"/>
          <w:sz w:val="32"/>
          <w:szCs w:val="22"/>
        </w:rPr>
        <w:instrText xml:space="preserve"> HYPERLINK "https://dsj.guizhou.gov.cn/zwgk/zcwj/fgwj/202501/t20250110_86607795.html" </w:instrText>
      </w:r>
      <w:r>
        <w:rPr>
          <w:rFonts w:ascii="Times New Roman" w:hAnsi="Times New Roman" w:eastAsia="方正仿宋简体" w:cs="Times New Roman"/>
          <w:sz w:val="32"/>
          <w:szCs w:val="22"/>
        </w:rPr>
        <w:fldChar w:fldCharType="separate"/>
      </w:r>
      <w:r>
        <w:rPr>
          <w:rFonts w:ascii="Times New Roman" w:hAnsi="Times New Roman" w:eastAsia="方正仿宋简体" w:cs="Times New Roman"/>
          <w:color w:val="0563C1"/>
          <w:sz w:val="32"/>
          <w:szCs w:val="22"/>
          <w:u w:val="single"/>
        </w:rPr>
        <w:t>https://dsj.guizhou.gov.cn/zwgk/zcwj/fgwj/202501/t20250110_86607795.html</w:t>
      </w:r>
      <w:r>
        <w:rPr>
          <w:rFonts w:ascii="Times New Roman" w:hAnsi="Times New Roman" w:eastAsia="方正仿宋简体" w:cs="Times New Roman"/>
          <w:color w:val="0563C1"/>
          <w:sz w:val="32"/>
          <w:szCs w:val="22"/>
          <w:u w:val="single"/>
        </w:rPr>
        <w:fldChar w:fldCharType="end"/>
      </w:r>
    </w:p>
    <w:p w14:paraId="31537A41">
      <w:pPr>
        <w:spacing w:line="570" w:lineRule="exact"/>
        <w:ind w:firstLine="640" w:firstLineChars="200"/>
        <w:rPr>
          <w:rFonts w:hint="eastAsia" w:ascii="Times New Roman" w:hAnsi="Times New Roman" w:eastAsia="方正仿宋简体" w:cs="Times New Roman"/>
          <w:sz w:val="32"/>
          <w:szCs w:val="22"/>
        </w:rPr>
      </w:pPr>
    </w:p>
    <w:p w14:paraId="128357C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发展生产性服务业是引领推动产业向价值链中高端迈进的关键环节和重要途径。为加快推动贵州省生产性服务业高质量发展，提升对“六大产业基地”建设的服务支撑能力，提出如下政策措施。</w:t>
      </w:r>
    </w:p>
    <w:p w14:paraId="41310823">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一、总体要求</w:t>
      </w:r>
    </w:p>
    <w:p w14:paraId="527D9B2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以习近平新时代中国特色社会主义思想为指导，全面贯彻落实党的二十大、二十届三中全会及2024年中央经济工作会议精神，深入贯彻落实习近平总书记视察贵州重要讲话和对贵州工作重要指示精神，按照省第十三次党代会、省委十三届五次全会、六次全会暨省委经济工作会议部署，完整、准确、全面贯彻新发展理念，服务和融入新发展格局，坚持以高质量发展统揽全局，以科技创新引领新质生产力发展，科学统筹、适度超前布局新型基础设施建设，加快构建现代化产业体系，大力提升研发设计、数智赋能、现代物流、现代金融、节能环保、人力资源等生产性服务业重点领域专业化、社会化、综合性服务能力，不断提高服务效率和水平，为开创经济兴、百姓富、生态美的多彩贵州新未来，谱写中国式现代化贵州篇章提供有力支撑。到2028年，生产性服务业对“六大产业基地”建设的服务支撑能力明显提升，规模以上服务业企业年新增350家以上。</w:t>
      </w:r>
    </w:p>
    <w:p w14:paraId="5EEDA74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二、大力提高研发设计服务能力</w:t>
      </w:r>
    </w:p>
    <w:p w14:paraId="6CCEBAE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一）加快优化高能级科技研发创新平台建设布局。支持链主企业、龙头企业联合高校、科研机构等建设一批国家级重点实验室、省级重点实验室、技术创新中心、产业技术工程化中心，并向产业链相关企业提供服务，依法依规对国家级、省级创新平台建设给予资金支持。（责任单位：省科技厅、省工业和信息化厅、省发展改革委、省教育厅等，各市〔州〕、县〔市、区、特区〕人民政府。以下措施均需各市〔州〕、县〔市、区、特区〕人民政府落实，不再列出）</w:t>
      </w:r>
    </w:p>
    <w:p w14:paraId="2BDFABA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（二）充分发挥产业技术创新战略联盟作用。支持链主企业、龙头企业领衔开展产业核心关键共性技术攻关，重点攻关锂、稀土</w:t>
      </w:r>
      <w:r>
        <w:rPr>
          <w:rFonts w:hint="eastAsia" w:ascii="Times New Roman" w:hAnsi="Times New Roman" w:eastAsia="方正仿宋简体" w:cs="Times New Roman"/>
          <w:sz w:val="32"/>
          <w:szCs w:val="22"/>
        </w:rPr>
        <w:t>三一重工 SRSC45H 正面吊</w:t>
      </w:r>
      <w:r>
        <w:rPr>
          <w:rFonts w:ascii="Times New Roman" w:hAnsi="Times New Roman" w:eastAsia="方正仿宋简体" w:cs="Times New Roman"/>
          <w:sz w:val="32"/>
          <w:szCs w:val="22"/>
        </w:rPr>
        <w:t>、锰、磷、铝等战略性矿产资源开采、高效利用和固废无害化处理等关键技术，力争在先进装备制造、大数据电子信息、现代能源等产业核心技术方面实现突破。对符合条件的攻关项目纳入省科技重大专项，最高给予1000万元经费支持。（责任单位：省科技厅、省工业和信息化厅、省大数据局、省自然资源厅、省能源局等）</w:t>
      </w:r>
    </w:p>
    <w:p w14:paraId="4C6B540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（三）积极引导中小型企业加大研发投入。支持科技型中小型企业围绕新产品、新技术、新工艺和新装备开展研发创新，指导符合条件的企业用好“科技创新券”政策。（责任单位：省科技厅等）</w:t>
      </w:r>
    </w:p>
    <w:p w14:paraId="17C9493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四）努力推动创新型综合服务平台高质量发展。促进省级工业设计中心、交通大数据应用技术创新中心、绿色智慧建造工程研究中心等创新型综合服务平台同国内知名机构、企业、团队展开深度战略合作，提高服务支撑能力，对新认定符合条件的国家级和省级创新型综合服务平台依法依规给予支持。（责任单位：省工业和信息化厅、省交通运输厅、省住房城乡建设厅等）</w:t>
      </w:r>
    </w:p>
    <w:p w14:paraId="793D6AD2">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五）持续强化省质量基础设施服务平台建设。鼓励企业、检测机构及科研院所等联合共建共享公共检测平台。支持企业自建高质量检测平台对外提供公共服务。支持企业创建新能源动力电池及材料检验检测中心，加快筹建国家白酒产业计量测试中心（贵州）。推动检验检测机构开展“一站式”服务。（责任单位：省市场监管局等）</w:t>
      </w:r>
    </w:p>
    <w:p w14:paraId="11A8E29B">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三、加快提升数智赋能服务水平</w:t>
      </w:r>
    </w:p>
    <w:p w14:paraId="4EEFBC3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（六）优化提升数智赋能算力基础保障能力。支持贵安新区加快电力基础设施规划建设，统筹绿电绿证资源保障智算中心供给，推动扩大智算规模。（责任单位：省大数据局、省能源局等）</w:t>
      </w:r>
    </w:p>
    <w:p w14:paraId="61C617C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七）积极推动企业“上云用数赋智”。推动企业按照智能制造国家标准打造数字产线、无人车间、智能工厂、灯塔工厂，加快大模型发展及AI技术应用，引导和支持“专精特新”中小企业实施生产管理、营销服务等数字化改造。对符合条件的企业依法依规给予算力支持，降低企业算力使用成本。依法依规向企业、社会开放重点领域公共数据，鼓励通过贵州数据流通交易平台提供高质量数据集。（责任单位：省工业和信息化厅、省大数据局、省政务服务中心等）</w:t>
      </w:r>
    </w:p>
    <w:p w14:paraId="60B7100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八）加速推进工业互联网一体化服务发展。鼓励咨询诊断、规划设计、解决方案、系统集成等跨行业跨领域、行业级、专业型工业互联网平台建设，对符合条件的依法依规给予支持。（责任单位：省工业和信息化厅、省大数据局等）</w:t>
      </w:r>
    </w:p>
    <w:p w14:paraId="5380C084">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九）加快数字化应用场景构建和开放。积极推广智改数转典型案例示范应用，将数字化应用场景重点项目纳入各行业专项资金支持范围。（责任单位：省工业和信息化厅、省科技厅、省能源局、省交通运输厅、省文化和旅游厅、省农业农村厅、省大数据局等）</w:t>
      </w:r>
    </w:p>
    <w:p w14:paraId="552F0531">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四、着力推动现代物流体系建设</w:t>
      </w:r>
    </w:p>
    <w:p w14:paraId="1874F29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多措并举推动铁路物流提质增效。加快推进多式联运一单制、一箱制，研究制定多式联运运单格式。落实精简铁路货运杂费项目、降低运杂费迟交金收费标准、取消货物运输变更手续费等政策。支持有条件的产业园区、物流枢纽、工矿企业采用市场化方式规划建设铁路专用线，推进铁路专用线共建共享。集中力量支持做大贵阳国际陆港。（责任单位：省交通运输厅、省发展改革委、省商务厅、省能源局、贵阳海关等）</w:t>
      </w:r>
    </w:p>
    <w:p w14:paraId="6614EEA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一）充分释放公路网络资源效能。优化完善高速公路差异化收费政策，推动高速公路建设运营企业提升运输服务水平。延续实行收费还贷高速公路资产不计提折旧政策，允许在不改变土地权属的前提下，采用多种方式积极推动高速公路闲置土地多元化利用。进一步放宽物流车辆城市通行限制。支持建设贵阳至粤港澳大湾区、周边省会城市物流大通道。（责任单位：省交通运输厅、省自然资源厅等）</w:t>
      </w:r>
    </w:p>
    <w:p w14:paraId="6ADCF353">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二）支持现代化物流企业转型升级。组建物流数字化转型、冷链等产业联盟，推动物流业经营主体发展壮大，依法依规对新晋国家A级以上物流企业给予支持。打造省级网络货运公共服务平台，规范网络货运平台企业发展。（责任单位：省发展改革委、省交通运输厅等）</w:t>
      </w:r>
    </w:p>
    <w:p w14:paraId="23858B12">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三）推进现代物流园区建设发展。评定一批为工业企业提供库存管理、产能管理、运输分拨、分销贸易等供应链一体化物流服务的省级和区域示范物流园区，支持符合条件的物流园区发行基础设施不动产投资信托基金（REITs），积极争取中央预算内专项资金、超长期特别国债等支持物流园区建设。（责任单位：省发展改革委、省财政厅等）</w:t>
      </w:r>
    </w:p>
    <w:p w14:paraId="798DC813">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五、加快提升现代金融服务能力</w:t>
      </w:r>
    </w:p>
    <w:p w14:paraId="39F5CF7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四）积极发展供应链金融服务。加强大数据、区块链等技术手段应用，提高供应链金融服务的效率和安全性。鼓励金融机构探索供应链脱核模式，支持供应链上各类企业开展订单融资、仓单质押融资、存货担保融资等业务。（责任单位：人民银行贵州省分行、省大数据局、贵州金融监管局等）</w:t>
      </w:r>
    </w:p>
    <w:p w14:paraId="6B932B3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五）大力发展基金金融服务。推动天使创业投资、私募股权投资等各类基金支持“六大产业基地”建设。充分发挥省级“四化”、生态环保发展、新动能产业发展等基金带动作用，推动金融机构优化重点项目和重点企业授信约束条件。（责任单位：省委金融办、省国资委、省财政厅、人民银行贵州省分行、贵州金融监管局、黔晟国资公司等）</w:t>
      </w:r>
    </w:p>
    <w:p w14:paraId="745BF2B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六）着力提升期货市场服务效能。支持符合条件的企业、机构设立期货公司，推动在优势大宗工业商品领域打造一批“贵州指数”、形成一批“贵州价格”。鼓励符合条件的企业申请成为商品期货交割仓（厂）库，利用期货价格信息合理安排生产经营，科学规避市场波动风险。（责任单位：贵州证监局、贵州金融监管局、省委金融办等）</w:t>
      </w:r>
    </w:p>
    <w:p w14:paraId="10EECBF3">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七）大力推动企业上市融资。支持发展前景好、创新能力强的企业在境内外证券交易所上市或在新三板挂牌。对在境内主板、创业板、科创板、北京证交所上市的企业，经评定后依法依规给予支持。（责任单位：省委金融办、省工业和信息化厅、贵州证监局、省财政厅等）</w:t>
      </w:r>
    </w:p>
    <w:p w14:paraId="5BBB985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八）提升普惠金融服务水平。推广应用“毕惠贷”“苗岭普惠贷”“铜品税贷”等数字普惠金融产品。支持企业以知识产权、预期收益等质押获得融资。鼓励金融机构为企业技术升级改造、科技成果转化等提供创</w:t>
      </w:r>
      <w:r>
        <w:rPr>
          <w:rFonts w:hint="eastAsia" w:ascii="Times New Roman" w:hAnsi="Times New Roman" w:eastAsia="方正仿宋简体" w:cs="Times New Roman"/>
          <w:sz w:val="32"/>
          <w:szCs w:val="22"/>
        </w:rPr>
        <w:t>。</w:t>
      </w:r>
      <w:r>
        <w:rPr>
          <w:rFonts w:ascii="Times New Roman" w:hAnsi="Times New Roman" w:eastAsia="方正仿宋简体" w:cs="Times New Roman"/>
          <w:sz w:val="32"/>
          <w:szCs w:val="22"/>
        </w:rPr>
        <w:t>新型金融服务。支持政府性融资担保机构依法依规为各类企业提供担保。（责任单位：省委金融办、省科技厅、省财政厅、人民银行贵州省分行、贵州金融监管局等）</w:t>
      </w:r>
    </w:p>
    <w:p w14:paraId="6509675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六、持续加大节能环保服务供给</w:t>
      </w:r>
    </w:p>
    <w:p w14:paraId="05F278A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九）着力提高节能技术服务供给能力。加快推动煤磷化工、铝、锰等行业节能改造和数据中心绿色化升级，依法依规对符合条件的项目给予支持。（责任单位：省发展改革委、省工业和信息化厅、省大数据局等）</w:t>
      </w:r>
    </w:p>
    <w:p w14:paraId="6F8CF9A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大力推动环境污染第三方治理。支持环保技术服务企业为“六大产业基地”企业和项目开展系统设计、工程施工、调试运行和维护管理等一体化总承包服务。（责任单位：省发展改革委、省生态环境厅、省工业和信息化厅等）</w:t>
      </w:r>
    </w:p>
    <w:p w14:paraId="36A17B7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一）努力推动产业绿色升级与生态价值实现。围绕“六大产业基地”企业碳排放减量需求，加快扩大第三方服务市场，积极提高绿色低碳管理服务能力，推广合同能源管理、低碳整体解决方案等服务模式。完善生态产品交易制度，推进贵州生态产品交易中心市场化运营。（责任单位：省发展改革委、省生态环境厅、省工业和信息化厅等）</w:t>
      </w:r>
    </w:p>
    <w:p w14:paraId="350EDDE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二）大力推进工业固废与废旧资源高效循环利用。持续推动磷石膏、脱硫石膏、赤泥、锰渣、酿酒污泥、煤矸石等资源化利用，研究制定相关标准规范，加大技术攻关投入力度，依法依规对符合条件的示范推广项目减免成果专利使用费用。加快完善新能源汽车动力蓄电池回收利用服务体系，落实资源综合利用增值税即征即退等税收优惠政策。（责任单位：省工业和信息化厅、省住房城乡建设厅、省科技厅、省市场监管局、省生态环境厅、省税务局等）</w:t>
      </w:r>
    </w:p>
    <w:p w14:paraId="26AB7CE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三）大力推动生态服务企业效能提升。支持园区污染治理、环境基础设施建设、节能诊断、清洁生产审核等第三方服务企业发展壮大，对符合条件的项目用能、用电、用地等要素予以保障。（责任单位：省生态环境厅、省工业和信息化厅、省发展改革委、省能源局、省自然资源厅等）</w:t>
      </w:r>
    </w:p>
    <w:p w14:paraId="0651D9F1">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七、大力提升人力资源等服务水平</w:t>
      </w:r>
    </w:p>
    <w:p w14:paraId="47FCAD1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四）加快引进高层次创新人才。支持“六大产业基地”企业使用股权激励、知识产权共有等方式，引进管理、技术、营销等高素质人才，对企业引进符合条件的全职科技创新人才、高技能人才，每年按税前年薪4％—8％进行奖励。（责任单位：省委人才办、省人力资源社会保障厅、省科技厅、贵州科学院等）</w:t>
      </w:r>
    </w:p>
    <w:p w14:paraId="2ED86FB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五）提升企业人才培养能力。优化产教融合实践中心、公共实训基地等布局建设及专业设置，提高企业技能人才需求保障能力。推动企业建立职工终身职业技能培训制度，鼓励企业自行培养技能人才，落实企业按规定足额提取和使用职工教育经费，60％以上用于一线职工教育和培训政策。（责任单位：省人力资源社会保障厅、省教育厅、省发展改革委等）</w:t>
      </w:r>
    </w:p>
    <w:p w14:paraId="6B63A49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六）强化企业人才支撑。支持链主企业、龙头企业围绕主营业务，建设院士工作站、博士后科研工作站、技能大师工作室、高技能人才培训基地等，依法依规对符合条件的新建博士后科研工作站企业及进站博士后给予奖励。充分发挥就业培训联盟作用，加大高技能人才培养力度，为产业链发展提供人才保障。（责任单位：省委人才办、省人力资源社会保障厅、省教育厅等）</w:t>
      </w:r>
    </w:p>
    <w:p w14:paraId="0350695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七）创新优化人力资源配置。搭建“六大产业基地”共享用工服务平台，将具有工作性质相同、工资待遇接近、技能要求相同等同质化特点的工人通过系统匹配共享调剂，提高用工效率，降低企业人力成本。（责任单位：省人力资源社会保障厅等）</w:t>
      </w:r>
    </w:p>
    <w:p w14:paraId="5ED76F1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八）培育壮大人力资源服务企业。对符合条件的产教融合型企业按规定抵免当年应缴教育费附加和地方教育附加。支持符合条件的人力资源服务业企业，认定为服务业龙头企业、高新技术企业。（责任单位：省发展改革委、省人力资源社会保障厅、省科技厅等）</w:t>
      </w:r>
    </w:p>
    <w:p w14:paraId="311DBCD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九）持续提升贵州特色展会影响力与产业辐射力。继续办好中国国际大数据产业博览会、贵阳工业博览会、中国（贵州）国际酒类博览会、贵州人才博览会等展会，优化展会功能、提高展会效益。鼓励相关行业协会、链主企业、龙头企业聚焦“六大产业基地”建设举办市场化的专业展会。（责任单位：省贸促会、省大数据局、省工业和信息化厅、省商务厅、省委人才办等）</w:t>
      </w:r>
    </w:p>
    <w:p w14:paraId="02D18223">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建立推动生产性服务业高质量发展联席会议制度，省发展改革委、省有关单位及各地要加强沟通协调、密切协作配合，积极推进各项政策措施落地落实，促进生产性服务业与“六大产业基地”融合发展。</w:t>
      </w:r>
    </w:p>
    <w:p w14:paraId="0BF7486A">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7736AB1B">
      <w:pPr>
        <w:spacing w:line="570" w:lineRule="exact"/>
        <w:ind w:firstLine="640" w:firstLineChars="200"/>
        <w:rPr>
          <w:rFonts w:ascii="Times New Roman" w:hAnsi="Times New Roman" w:eastAsia="方正仿宋简体" w:cs="Times New Roman"/>
          <w:sz w:val="32"/>
          <w:szCs w:val="22"/>
        </w:rPr>
      </w:pPr>
    </w:p>
    <w:p w14:paraId="1362F332">
      <w:pPr>
        <w:spacing w:line="570" w:lineRule="exact"/>
        <w:ind w:firstLine="940" w:firstLineChars="200"/>
        <w:rPr>
          <w:rFonts w:ascii="Times New Roman" w:hAnsi="Times New Roman" w:eastAsia="方正仿宋简体" w:cs="Times New Roman"/>
          <w:sz w:val="32"/>
          <w:szCs w:val="22"/>
        </w:rPr>
      </w:pPr>
      <w:r>
        <w:rPr>
          <w:rFonts w:hint="eastAsia" w:ascii="Times New Roman" w:hAnsi="Times New Roman" w:eastAsia="方正小标宋简体" w:cs="Times New Roman"/>
          <w:spacing w:val="15"/>
          <w:sz w:val="44"/>
          <w:szCs w:val="28"/>
        </w:rPr>
        <w:t xml:space="preserve">《贵州省全力推动经济持续回升向好若干政策措施》2024.11.27  </w:t>
      </w:r>
      <w:r>
        <w:rPr>
          <w:rFonts w:ascii="Times New Roman" w:hAnsi="Times New Roman" w:eastAsia="方正仿宋简体" w:cs="Times New Roman"/>
          <w:sz w:val="32"/>
          <w:szCs w:val="22"/>
        </w:rPr>
        <w:fldChar w:fldCharType="begin"/>
      </w:r>
      <w:r>
        <w:rPr>
          <w:rFonts w:ascii="Times New Roman" w:hAnsi="Times New Roman" w:eastAsia="方正仿宋简体" w:cs="Times New Roman"/>
          <w:sz w:val="32"/>
          <w:szCs w:val="22"/>
        </w:rPr>
        <w:instrText xml:space="preserve"> HYPERLINK "https://www.guizhou.gov.cn/zwgk/zcfg/szfwj/qfbh/202411/t20241125_86132244.html" </w:instrText>
      </w:r>
      <w:r>
        <w:rPr>
          <w:rFonts w:ascii="Times New Roman" w:hAnsi="Times New Roman" w:eastAsia="方正仿宋简体" w:cs="Times New Roman"/>
          <w:sz w:val="32"/>
          <w:szCs w:val="22"/>
        </w:rPr>
        <w:fldChar w:fldCharType="separate"/>
      </w:r>
      <w:r>
        <w:rPr>
          <w:rFonts w:ascii="Times New Roman" w:hAnsi="Times New Roman" w:eastAsia="方正仿宋简体" w:cs="Times New Roman"/>
          <w:color w:val="0563C1"/>
          <w:sz w:val="32"/>
          <w:szCs w:val="22"/>
          <w:u w:val="single"/>
        </w:rPr>
        <w:t>https://www.guizhou.gov.cn/zwgk/zcfg/szfwj/qfbh/202411/t20241125_86132244.html</w:t>
      </w:r>
      <w:r>
        <w:rPr>
          <w:rFonts w:ascii="Times New Roman" w:hAnsi="Times New Roman" w:eastAsia="方正仿宋简体" w:cs="Times New Roman"/>
          <w:color w:val="0563C1"/>
          <w:sz w:val="32"/>
          <w:szCs w:val="22"/>
          <w:u w:val="single"/>
        </w:rPr>
        <w:fldChar w:fldCharType="end"/>
      </w:r>
    </w:p>
    <w:p w14:paraId="5EFF6881">
      <w:pPr>
        <w:spacing w:line="570" w:lineRule="exact"/>
        <w:ind w:firstLine="640" w:firstLineChars="200"/>
        <w:rPr>
          <w:rFonts w:ascii="Times New Roman" w:hAnsi="Times New Roman" w:eastAsia="方正仿宋简体" w:cs="Times New Roman"/>
          <w:sz w:val="32"/>
          <w:szCs w:val="22"/>
        </w:rPr>
      </w:pPr>
    </w:p>
    <w:p w14:paraId="2599B06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为全面落实国家一揽子增量政策，抢抓政策机遇、释放政策红利，推动全省经济持续回升向好，结合贵州实际，制定以下措施。</w:t>
      </w:r>
    </w:p>
    <w:p w14:paraId="74D6A8DC">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一、持续激发消费活力</w:t>
      </w:r>
    </w:p>
    <w:p w14:paraId="69B5533C">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（一）更大力度推进消费品以旧换新</w:t>
      </w:r>
    </w:p>
    <w:p w14:paraId="1540C42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进一步优化以旧换新支持范围、丰富补贴渠道，创新便利化换新方式，将国内主流电商平台纳入活动范围。在已支持的17类家电产品和12类家居商品换新促销基础上，将国产手机、平板电脑等更多高质量消费品纳入以旧换新支持范围。</w:t>
      </w:r>
    </w:p>
    <w:p w14:paraId="3CE6C04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2.将家居适老化改造等纳入以旧换新政策支持范围，积极支持居家适老化改造所用物品和材料购置。</w:t>
      </w:r>
    </w:p>
    <w:p w14:paraId="144BB41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3.将国四柴油货车、出租汽车、驾驶培训教练车等纳入以旧换新支持范围。</w:t>
      </w:r>
    </w:p>
    <w:p w14:paraId="3FAF5E5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加大汽车以旧换新、酒车联动叠加政策宣传力度，对个人消费者报废或转让名下旧乘用车，购买新能源汽车的最高补贴标准提高到1.95万元，购买燃油车或符合条件的二手乘用车（含二手新能源车）最高补贴标准提高到1.9万元。</w:t>
      </w:r>
    </w:p>
    <w:p w14:paraId="0B38BFA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优化补贴资金使用方向，提高补助标准，加大政策宣传力度，优化提升“反向开票”、代办税费的便利度，提高资金使用效率，确保年底前国家切块下达我省的35亿元超长期特别国债以旧换新资金和省级1.84亿元配套资金全部使用完毕。</w:t>
      </w:r>
    </w:p>
    <w:p w14:paraId="0EF9728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6.加强产品质量和价格监管，强化产品质量监督抽查，严格查处价格欺诈等行为，大力维护消费者合法权益。</w:t>
      </w:r>
    </w:p>
    <w:p w14:paraId="0FA4894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（二）促进旅游“淡季不淡”</w:t>
      </w:r>
    </w:p>
    <w:p w14:paraId="357D2DB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7.持续推出系列优惠活动和“引客入黔”奖励政策，扎实开展“贵州人游贵州”活动，加强线上线下宣传营销，对组织“引客入黔”团队旅游及在文旅营销方面表现突出的企业进行奖励。制定大型营业性演出活动加力支持政策。</w:t>
      </w:r>
    </w:p>
    <w:p w14:paraId="7A0BBFC4">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二、支持扩大有效投资</w:t>
      </w:r>
    </w:p>
    <w:p w14:paraId="43AAC563">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（三）实施固定资产投资奖励</w:t>
      </w:r>
    </w:p>
    <w:p w14:paraId="091412F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8.综合考虑2024年重大项目推进、固定资产投资增速及占比等因素，对综合排名前3位的市（州）、前10位的县（市、区、特区），省级财政给予定向激励。优先支持符合条件的重大项目争取超长期特别国债、中央预算内投资、地方政府专项债券等中央资金支持。</w:t>
      </w:r>
    </w:p>
    <w:p w14:paraId="79293577">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（四）完善省市县服务重大项目工作机制</w:t>
      </w:r>
    </w:p>
    <w:p w14:paraId="2B3A4A2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9.健全省直部门和市（州）党政领导联系服务重大项目机制，建立领导联系服务重大项目清单，及时协调解决资金、土地、用能要素保障等困难问题，加强项目谋划储备的业务培训指导。</w:t>
      </w:r>
    </w:p>
    <w:p w14:paraId="722AAD9A">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（五）加快各类资金拨付使用进度</w:t>
      </w:r>
    </w:p>
    <w:p w14:paraId="67F0F5F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10.加快财政预算执行进度，精准高效提高项目资金支付率，对各类资金拨付使用情况定期排名通报，确保年底前增发国债、2023年中央预算内投资、中央车购税等中央资金全部使用完毕。加快基金投资决策，确保年底前“四化”等基金全部投放完毕，贵阳大数据科创城产投基金使用率达到50%。加快项目前期工作，确保年底前超长期特别国债资金支持的256个项目全部开工，资金支付率达到30%以上；2024年中央预算内投资支付率达到50%，地方政府专项债资金支付率达到50%。</w:t>
      </w:r>
    </w:p>
    <w:p w14:paraId="4AAD9255">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（六）强化项目建设用地保障</w:t>
      </w:r>
    </w:p>
    <w:p w14:paraId="27D6FD8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11.建立项目选址自然资源部门提前介入机制，督促指导加快用地报批、供应。建立发展改革、自然资源部门牵头的重大项目用地报批协调联动机制，开展重大项目用地报批集中攻坚行动，定期推动解决重大项目用地事宜。</w:t>
      </w:r>
    </w:p>
    <w:p w14:paraId="35C2550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12.允许重大基础设施项目依据可研批复确定的分期建设方案，分期分段办理农用地转用和土地征收，指导重大基础设施项目用地组件报批工作，落实快捷报批。提高产业项目建设用地规划许可证、建设工程规划许可证、不动产权证办理效率，依法依规实行“交地即交证即开工”。</w:t>
      </w:r>
    </w:p>
    <w:p w14:paraId="131F4ACC">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（七）加大项目前期工作力度</w:t>
      </w:r>
    </w:p>
    <w:p w14:paraId="7DEDDA0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13.对项目手续办理实行定期集中办公，省级行业主管部门召集前期工作审批部门，统筹指导项目单位同时推动用地、环评、水保、林地等各项前期手续办理“并联审批”。</w:t>
      </w:r>
    </w:p>
    <w:p w14:paraId="7B5453B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14.强化前期工作激励，2025年将省级前期工作专项资金提高到10亿元，将专项资金的70%安排给省直相关行业部门，30%安排给各市（州），支持加快推进项目前期工作，并向项目储备数量多、质量好、前期工作扎实的部门和地方倾斜支持。</w:t>
      </w:r>
    </w:p>
    <w:p w14:paraId="5AA67B03">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（八）实施产业及配套基础设施项目建设激励</w:t>
      </w:r>
    </w:p>
    <w:p w14:paraId="6584838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15.出台产业配套基础设施建设三年行动计划，2024年安排省预算内投资1.5亿元，支持铁路专用线、产业园区连接路网和供水、供电、供气、通信、垃圾污水处理等产业配套基础设施建设。</w:t>
      </w:r>
    </w:p>
    <w:p w14:paraId="07A0E39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16.用足用好超长期特别国债，安排省级财政资金对工业、文化旅游、回收循环利用等领域大规模设备更新实施补助，加快推进超长期特别国债支持的设备更新项目建设。</w:t>
      </w:r>
    </w:p>
    <w:p w14:paraId="2460D45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（九）进一步激发民间投资活力</w:t>
      </w:r>
    </w:p>
    <w:p w14:paraId="11C9FC0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17.发挥省级民营经济发展联席会议制度作用，及时帮助协调解决民营企业合理诉求。完善民营企业参与重大项目建设长效机制，对符合条件的项目保障合理用地计划指标，帮助争取中央各类资金支持。</w:t>
      </w:r>
    </w:p>
    <w:p w14:paraId="6BFA5E2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18.实施好政府和社会资本合作新机制，加快推出一批合作示范项目，支持符合条件的民间投资项目发行基础设施REITs。完善投贷联动工作机制和政银企沟通对接机制，引导金融机构加大对重点项目的融资支持力度。</w:t>
      </w:r>
    </w:p>
    <w:p w14:paraId="69818D7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三、推动房地产市场止跌回稳</w:t>
      </w:r>
    </w:p>
    <w:p w14:paraId="1C01656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（十）优化完善个人住房贷款政策</w:t>
      </w:r>
    </w:p>
    <w:p w14:paraId="3172A7C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19.落实好商业性个人住房贷款最低首付款比例统一为15%的政策，取消首套住房和二套住房商业性个人住房贷款利率政策下限。</w:t>
      </w:r>
    </w:p>
    <w:p w14:paraId="0503F00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支持缴存人提取公积金支付房租和购买保障性住房，支持省内异地购房提取公积金，支持住房公积金购房代际互助，支持各市（州）结合实际提高住房公积金最高贷款额度，有序开展存量商业住房贷款转公积金贷款。</w:t>
      </w:r>
    </w:p>
    <w:p w14:paraId="31C1A64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21.居民家庭申请商业贷款购买商品住房时，在拟购住房所在县（市、区、特区）范围内无住房的，拟购住房认定为首套房。</w:t>
      </w:r>
    </w:p>
    <w:p w14:paraId="618FB0B0">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（十一）支持房地产开发企业合理融资需求</w:t>
      </w:r>
    </w:p>
    <w:p w14:paraId="7BF58EA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22.将所有符合条件的商品住房贷款项目全部纳入“白名单”，加大项目推送、问题项目修复及贷款投放力度，做到合规项目“应进尽进”，已审贷款“应贷尽贷”，资金拨付“能早尽早”。</w:t>
      </w:r>
    </w:p>
    <w:p w14:paraId="471DF08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23.对重点城市纳入保交房攻坚战的项目，在项目剩余货值能够覆盖增量融资且新增资金实现“后进先出”的前提下，并购贷款资金可用于补足项目资本金缺口。</w:t>
      </w:r>
    </w:p>
    <w:p w14:paraId="508475A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24.落实好“金融16条”中存量融资展期政策和今年底前到期的经营性物业贷款政策延期到2026年要求。</w:t>
      </w:r>
    </w:p>
    <w:p w14:paraId="0389D66E">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（十二）大力促进房地产市场交易</w:t>
      </w:r>
    </w:p>
    <w:p w14:paraId="31EDD7E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25.支持商品房“以旧换新”，对2025年底前居民家庭卖旧房买新房的，各地政府可根据自身财力情况，发放不高于5%的政府消费券，定向用于房屋装修和家用电器消费。</w:t>
      </w:r>
    </w:p>
    <w:p w14:paraId="74ED438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26.用好保障性住房再贷款和专项债券收购商品房用作保障性住房政策。加快城中村和危旧房改造，采用“房票”和补贴相结合的方式进行货币化安置，促进消化存量商品房。加快实现“带押过户”跨银行办理。</w:t>
      </w:r>
    </w:p>
    <w:p w14:paraId="5447A37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27.落实好国家住房交易契税政策和取消普通住宅与非普通住宅标准后相关土地增值税、增值税政策。2025年12月31日前，对出售自有住房并在现住房出售后1年内在同一城市重新购买住房的纳税人，对其出售现住房已缴纳的个人所得税予以退税优惠。</w:t>
      </w:r>
    </w:p>
    <w:p w14:paraId="1378F3C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（十三）提高商品房开发质量</w:t>
      </w:r>
    </w:p>
    <w:p w14:paraId="3511082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28.制定《贵州省高品质住宅设计导则》，加快“好房子”建设。大力发展旅居地产，指导各地合理规划建设避暑康养旅居型地产项目，对配建教育设施、车位配比等进行优化设置。</w:t>
      </w:r>
    </w:p>
    <w:p w14:paraId="19B77AC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（十四）提高土地资源利用率</w:t>
      </w:r>
    </w:p>
    <w:p w14:paraId="4DD1DC6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29.落实地方政府使用专项债券回购符合条件的闲置存量土地政策，确有需要的地区也可用于新增土地储备项目，盘活存量土地。</w:t>
      </w:r>
    </w:p>
    <w:p w14:paraId="3BE2C1F6">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四、激发经营主体活力</w:t>
      </w:r>
    </w:p>
    <w:p w14:paraId="2417D3A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（十五）加大金融支持力度</w:t>
      </w:r>
    </w:p>
    <w:p w14:paraId="6714950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30.建立支持小微企业融资协调工作机制，在所有县（市、区、特区）建立工作专班，扎实开展“千企万户大走访”活动，全面摸排小微企业融资需求，加快形成“申报清单”和“推荐清单”，推动企业与银行机构及时、精准对接，努力做到“应贷尽贷”。落实好无还本续贷扩面政策，帮助符合要求的科技型、制造业、农业等领域的中型企业获得续贷支持。落实好普惠小微贷款认定标准从单户授信不超过1000万元调整到不超过2000万元支持政策。</w:t>
      </w:r>
    </w:p>
    <w:p w14:paraId="6B108A5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31.支持金融机构综合运用注册登记、纳税、社保、水电气等信息，建立中小微企业“白名单”，对“白名单”内经营主体开辟“绿色”通道，优化审批流程，加大首贷、续贷、信用贷、中长期贷款投放。</w:t>
      </w:r>
    </w:p>
    <w:p w14:paraId="0F07FE4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32.政府性担保公司在可持续经营的前提下，对小微企业和“三农”主体实施优惠的担保费率，对单户担保金额500万元及以下的小微企业和“三农”主体收取的担保费率原则上不超过1%，对单户担保金额500万元以上的小微企业和“三农”主体收取的担保费率原则上不超过1.5%。</w:t>
      </w:r>
    </w:p>
    <w:p w14:paraId="5395935C">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（十六）加大“转企升规”激励力度</w:t>
      </w:r>
    </w:p>
    <w:p w14:paraId="017878C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33.建立重点行业企业联系服务工作机制，省市县分级“一企一策”开展包保服务。“小升规”企业办理土地使用权和房屋所有权更名时，符合国家有关企业改制重组契税政策规定的，按照规定减免契税。</w:t>
      </w:r>
    </w:p>
    <w:p w14:paraId="361C5044">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（十七）加大助企帮扶力度</w:t>
      </w:r>
    </w:p>
    <w:p w14:paraId="7EA09F9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34.加快清理政府部门及下属单位涉企收费的政策文件，没有法定依据的及时修改、废止。加强对金融机构、水电气等收费抽查检查，严禁重复收费、强制收费。推进“高效办成一件事”改革，推动企业办事由“多地、多窗、多次”向“一地、一窗、一次”转变。</w:t>
      </w:r>
    </w:p>
    <w:p w14:paraId="565ED06B">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五、守住兜牢民生底线</w:t>
      </w:r>
    </w:p>
    <w:p w14:paraId="738FB6D0">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（十八）多措并举稳岗扩岗</w:t>
      </w:r>
    </w:p>
    <w:p w14:paraId="2143F80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35.延续实施一次性扩岗补助政策至2025年底，鼓励企业吸纳高校毕业生和登记失业青年就业，向符合条件的企业按每招1人1500元的标准发放一次性扩岗补助。延续实施阶段性降低失业保险费率政策至2025年底。</w:t>
      </w:r>
    </w:p>
    <w:p w14:paraId="31B5E981">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（十九）加大重点群体保障力度</w:t>
      </w:r>
    </w:p>
    <w:p w14:paraId="386F328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36.提高学生资助补助标准并扩大政策覆盖面，落实好本专科生、研究生国家助学贷款提额、降低贷款利率等政策。支持发展老年助餐服务。及时足额发放各类救助资金，切实保障困难群众基本生活。</w:t>
      </w:r>
    </w:p>
    <w:p w14:paraId="09155CC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部门要简化政策兑现流程，加大宣传解读力度，凝聚推动经济持续回升向好的强大合力。各地要坚决扛起稳增长主体责任，全力推动各项政策措施落地落实。省政府督查机构将定期对各地各部门推动落实情况开展督导服务。</w:t>
      </w:r>
    </w:p>
    <w:p w14:paraId="1EE6D3B6">
      <w:pPr>
        <w:spacing w:line="570" w:lineRule="exact"/>
        <w:ind w:firstLine="640" w:firstLineChars="200"/>
        <w:rPr>
          <w:rFonts w:ascii="Times New Roman" w:hAnsi="Times New Roman" w:eastAsia="方正仿宋简体" w:cs="Times New Roman"/>
          <w:sz w:val="32"/>
          <w:szCs w:val="22"/>
        </w:rPr>
      </w:pPr>
    </w:p>
    <w:p w14:paraId="053660BD">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40A7602B">
      <w:pPr>
        <w:widowControl w:val="0"/>
        <w:spacing w:after="160" w:line="570" w:lineRule="exact"/>
        <w:ind w:firstLine="943"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b/>
          <w:bCs/>
          <w:spacing w:val="15"/>
          <w:kern w:val="2"/>
          <w:sz w:val="44"/>
          <w:szCs w:val="28"/>
          <w:lang w:val="en-US" w:eastAsia="zh-CN" w:bidi="ar-SA"/>
        </w:rPr>
        <w:t>省人民政府办公厅关于</w:t>
      </w:r>
    </w:p>
    <w:p w14:paraId="0E493A5D">
      <w:pPr>
        <w:widowControl w:val="0"/>
        <w:spacing w:after="160" w:line="570" w:lineRule="exact"/>
        <w:ind w:firstLine="943" w:firstLineChars="200"/>
        <w:jc w:val="center"/>
        <w:rPr>
          <w:rFonts w:ascii="Times New Roman" w:hAnsi="Times New Roman" w:eastAsia="方正小标宋简体" w:cs="Times New Roman"/>
          <w:b/>
          <w:bCs/>
          <w:spacing w:val="15"/>
          <w:kern w:val="2"/>
          <w:sz w:val="44"/>
          <w:szCs w:val="28"/>
          <w:lang w:val="en-US" w:eastAsia="zh-CN" w:bidi="ar-SA"/>
        </w:rPr>
      </w:pPr>
      <w:r>
        <w:rPr>
          <w:rFonts w:hint="eastAsia" w:ascii="Times New Roman" w:hAnsi="Times New Roman" w:eastAsia="方正小标宋简体" w:cs="Times New Roman"/>
          <w:b/>
          <w:bCs/>
          <w:spacing w:val="15"/>
          <w:kern w:val="2"/>
          <w:sz w:val="44"/>
          <w:szCs w:val="28"/>
          <w:lang w:val="en-US" w:eastAsia="zh-CN" w:bidi="ar-SA"/>
        </w:rPr>
        <w:t>加快推进肉牛产业高质量发展的实施意见</w:t>
      </w:r>
    </w:p>
    <w:p w14:paraId="24C1FD8A">
      <w:pPr>
        <w:spacing w:line="570" w:lineRule="exact"/>
        <w:ind w:firstLine="640" w:firstLineChars="200"/>
        <w:rPr>
          <w:rFonts w:hint="eastAsia" w:ascii="Times New Roman" w:hAnsi="Times New Roman" w:eastAsia="方正仿宋简体" w:cs="Times New Roman"/>
          <w:sz w:val="32"/>
          <w:szCs w:val="22"/>
        </w:rPr>
      </w:pPr>
    </w:p>
    <w:p w14:paraId="0EE9AE7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各市、自治州人民政府，各县（市、区、特区）人民政府，省政府各部门、各直属机构：</w:t>
      </w:r>
    </w:p>
    <w:p w14:paraId="6AA7903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发展肉牛产业，对充分利用我省资源优势，培育壮大农业产业、促进农民增收、推进重要农产品稳产保供具有重要意义。为加快推进全省肉牛产业高质量发展，经省人民政府同意，现提出如下意见。</w:t>
      </w:r>
    </w:p>
    <w:p w14:paraId="326E05A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一、总体要求</w:t>
      </w:r>
    </w:p>
    <w:p w14:paraId="26D929B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以习近平新时代中国特色社会主义思想为指导，全面贯彻党的二十大和二十届三中全会精神，认真落实省委、省政府决策部署，牢固树立新发展理念，坚持市场主导、政策引导、农户主体、量质并重，加快补齐良种繁育、饲草饲料、规范养殖、屠宰加工、品牌营销等产业短板，推进肉牛产业降本提质增效，促进全产业链协调发展，加快形成综合产值千亿级产业。力争到2030年，肉牛饲养量年均增长4％左右，将肉牛产业发展成全省农业增效、农民增收的乡村致富产业。</w:t>
      </w:r>
    </w:p>
    <w:p w14:paraId="113C3370">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二、重点任务</w:t>
      </w:r>
    </w:p>
    <w:p w14:paraId="28D4E132">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（一）加快提升良种繁育能力</w:t>
      </w:r>
    </w:p>
    <w:p w14:paraId="75B48FC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加强遗传资源保护。分类分级实施资源保护，对以思南牛、关岭牛、威宁牛、黎平牛、务川黑牛等为主的贵州黄牛优良品种进行遗传资源登记，制定实施保种计划，确保优异性状稳定。支持思南、关岭等地建设省级保种场、保护区。建设省级特色畜禽遗传资源基因库。</w:t>
      </w:r>
    </w:p>
    <w:p w14:paraId="22BD667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加快地方品种繁育。支持建设一批核心育种场，充分利用贵州黄牛肉质好、耐粗饲、繁殖快、抗逆性强等优良特性，持续开展筛选、提纯、复壮，加快选育地域特色鲜明的贵州黄牛优良品种，增强地方种源竞争力。引进国内外优质肉牛种源，推进与贵州黄牛品种杂交改良，加快培育适应市场需求、突出贵州特点的贵州黄牛优良新品种（系）。</w:t>
      </w:r>
    </w:p>
    <w:p w14:paraId="13D1004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加大优良品种推广。推进省种公牛站扩能升级改造，以贵州黄牛品种为主改善种公牛结构，加强优质种公牛引进利用，提升优质冻精生产能力。加强对冻精生产的全过程监管，建立冻精生产可追溯体系，定期发布优质冻精采购指导目录，实行冻精统一购买、管理、配给。完善冻精输配网络，新（改）建县级冻精、液氮等物资供应中心60个，完善和改造提升一批乡、村输配站（点）。加强对冻精输配员协会的引导和管理，培育提升输精员队伍能力。</w:t>
      </w:r>
    </w:p>
    <w:p w14:paraId="651CD80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提升母畜扩繁能力。加强贵州黄牛能繁体系建设，通过性控冻精等方式，调优种群结构，扩大种群规模，实现贵州黄牛优良品种自繁自养良性发展。适度有序引进国内外优质母牛，加快优良品种扩繁能力建设。鼓励支持农户饲养贵州黄牛母牛，提高母畜产仔率和牛犊自给率，加快提升良种基础母牛群体规模。</w:t>
      </w:r>
    </w:p>
    <w:p w14:paraId="166267B6">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（二）进一步提高饲草料供给水平</w:t>
      </w:r>
    </w:p>
    <w:p w14:paraId="0DBD7DC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加大秸秆饲料化利用。鼓励养殖户（场）就地就近利用玉米、水稻、高粱、小麦、大豆等农作物秸秆，推广黄贮、微贮、氨化等技术，提升秸秆饲料化生产和社会化服务水平。合理布局饲草料加工配送中心，支持布局建设一批区域性饲草收储加工基地，提升秸秆饲料供给能力。鼓励开展秸秆订单收储。将饲草料生产、收储、转运、加工、饲喂、废弃物处理等机械装备纳入农机补贴范围。到2030年，秸秆饲料化利用率达48％以上，饲草料本地化率达85％以上。</w:t>
      </w:r>
    </w:p>
    <w:p w14:paraId="610AC51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6.提升青绿饲料生产供给能力。鼓励养殖户（场）种植青贮玉米、甜高粱、皇竹草等青绿饲料，利用冬闲田种植黑麦草、燕麦、紫花苕等优质牧草，扩大红薯、萝卜等块根茎饲料种植，提升冬季饲草料生产供应能力。积极争取国家粮改饲项目，支持威宁、思南、凤冈等县建设饲草生产示范基地。加大天然草地改良和开发利用，提高草地载畜量和利用率。</w:t>
      </w:r>
    </w:p>
    <w:p w14:paraId="313CEE3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7.拓宽特色饲料开发利用。推广酒糟、豆渣、油菜粕、刺梨及木本源渣等特色饲料加工利用，促进豆粕减量替代。推进肉牛精补料、浓缩料、预混料、全价混合日粮、生物饲料等精细化生产，推广饲料精准配方使用，提高饲草料转化质效。</w:t>
      </w:r>
    </w:p>
    <w:p w14:paraId="2CA4AA0E">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（三）全面推进规范养殖</w:t>
      </w:r>
    </w:p>
    <w:p w14:paraId="13981F1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8.发展农户适度规模养殖。大力支持养牛农户充分利用现有土地、圈舍和劳动力，盘活闲置低效资源，积极发展农户适度规模养殖，因地制宜推广自繁自养、种草养牛、种养循环的适度规模养殖模式，降低养牛成本，提升抗风险能力。鼓励农户饲养贵州黄牛，支持有条件的农户适度扩大养殖规模、改善养殖设施和设备，开展集中育肥。加快培育一批养牛大户、专业户，支持养牛大户组建农民专业合作社，稳定提升“十头户”“百头场”规模，扩大贵州黄牛养殖规模。</w:t>
      </w:r>
    </w:p>
    <w:p w14:paraId="78B3FA7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9.发挥肉牛企业示范引领作用。强化肉牛企业在品种选育、牛源供应、技术服务、组织销售等方面的联农带农作用，发挥其在集中育肥、统一营销服务等方面的示范引领作用，带动肉牛养殖、加工、销售全链条提质增效。鼓励企业与农民专业合作社、农户订立养殖购销合同，完善肉牛担保贷款、托养分红、订单生产等利益联结分配机制，带动更多农户就近就地实现养殖增收致富。支持活牛交易市场升级改造，推动“牛超市”规范化、标准化发展，完善综合交易服务平台。</w:t>
      </w:r>
    </w:p>
    <w:p w14:paraId="0ECB832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10.提高规范养殖水平。制定落实基础母牛、育肥牛养殖技术规范，提升规范养殖水平。加大农户养牛圈舍改造，因地制宜推广粪污干湿分离和生物发酵垫床技术，促进肉牛养殖粪污无害化处理和资源化利用。加强对肉牛企业、农民专业合作社、养殖户（场）的防疫指导监督，提升强制免疫、监测预警、应急管理能力。严格落实疫病检验检疫要求，坚持外防输入、内防扩散，加大对走私牛及牛产品的打击力度。</w:t>
      </w:r>
    </w:p>
    <w:p w14:paraId="6DBF5D8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（四）加快推进屠宰加工标准化</w:t>
      </w:r>
    </w:p>
    <w:p w14:paraId="45FCB0D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11.强化政策引导和行业监管。加强规划引导，充分发挥现有肉牛屠宰加工能力，优化全省肉牛定点屠宰场建设布局，引导屠宰加工企业向养殖主产区转移，建成一批区域性核心屠宰场，提升集中屠宰比例。因地制宜规划新建屠宰场，避免重复建设和无序竞争，推进就近就地屠宰，减少活牛长距离运输。加强屠宰行业监管，规范肉牛屠宰检疫和肉品品质检验，强化市场肉品经营质量安全监管，严厉打击私屠滥宰。</w:t>
      </w:r>
    </w:p>
    <w:p w14:paraId="52CAA66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12.加快屠宰提档升级。坚持生鲜为主市场定位，结合细分市场消费需求，加快建设省内外精细分割直供、直销中心，鼓励屠宰加工企业建设冷却库、低温分割车间、仓储保鲜冷链等加工设施，提升冷链运输能力，完善生鲜供应链建设。积极推广“本地屠宰＋异地分割”直销方式，鼓励企业在省内外目标市场合作利用或自建肉牛屠宰、分割销售生产线，促进卖牛向卖肉转变。加强牛肉精细化分割技术人才的引进和培训，提升专业化分割技术水平，培养一批“黔灵庖丁”。</w:t>
      </w:r>
    </w:p>
    <w:p w14:paraId="3043375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13.提升精深加工水平。加强培育肉牛精深加工成长性企业，提升牛肉产品研发能力和精深加工水平，大力开发贵州黄牛中高档牛肉产品。支持牛肉预制菜标准制定、基地建设，开发低温牛肉食品及方便类、速冻类、休闲类等牛肉制品，培养一批“烹牛大厨”。加快牛副产品综合开发利用，分级分类开展加工，提高产品附加值。</w:t>
      </w:r>
    </w:p>
    <w:p w14:paraId="1744B82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（五）加大品牌营销建设</w:t>
      </w:r>
    </w:p>
    <w:p w14:paraId="18D714A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14.做强贵州黄牛品牌。制定完善贵州黄牛品种、养殖、屠宰、加工、冷鲜等质量标准体系，推动严格对标生产，全过程标准管理，加强质量安全监管和溯源体系建设，夯实品牌建设基础。积极申报贵州黄牛国家农产品区域公用品牌，引导肉牛企业培育一批牛肉产品品牌，加快建成贵州黄牛品牌体系。</w:t>
      </w:r>
    </w:p>
    <w:p w14:paraId="2E1261F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15.加强品牌宣传推广。挖掘具有贵州民族特色的牛肉饮食文化，借助地方性文化体育活动，运用新媒体加强营销策划，不断提升贵州黄牛的品牌知名度、信誉度和市场占有率。鼓励研发以贵州黄牛肉为主的菜品，加强与国内餐饮行业头部企业合作，提高消费者认可度。</w:t>
      </w:r>
    </w:p>
    <w:p w14:paraId="5D3D3B4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16.持续拓展营销渠道。鼓励肉牛企业在大湾区、长三角、京津冀和省会城市开设贵州黄牛产品体验店、形象店，加强与各类生鲜零售平台、商超合作，广泛开展贵州牛肉粉、“酸汤＋牛肉”等消费体验活动，实现直销渠道新突破。加强营销人才、牛经纪人队伍建设，利用“互联网＋”、直播带货等方式，拓展牛制品销售渠道。</w:t>
      </w:r>
    </w:p>
    <w:p w14:paraId="2C64187D">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三、保障措施</w:t>
      </w:r>
    </w:p>
    <w:p w14:paraId="1029A011">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（一）强化组织领导。</w:t>
      </w:r>
      <w:r>
        <w:rPr>
          <w:rFonts w:hint="eastAsia" w:ascii="Times New Roman" w:hAnsi="Times New Roman" w:eastAsia="方正仿宋简体" w:cs="Times New Roman"/>
          <w:sz w:val="32"/>
          <w:szCs w:val="22"/>
        </w:rPr>
        <w:t>严格落实省负总责和“菜篮子”市长负责制，建立由省分管领导领衔，省农业农村厅牵头抓总，省有关部门参与的省级工作推进机制。各级各部门要健全工作落实机制，发改、财政、农业农村、自然资源、林业、生态环境等部门负责做好项目规划、投入保障、技术指导、用地服务、环评审批等工作，科技、工业和信息化、商务、市场监管、大数据等部门负责做好关键核心技术攻关、加工主体培育、冷链物流体系和消费端建设、品牌建设管理、信息化与肉牛产业深度融合等工作。</w:t>
      </w:r>
    </w:p>
    <w:p w14:paraId="4D9EF70C">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（二）强化财政金融支持。</w:t>
      </w:r>
      <w:r>
        <w:rPr>
          <w:rFonts w:hint="eastAsia" w:ascii="Times New Roman" w:hAnsi="Times New Roman" w:eastAsia="方正仿宋简体" w:cs="Times New Roman"/>
          <w:sz w:val="32"/>
          <w:szCs w:val="22"/>
        </w:rPr>
        <w:t>各级各部门要统筹用好衔接推进乡村振兴补助资金、农业产业发展资金等财政涉农资金，加大对肉牛产业的投入，完善肉牛养殖奖补到户、支持农户养殖能繁母牛等政策。省级财政资金大力支持肉牛良种繁育体系建设，对符合条件的肉牛养殖户（场）加大养殖保险、贷款贴息和担保等支持力度，推动肉牛保险愿保尽保、肉牛产业贷款应担尽担。引导金融机构创新符合肉牛产业特点、与生产周期相适应的金融产品。鼓励符合条件的肉牛产业项目申报农业农村现代化发展基金。</w:t>
      </w:r>
    </w:p>
    <w:p w14:paraId="32C696AF">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（三）强化用地保障。</w:t>
      </w:r>
      <w:r>
        <w:rPr>
          <w:rFonts w:hint="eastAsia" w:ascii="Times New Roman" w:hAnsi="Times New Roman" w:eastAsia="方正仿宋简体" w:cs="Times New Roman"/>
          <w:sz w:val="32"/>
          <w:szCs w:val="22"/>
        </w:rPr>
        <w:t>将肉牛养殖圈舍、饲草料存贮和配制等生产设施及直接关联的粪污处置、检验检疫等辅助设施用地纳入设施农业用地管理。各地在制定年度用地指标计划时，对符合条件的肉牛产业用地指标应同等考虑纳入计划，涉及占用耕地的，严格落实耕地占补平衡。支持利用老圈舍和老房子改建养殖场地，盘活农村闲置低效资产。加大林地合理开发利用，因地制宜发展林下养牛。</w:t>
      </w:r>
    </w:p>
    <w:p w14:paraId="11CAA2A1">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（四）强化环境保护。</w:t>
      </w:r>
      <w:r>
        <w:rPr>
          <w:rFonts w:hint="eastAsia" w:ascii="Times New Roman" w:hAnsi="Times New Roman" w:eastAsia="方正仿宋简体" w:cs="Times New Roman"/>
          <w:sz w:val="32"/>
          <w:szCs w:val="22"/>
        </w:rPr>
        <w:t>建立肉牛产业重点项目服务清单，对符合政策的项目提前介入、主动服务、加强指导，依法依规加快环评审批，推动项目落地建设。按照“双随机、一公开”原则，加强对规模养殖企业的日常服务和执法检查，监督指导落实污染防治责任，严厉打击粪污直排、偷排、漏排等行为。制定完善肉牛养殖污染防治相关技术规范，指导养殖户（场）按要求开展养殖污染防治工作。</w:t>
      </w:r>
    </w:p>
    <w:p w14:paraId="479D5216">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（五）强化科技支撑。</w:t>
      </w:r>
      <w:r>
        <w:rPr>
          <w:rFonts w:hint="eastAsia" w:ascii="Times New Roman" w:hAnsi="Times New Roman" w:eastAsia="方正仿宋简体" w:cs="Times New Roman"/>
          <w:sz w:val="32"/>
          <w:szCs w:val="22"/>
        </w:rPr>
        <w:t>鼓励支持科研院所与企业组织实施科技攻关项目，对肉牛良种繁育、饲草饲料、疫病防控、精深加工等开展关键共性技术攻关。推动企业加强大数据、人工智能、云计算、物联网、移动互联网等现代信息技术的应用创新，提高圈舍环境调控、精准饲喂、疫病监测、产品追溯等智能化水平。加强基层肉牛产业技术服务体系建设，鼓励支持肉牛企业为中小养殖户提供实用科技服务，加快提升肉牛产业发展社会化服务水平。</w:t>
      </w:r>
    </w:p>
    <w:p w14:paraId="1688150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贵州省人民政府办公厅</w:t>
      </w:r>
    </w:p>
    <w:p w14:paraId="03AB403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2024年10月30日</w:t>
      </w:r>
    </w:p>
    <w:p w14:paraId="35809A83">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183CF427">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市人民政府办公厅关于印发贵州（贵阳）山地</w:t>
      </w:r>
    </w:p>
    <w:p w14:paraId="0F890B5C">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智能农机产业发展三年攻坚行动工作方案</w:t>
      </w:r>
    </w:p>
    <w:p w14:paraId="2C864B89">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（2024—2026年）的通知</w:t>
      </w:r>
    </w:p>
    <w:p w14:paraId="1487490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筑府办函〔2024〕26号</w:t>
      </w:r>
    </w:p>
    <w:p w14:paraId="19EACF2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各区、市、县人民政府，市政府有关工作部门，市有关直属事业单位，有关企业:</w:t>
      </w:r>
    </w:p>
    <w:p w14:paraId="049A5F5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《贵州（贵阳）山地智能农机产业发展三年攻坚行动工作方案（2024—2026年）》已经市人民政府研究同意，现印发给你们，请遵照执行。</w:t>
      </w:r>
    </w:p>
    <w:p w14:paraId="673549D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贵阳市人民政府办公厅</w:t>
      </w:r>
    </w:p>
    <w:p w14:paraId="5547871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2024年8月9日</w:t>
      </w:r>
    </w:p>
    <w:p w14:paraId="0AB8AD1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（此件公开发布）</w:t>
      </w:r>
    </w:p>
    <w:p w14:paraId="61E776C2">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贵州（贵阳）山地智能农机产业发展三年</w:t>
      </w:r>
    </w:p>
    <w:p w14:paraId="31222533">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攻坚行动工作方案（2024—2026年）</w:t>
      </w:r>
    </w:p>
    <w:p w14:paraId="664FF3CF">
      <w:pPr>
        <w:spacing w:line="570" w:lineRule="exact"/>
        <w:ind w:firstLine="640" w:firstLineChars="200"/>
        <w:rPr>
          <w:rFonts w:hint="eastAsia" w:ascii="Times New Roman" w:hAnsi="Times New Roman" w:eastAsia="方正仿宋简体" w:cs="Times New Roman"/>
          <w:sz w:val="32"/>
          <w:szCs w:val="22"/>
        </w:rPr>
      </w:pPr>
    </w:p>
    <w:p w14:paraId="7461663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全面贯彻落实党的二十大和习近平总书记重要讲话精神，大力推进农业机械化、智能化，给农业现代化插上科技的翅膀，把发展农业科技放在更加突出的位置，按照省委、省政府和市委、市政府关于加快推进农业现代化的决策部署，构建“央黔筑、农工贸、产学研”同步推进的发展格局，在贵阳市先行先试，发展山地智能农机产业链，制定本方案。</w:t>
      </w:r>
    </w:p>
    <w:p w14:paraId="20EA753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一、总体要求</w:t>
      </w:r>
    </w:p>
    <w:p w14:paraId="51A3260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（一）总体思路</w:t>
      </w:r>
    </w:p>
    <w:p w14:paraId="21C8BC3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坚持需求牵引和市场主导，按照“研发制造智能化、推广应用集成化、作业服务社会化、政策支持精准化”的思路，着力闯新路、抢先机、补短板、强弱项，强化省市共建、部门联动，从农机研发制造、市场销售、推广应用三端谋划布局，通过“以农促贸、以贸促工、以工促研、以研哺农”，实现以农工贸促产学研，搭建贵州（贵阳）山地智能农机创新发展平台（以下简称“创新发展平台”），成立研发制造中心和推广应用中心，打造自主可控、高质量、高效能的山地智能农机产业链，构建“央黔筑资源互补、农工贸同步发力、产学研融合发展”同步推进的山地智能农机产业发展格局。</w:t>
      </w:r>
    </w:p>
    <w:p w14:paraId="1BEF6720">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（二）发展目标</w:t>
      </w:r>
    </w:p>
    <w:p w14:paraId="3F001DC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通过三年攻坚行动，“创新发展平台”市场化运转，以短板机具需求引领攻关，先行先试打造贵州山地智能农业机械装备产业示范区；建设“贵州农机云”信息平台，提升全省统筹调度能力；建成1个省级农机创新试验基地、4个农机熟化定型基地、14个示范应用基地，形成农机服务中心网络；建成覆盖粮油主产县、涉农乡镇的区域农机服务和应急体系，农机应急组织达50个以上；完成高标准农田改造提升试点建设2万亩，探索结对发展跨区域社会化服务模式，设施农业、畜牧水产养殖、农产品初加工机械化结构优化，提升农作物耕种收综合机械化率10个百分点以上，贵阳市主要农作物综合机械化率达67%。</w:t>
      </w:r>
    </w:p>
    <w:p w14:paraId="408EE240">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二、重点任务</w:t>
      </w:r>
    </w:p>
    <w:p w14:paraId="5995536E">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（一）研发制造端</w:t>
      </w:r>
    </w:p>
    <w:p w14:paraId="5A80F84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建设山地智能农机创新发展平台。组建山地智能农机专家工作站，打造研发制造中心和推广应用中心，建成“创新发展平台”；围绕丘陵山区适用小型和智能化领域的农机装备短板，着眼急需急用列出优先序，滚动发布农机研发需求清单，鼓励省内外高校、科研院所、农机制造企业等开展联合攻关，研制一批适用丘陵山区和特色主导产业的专用农机、智能设施装备；引进国内外先进丘陵山区智能农机装备，开展适应性改造和技术成果转化；省市联动建设“贵州农机云”信息平台，形成需求引领研发、供给创造需求的良性循环。2024年完成“创新发展平台”建设并运营；2025年“创新发展平台”成效突显；2026年“创新发展平台”稳步发展。（责任单位：市农业农村局、市工业和信息化局、市发展改革委、市财政局、市投资促进局、市市场监管局。单位中位于第1个的为牵头单位，下同）</w:t>
      </w:r>
    </w:p>
    <w:p w14:paraId="1417051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建设贵州山地智能农业机械装备产业示范区。培育引导山地智能农业机械装备产业向观山湖区、修文县、乌当区、经开区等地集聚发展，引进省内外农机生产企业，承接履带动力平台和配套农机具、高性能播种机械、山地农用运输机械、茶机、轻简型玉米收获机、木本油料采收机械、智能化装备与配套等农机制造，打造全省山地智能农业机械装备产业示范区。2024年培育引导山地智能农业机械装备产业集聚发展；2025年创建贵州山地智能农业机械装备产业示范区；2026年贵州山地智能农业机械装备产业示范区加快培育形成。（责任单位：市工业和信息化局、市发展改革委、市农业农村局、市财政局、市投资促进局，有关区〔市、县〕人民政府）</w:t>
      </w:r>
    </w:p>
    <w:p w14:paraId="41557B2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（二）市场销售端</w:t>
      </w:r>
    </w:p>
    <w:p w14:paraId="1031FAA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建设山地农机交易市场。按照市场化原则，鼓励市场主体建设“服务本地、辐射周边、开拓省外”的全省农机交易市场，与“贵州农机云”实现线上线下同步销售。提供减免租金、销售奖补、服务年检等优惠政策，吸引省内外农机生产企业、经销商入驻，形成供需互促、产销并进、畅通高效的区域一体化农机市场。2024年启动建设贵州（贵阳）山地智能农机产业园，联合市场需求布局实体销售网；2025年逐步完善线上线下相结合的农机交易市场；2026年建成立足贵阳、面向全省、辐射西南片区的山地农机交易市场。（责任单位：市农业农村局、市商务局、市市场监管局、市投资促进局，有关区〔市、县〕人民政府）</w:t>
      </w:r>
    </w:p>
    <w:p w14:paraId="7E56FB3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建设农机销售及维修服务网络。支持“创新发展平台”与实体经销商共建销售服务网络，提升现有农机经销商销售服务能力。依托区域农机服务中心拓展维修服务功能，开展农机操作、维修技能培训和零配件供应，提升售后服务质量，解决维修慢、维修难等问题。到2026年，打造农机销售服务4S店5—8个，带动农机市场销售和维修服务网络日趋完善。（责任单位：市农业农村局、市市场监管局、市工业和信息化局，各区〔市、县〕人民政府）</w:t>
      </w:r>
    </w:p>
    <w:p w14:paraId="2773D462">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（三）推广应用端</w:t>
      </w:r>
    </w:p>
    <w:p w14:paraId="7F6496D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建设区域农机服务中心。建设布局合理、功能完善、规模适宜的区域农机服务中心，涵盖耕、种、管、收、烘、加、销、储等环节，对农资仓储销售、农机农事服务、维修售后、育秧服务、烘干服务、技术培训、应急救灾等功能进行聚集。重点推进粮油耕种管收、水稻育秧、烘干仓储、加工销售等薄弱环节农机社会化服务，创新探索结对帮扶跨区域社会化服务模式。支持服务面积与用地需求挂钩，每服务1000亩耕种收环节托管，保障200平方米机库棚等设施用地。2024年建设市县级区域农机服务中心8个；2025年构建区域农机服务网络；2026年建成农机服务体系。（责任单位：市农业农村局、市自然资源和规划局、市财政局、市市场监管局，各区〔市、县〕人民政府）</w:t>
      </w:r>
    </w:p>
    <w:p w14:paraId="2CEF383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6.建设农机应急中心。组建市县乡三级农机应急作业服务队伍，强化内部管理和制度建设，完善基础设施，构建农机应急保障服务体系。建设农机应急中心，形成信息化制度化指挥调度机制。到2026年，贵阳市农机应急组织达50个以上，增强对丘陵山区农业生产和应急救灾的支撑能力。（责任单位：市农业农村局、市自然资源和规划局、市财政局，各区〔市、县〕人民政府）</w:t>
      </w:r>
    </w:p>
    <w:p w14:paraId="2987887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7.建设农机熟化定型基地。建设以粮油作物为主的农机熟化定型基地和创新试验基地，建立农机装备试验验证、检验检测公共平台，拓展智能农机试验功能，布局农机专用新能源、北斗导航等试验条件，为丘陵山区省份开展小型智能农机创新研发提供测试、中试等条件支撑。到2026年，在相关区县建成熟化定型基地4个。（责任单位：市农业农村局、市财政局，有关区〔市、县〕人民政府）</w:t>
      </w:r>
    </w:p>
    <w:p w14:paraId="12C1350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8.建设农机示范应用基地。建立“基地+专家团队+技术模式”的农机推广机制，开展主要粮油作物全程机械化生产推广应用和特优作物机械化生产试验示范，打造设施装备先进、机艺融合深入、要素保障有力、示范引领明显的推广应用基地。2024年建设示范应用基地8个；2025年建成示范应用基地10个，申报创建农业生产全程机械化示范县1个；到2026年累计建成示范应用基地14个。（责任单位：市农业农村局、市财政局，各区〔市、县〕人民政府）</w:t>
      </w:r>
    </w:p>
    <w:p w14:paraId="1D092EF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9.建设智慧农（牧）场。依托省内外专家技术服务，根据地貌特点及生产需求进行土地宜机化改造，探索丘陵山区全程机械化智慧农（牧）场技术模式，推动机械化、信息化与智能化融合发展。2024年启动智慧农场建设，完成智慧牧场建设2个；2025年完成智慧农场建设1个。（责任单位：市农业农村局、市财政局，有关区〔市、县〕人民政府）</w:t>
      </w:r>
    </w:p>
    <w:p w14:paraId="4C4BA3E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10.建设高标准农田改造提升试点。统筹中央和省、市、县相关资金投入高标准农田改造提升，配合实施田块整治工程、田间道路工程、农田地力提升工程等措施改造农田，配套建设农机下田坡道等附属设施，提高农机作业便捷度，将机耕道、生产便道、下田坡道、田块长度宽度与平整度等“宜机化”要求纳入项目重点实施内容、重要验收标准。2024年建成7000亩，2025年建成7000亩，2026年建成6000亩。（责任单位：市农业农村局、市自然资源和规划局、市财政局，有关区〔市、县〕人民政府）</w:t>
      </w:r>
    </w:p>
    <w:p w14:paraId="438E89E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11.建设农机质量安全监管体系。以申报创建“平安农机”示范市（县）为抓手，压实农机安全监管责任，加强农机生产制造、市场销售、推广应用等相关环节质量安全监管，推进农机安全执法队伍和基层农机安全监管网络建设，查处农机违法违章行为，坚决防范和遏制重特大农机安全责任事故；购置配备农机安全检验设备，进一步提高农机年检率;开展农机手技能培训，举办农机技能大比武、大宣传、大培训活动，常态化开展农机安全检查、培训、演练等。（责任单位：市农业农村局、市应急局、市公安交管局、市财政局、市市场监管局，各区〔市、县〕人民政府）</w:t>
      </w:r>
    </w:p>
    <w:p w14:paraId="5DE6510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三、保障措施</w:t>
      </w:r>
    </w:p>
    <w:p w14:paraId="71510B8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（一）强化组织领导</w:t>
      </w:r>
    </w:p>
    <w:p w14:paraId="3C8E01D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建立贵州（贵阳）山地智能农机产业发展工作机制，发挥省市联动、部门协同、市县落实、各方参与、共同建设的协同作用。各区（市、县）要将农机化工作列入重要议事日程，组织调动各方力量，确保重点任务落到实处，推动将农机化发展列入粮食安全党政同责考核内容。（责任单位：市农业农村局、市工业和信息化局、市商务局、市发展改革委、市财政局、市投资促进局、市市场监管局，各区〔市、县〕人民政府）</w:t>
      </w:r>
    </w:p>
    <w:p w14:paraId="5906891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（二）强化政策支持</w:t>
      </w:r>
    </w:p>
    <w:p w14:paraId="46F821A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出台《关于支持山地智能农机产业发展的十条措施》，结合推进村集体经济组织“1+1”发展方式，落实市级财政农机化专项资金、科技创新项目资金，积极争取国家、省重点项目资金支持，发挥财政资金的撬动和引领作用，带动社会资本扩大山地农机产业有效投资。加大急需短板机具购机补贴和报废更新补贴力度；加强农机安全质量监管，提升应急防灾救灾能力建设；推进设施农业用地、新型农业经营主体建设用地、农业生产用电用油优惠、税费减免等相关政策落地；鼓励开展农机保险服务。（责任单位：市农业农村局、市工业和信息化局、市发展改革委、市财政局、市投资促进局、市自然资源和规划局、市市场监管局，各区〔市、县〕人民政府）</w:t>
      </w:r>
    </w:p>
    <w:p w14:paraId="169A32F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（三）强化人才保障</w:t>
      </w:r>
    </w:p>
    <w:p w14:paraId="37AC4E5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落实贵阳市人才“强省会”行动政策措施，多渠道引进农机领域人才，强化本地科研人员培育孵化，组建山地智能农机专家工作站；用好人才引进政策，吸引农机专业优秀高校毕业生在筑就业；健全基层农机技术推广机构；加大农机实用人才培训力度，壮大本地农机人才队伍建设；依托新型经营主体培育强化服务能力和人才建设。（责任单位：市人力资源社会保障局、市农业农村局、市财政局，各区〔市、县〕人民政府）</w:t>
      </w:r>
    </w:p>
    <w:p w14:paraId="0A2EA8C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（四）强化安全监管</w:t>
      </w:r>
    </w:p>
    <w:p w14:paraId="26AD872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强化农机安全监理工作，加强源头管理，完善农机安全监管长效机制，提升全市农机安全监理水平，预防和减少农机安全生产责任事故发生。对实施主体接受国家财政补助形成的资产进行固定资产入账，建立健全固定资产管理制度，严格按照法律法规加强固定资产购建、使用、折旧、处置和安全管理，落实人员岗位责任制，加强项目补助机具管理。（责任单位：市农业农村局、市市场监管局、市公安交通管理局、市工业和信息化局，各区〔市、县〕人民政府）</w:t>
      </w:r>
    </w:p>
    <w:p w14:paraId="76169277">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（五）强化跟踪问效</w:t>
      </w:r>
    </w:p>
    <w:p w14:paraId="227D89B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坚持以问题为导向，明确工作重点，找准发力方向，落实部门职责，强化部门协作，严格按照时间节点、责任分工和目标任务推进山地智能农机产业工作落实，综合协调办公室按照“月调度、季通报、年考核”的工作机制，严格监督检查，对未完成目标任务的提请指挥长按照相关规定进行追责问责。（责任单位：市农业农村局、市工业和信息化局，各区〔市、县〕人民政府）</w:t>
      </w:r>
    </w:p>
    <w:p w14:paraId="13B8D19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（六）强化宣传引导</w:t>
      </w:r>
    </w:p>
    <w:p w14:paraId="7417988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主动加强与新闻媒体的沟通合作，多渠道、多形式开展宣传报道活动，切实加大对农业机械化宣传的力度、广度和深度，讲好农业机械化故事，充分调动社会各界支持农业机械化、关心农业机械化发展的积极性和主动性，搭建社会广泛参与平台，构建政府、社会、市场协同推进的工作格局，营造全社会广泛关注和支持的良好氛围。（责任单位：市委宣传部、市农业农村局，各区〔市、县〕人民政府）</w:t>
      </w:r>
    </w:p>
    <w:p w14:paraId="63ED378A">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1E644012">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2024年投资促进工作要点</w:t>
      </w:r>
    </w:p>
    <w:p w14:paraId="7091F044">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来源：贵州省投资促进局 发布日期：2024-09-13 </w:t>
      </w:r>
    </w:p>
    <w:p w14:paraId="5FFEE0B3">
      <w:pPr>
        <w:spacing w:line="570" w:lineRule="exact"/>
        <w:ind w:firstLine="640" w:firstLineChars="200"/>
        <w:rPr>
          <w:rFonts w:hint="eastAsia" w:ascii="Times New Roman" w:hAnsi="Times New Roman" w:eastAsia="方正仿宋简体" w:cs="Times New Roman"/>
          <w:sz w:val="32"/>
          <w:szCs w:val="22"/>
        </w:rPr>
      </w:pPr>
    </w:p>
    <w:p w14:paraId="28B658A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是中华人民共和国成立75周年，是实现“十四五”规划目标任务的关键一年。2024年投资促进工作总体要求：坚持以习近平新时代中国特色社会主义思想为指导，深入贯彻党的二十大精神和习近平总书记视察贵州重要讲话精神，认真落实中央、省委经济工作会议精神，深入推进营商环境大改善和产业大招商行动。聚焦“四化”和“六大产业基地”建设，以“1+9”平台、重点产业园区为依托，激发民间投资，扩大利用外资，增加市场主体，以高质量招商推动高质量发展。实施新一轮营商环境三年行动计划，制定营商环境突出问题整治方案，以清理拖欠企业账款、承诺不兑现、融资难融资贵、要素保障不到位、民营企业受到不公平对待等为重点，解决一批营商环境突出问题。坚持招商、安商、稳商并重，持续擦亮“贵人服务”品牌，提升营商环境的吸引力和美誉度。</w:t>
      </w:r>
    </w:p>
    <w:p w14:paraId="6A42CF0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主要目标：全省新增产业到位资金3200亿元，其中工业到位资金1850亿元以上；推动500强企业在黔新增投资项目签约合同总金额1000亿元以上。</w:t>
      </w:r>
    </w:p>
    <w:p w14:paraId="633EEA9F">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一、强化党建示范引领，着力提升投促工作合力</w:t>
      </w:r>
    </w:p>
    <w:p w14:paraId="08EAFD4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强化政治统领。牢固树立政治机关意识，持续推动政治机关意识教育向党支部延伸，严肃党内政治生活，不断提高党员干部政治判断力、政治领悟力、政治执行力。聚焦解决突出问题，坚持围绕中心，抓好政治机关、模范机关创建工作。</w:t>
      </w:r>
    </w:p>
    <w:p w14:paraId="746BF7D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加强理论武装。制定印发2024年度政治理论学习要点，年内举办1期习近平新时代中国特色社会主义思想读书班。制定《新时代贵州现代化建设投促大讲堂培训实施方案》，每月开展集中学习1次。将产业招商业务能力培训纳入全省干部素质提升工程专题培训计划，开展2024年度招商营商综合业务培训。</w:t>
      </w:r>
    </w:p>
    <w:p w14:paraId="0D9E804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严明纪律规矩。加强政治纪律和政治规矩的经常性学习教育，严格落实《省直机关党员工作时间之外政治言行若干规范（试行）》，严格执行重大事项请示报告制度和《贵州省直机关各部门机关党委向省直机关工委请示报告工作规定（试行）》，年内至少开展1次“政治纪律·政治规矩”集中学习教育。</w:t>
      </w:r>
    </w:p>
    <w:p w14:paraId="77C535F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抓实意识形态。定期向省委报告意识形态工作情况。加强风险意识教育，提高意识形态领域舆情预判、分析、处理能力。加强对局所属网站、微博微信、抖音等意识形态阵地平台的建设和管理。落实《贵州省直机关党员干部网络行为规范（试行）》，建好管好网评员队伍，积极稳妥做好重大突发事件和热点敏感问题的舆论引导。</w:t>
      </w:r>
    </w:p>
    <w:p w14:paraId="0B025C9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深化党建引领。持续推动“双带五引”工程走深走实，推进“四强”党支部建设。制定《抓机关党建促营商环境大改善和产业招商大提升工作方案》，充分发挥机关党建工作的政治优势和组织优势，按照省直工委《抓机关党建促“六大产业基地”建设工作方案》要求，推动党建和业务深度融合。</w:t>
      </w:r>
    </w:p>
    <w:p w14:paraId="5D0C5C7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6.持续纠治“四风”。严格落实中央八项规定及其实施细则精神、省委有关规定和省政府有关要求，严肃整治享乐主义、奢靡之风，持续纠治形式主义、官僚主义，推进作风建设常态化长效化。</w:t>
      </w:r>
    </w:p>
    <w:p w14:paraId="4A1E956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7.筑牢廉政底线。认真学习贯彻二十届中央纪委三次全会精神和十三届省纪委三次全会精神，推进清廉机关建设。常态化开展党章党规党纪教育，加强经常性警示教育。深化运用“四种形态”，常态化开展提醒谈话，始终保持零容忍震慑不变、高压惩治力量常在，进一步铲除腐败滋生土壤。</w:t>
      </w:r>
    </w:p>
    <w:p w14:paraId="7E1D7BC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8.优化队伍结构。进一步指导、督促选优配强省、市、县投资促进部门领导班子，配齐配强招商干部队伍。鼓励各地面向全国遴选招商领导干部队伍。特别是注重在产业大招商一线培养优秀年轻干部、后备干部。产业大招商和营商环境建设成效突出的干部，优先向各级组织部门推荐使用。</w:t>
      </w:r>
    </w:p>
    <w:p w14:paraId="5281402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9.细化目标管理。以目标绩效管理为抓手，做好财务管理、组织人事、机要保密、公文处理、督办督查、国家安全、精神文明建设、普法教育、法治建设、平安贵州、统战工作、群团工作、驻村帮扶、政务公开、政务信息、建议提案、目标绩效、公共机构节能、信访、档案管理、退役军人、网络安全等工作，细化考核标准，明确考核要求，严格落实业务工作和综合工作“同步安排部署、同步督促落实、同步检查考核”要求，确保每项工作落实到处室（专班）、落实到责任人。</w:t>
      </w:r>
    </w:p>
    <w:p w14:paraId="0BB387B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10.营造良好氛围。组织省内外各大主流媒体围绕“重大活动、重大项目”进行跟踪报道，在门户网站、微信公众号、微博矩阵、抖音等平台官方账号上做好活动举办、项目落地、营商环境主题宣传。加强对市（州）、县（市、区、特区）招商营商优秀做法、典型案例宣传报道，讲好贵州招商营商故事，营造浓厚的舆论氛围。</w:t>
      </w:r>
    </w:p>
    <w:p w14:paraId="36607054">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二、统筹推进产业招商，着力提升工作质量和效率</w:t>
      </w:r>
    </w:p>
    <w:p w14:paraId="29617D4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11.健全体制机制。深入实施“省带头、市推动、县（园区）落实”机制，认真履行省产业大招商暨优化营商环境工作领导小组“目标制定、统筹调度、考核评价、重点推进”工作职责，建立与重点产业牵头部门工作目标共同设定、重点企业共同洽谈、重点项目共同推进、考核评价共同实施的“四共”机制，建立与重点区域行业协会商会沟通合作机制，构建全省“一盘棋”大招商格局。</w:t>
      </w:r>
    </w:p>
    <w:p w14:paraId="1AE486A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12.强化数据统计。优化2024年招商引资统计报表制度，升级招商引资项目信息管理平台，完善统计功能。力争取得省统计等部门支持，围绕招商引资项目（企业）对固投、“四上”企业、税务等贡献情况进行共享。继续落实“分片包干、分兵把守、责任到人”的数据质量日常预警机制，做好项目信息数据监测，推动各地规范录入统计。持续深入开展数据质量专项治理。</w:t>
      </w:r>
    </w:p>
    <w:p w14:paraId="3C5B976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13.策划编制项目。围绕重点产业“一图三清单”，指导市（州）有针对性地梳理编印发布招商项目，并集中清理已签约、不符合规划或长期无人关注的项目。围绕贵阳“强省会”、贵安高质量发展、黔东南“桥头堡”、毕节“试验区”等省委、省政府重大战略部署，聚焦“六大产业基地”，开展政策、资源、配套、产业基础等优势梳理，编制招商专案，为县（区）、产业园区精准招商提供方法路径。</w:t>
      </w:r>
    </w:p>
    <w:p w14:paraId="58CC935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14.提升招商精度。印发《2024年全省产业大招商方案》，强化招商引资统筹，精简大型招商会议活动，强化“点对点”招商、小分队招商，提升招商精准性。严格落实重大招商项目事前评估及责任追究办法，大力整治招商引资中的恶性竞争。</w:t>
      </w:r>
    </w:p>
    <w:p w14:paraId="208AF66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15.聚焦工业招商。聚焦打造“六大产业基地”产业集群“3533”奋斗目标，落实“东数西算”“电动贵州”“富矿精开”等工作要求，建立行业主管部门与重点开发区的招商联动机制，围绕“一图三清单”，针对产业链薄弱环节、空白环节，省市县三级联动开展一系列有针对性的产业链招商活动，下大力引进一批“链主”企业。聚焦新能源动力电池及材料、磷化工、煤化工、铝及铝加工、“云服务”等产业现有落地“链主”企业，集中资源、力量做好企业服务，借助其行业影响力搭建招商对接平台，引进一批补链延链强链项目，不断提高产业集聚度。</w:t>
      </w:r>
    </w:p>
    <w:p w14:paraId="08321C5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16.深化旅游招商。围绕打造世界级旅游目的地总目标和旅游“六要素”，聚焦“9+2+2”重点旅游景区“特意性”资源，制定“一图三清单”，以旅游业态提升为重点，针对景区开发运营、酒店民宿、旅游交通、文化演艺等开展招商，引进一批头部企业，盘活一批存量项目、落地一批重点项目。</w:t>
      </w:r>
    </w:p>
    <w:p w14:paraId="75C58F3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17.推进农业招商。围绕粮油及12个农业特色优势产业，制定“一图三清单”，聚焦品种培优、品质提升、品牌打造和标准化生产，大力引进农产品、中药材精深加工龙头企业。</w:t>
      </w:r>
    </w:p>
    <w:p w14:paraId="66F5FA0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18.提升服务业招商。以服务制造业高质量发展为导向，推动生产性服务业向专业化和价值链高端延伸。制定“一图三清单”，聚焦工业设计、现代金融、现代物流、节能环保、科技服务、检测认证和中介咨询等服务类企业和项目开展招商。</w:t>
      </w:r>
    </w:p>
    <w:p w14:paraId="3A89312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19.强化央企（国企）招商。深入落实我省与国务院国资委签署战略合作协议，围绕“央地产业对接大会”，开展央企（国企）专项招商活动。制定招商专案，以小分队登门拜访、举办专题推介会等方式，招引一批央企（国企）重大项目，推动更多央企扩大在黔投资，实现央企（国企）招商签约合同投资额1000亿元，当年到位资金160亿元左右。</w:t>
      </w:r>
    </w:p>
    <w:p w14:paraId="64074D4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依托民企资源招商。深入落实我省与全国工商联签署战略合作协议，依托“光彩事业毕节行”“全球贵商大会”等活动，梳理民营企业500强、上市公司、专精特新、独角兽等优强企业主营业务和投资意向，围绕2000个重点民间投资项目推进计划，全力引进一批重大民间投资项目，实现民企招商签约合同投资额3000亿元，当年到位资金450亿元左右。</w:t>
      </w:r>
    </w:p>
    <w:p w14:paraId="15FE8B0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21.激活要素招商。摸排分析全省矿产、风光水能等可开发利用资源能源情况，利用资源禀赋和组合优势谋划编制重大招商项目，推动龙头企业招引，打造制造业产业集群。摸排分析全省教育、卫生、养老、体育等领域的政府采购需求，制定招商方案，引进一批项目。优化“四化”及生态环保、新动能基金运行模式，充分发挥基金放大作用，吸引省外基金等金融资本到贵州发展，带动产业项目引进。充分发挥基金的引导、撬动作用，定期收集重大在谈项目基金需求，对科技型企业，成长性高、引领性强的项目予以重点支持。</w:t>
      </w:r>
    </w:p>
    <w:p w14:paraId="1F21C36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22.承接产业转移。积极服务和融入国家战略，办好“2024年中国产业转移发展对接活动”，面向长三角、粤港澳等区域，探索“飞地经济”模式，积极开展承接“六大产业基地”相关产业、纺织服装、新型建材、能源装备制造、文体康旅装备制造、小家电等产业转移招商。支持黎从榕“桥头堡”面向粤港大湾区开展产业转移招商。</w:t>
      </w:r>
    </w:p>
    <w:p w14:paraId="1173348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23.强化载体支撑。充分发挥开发区（园区）经济职责，提升要素保障能力和项目承载能力，招引企业落地，推动产业聚集。</w:t>
      </w:r>
    </w:p>
    <w:p w14:paraId="1C00713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24.用好社会资源。建立分工合理、执行流畅、运行高效的市场化常态招商体系，建立政府与商协会常态化沟通机制，探索利益合作机制，以商协会招商、乡贤招商和亲情招商为抓手开展系列招商活动，推动一批项目签约落地。</w:t>
      </w:r>
    </w:p>
    <w:p w14:paraId="0644871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25.督促跟踪调度。实施重大招商项目省、市、县分级推进机制。省级对合同额10亿元以上项目进行常态化跟踪调度和督促检查；通过省级重大招商项目问题协调机制，持续抓好省级重大招商活动签约项目的跟踪调度，摸清项目推进情况和存在问题，并加大协调、督促和化解。督促市、县落实好项目“五个一”推进机制，实行台账化管理、信息化调度、常态化服务、责任化落实，强力推动项目落地见效。</w:t>
      </w:r>
    </w:p>
    <w:p w14:paraId="67B77C1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26.优化考评机制。强化结果导向，围绕总量、结构、质量，按照公平、精准、减负的原则，建立更加注重实效的考核机制，激励市县党政领导干部在招商中发挥带头示范作用。继续委托第三方机构开展抽样核查和成效评价，优化测评方法和工作流程，加强监督，确保测评客观、公平、公开、透明。</w:t>
      </w:r>
    </w:p>
    <w:p w14:paraId="019375B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三、持续优化营商环境，着力提升区域竞争实力</w:t>
      </w:r>
    </w:p>
    <w:p w14:paraId="68C49CA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27.落实重点任务。对标长三角、珠三角等先进地区经验做法，制定《贵州省2024年重点任务清单》，完善“月调度、季通报、年考核”机制，每月定期调度省直相关部门和各市（州）年度优化营商环境重点任务推进情况，每季度形成相关报告进行通报，并将相关推进完成情况纳入年度营商环境考核，倒逼各地各部门加大改革攻坚力度，推动重点任务落细落实。</w:t>
      </w:r>
    </w:p>
    <w:p w14:paraId="7CB4A23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28.强化沟通联系。建立健全常态化政企沟通交流机制，广泛听取企业家的意见和建议，推动企业家参与涉企业政策制定，拓展“企业之家”增值服务，大幅提升企业的体验感，持续擦亮“贵人服务”品牌。</w:t>
      </w:r>
    </w:p>
    <w:p w14:paraId="32C97FB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29.优化工作流程。持续开展“厅局长走流程”活动，深化“五个通办”，提升审批效率。进一步优化12345政务服务便民热线、服务民营企业直通车、“贵商易”等涉企平台，清单化闭环办理企业诉求事项。</w:t>
      </w:r>
    </w:p>
    <w:p w14:paraId="4139A51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30.整治突出问题。印发《当前营商环境突出问题整治方案》，推动清理拖欠企业账款、承诺不兑现、融资难融资贵、要素保障不到位、民营企业受到不公平对待等重点问题解决,保护经营主体合法权益，将营商环境突出问题整治纳入2024年省政府督查机构督促检查考核计划。加大明察暗访曝光力度，对不作为、慢作为、乱作为的地方政府、部门单位及其负责人和具体经办人员予以通报，强化整治结果运用。</w:t>
      </w:r>
    </w:p>
    <w:p w14:paraId="76DB43C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31.完善考核评价。对标世界银行新一轮营商环境评估和中国营商环境评价指标体系，开展营商环境监测分析和评价考核，以评促改，以评促优。</w:t>
      </w:r>
    </w:p>
    <w:p w14:paraId="62B5E05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32.构建长效机制。起草实施《贵州省营商环境大改善三年行动计划（2024-2026年）》，倒逼全省各地各部门加大改革攻坚力度，推动重点任务落细落实。加快编制发展规划，推动理论成果转化为未来5-10年优化营商环境建设的目标、路径和举措。</w:t>
      </w:r>
    </w:p>
    <w:p w14:paraId="327A2709">
      <w:pPr>
        <w:widowControl/>
        <w:spacing w:line="240" w:lineRule="auto"/>
        <w:ind w:firstLine="0" w:firstLineChars="0"/>
        <w:jc w:val="left"/>
        <w:rPr>
          <w:rFonts w:ascii="Times New Roman" w:hAnsi="Times New Roman" w:eastAsia="方正小标宋简体" w:cs="Times New Roman"/>
          <w:spacing w:val="15"/>
          <w:sz w:val="44"/>
          <w:szCs w:val="28"/>
        </w:rPr>
      </w:pPr>
      <w:r>
        <w:rPr>
          <w:rFonts w:ascii="Times New Roman" w:hAnsi="Times New Roman" w:eastAsia="方正仿宋简体" w:cs="Times New Roman"/>
          <w:sz w:val="32"/>
          <w:szCs w:val="22"/>
        </w:rPr>
        <w:br w:type="page"/>
      </w:r>
    </w:p>
    <w:p w14:paraId="0AE04B5E">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省发展改革委 省工业和信息化厅关于印发《贵州省产业配套基础设施建设三年行动计划（2024-2026年）》的通知</w:t>
      </w:r>
    </w:p>
    <w:p w14:paraId="765691A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黔发改投资〔2024〕682号</w:t>
      </w:r>
    </w:p>
    <w:p w14:paraId="2A447A61">
      <w:pPr>
        <w:spacing w:line="570" w:lineRule="exact"/>
        <w:ind w:firstLine="640" w:firstLineChars="200"/>
        <w:rPr>
          <w:rFonts w:ascii="Times New Roman" w:hAnsi="Times New Roman" w:eastAsia="方正仿宋简体" w:cs="Times New Roman"/>
          <w:sz w:val="32"/>
          <w:szCs w:val="22"/>
        </w:rPr>
      </w:pPr>
    </w:p>
    <w:p w14:paraId="29FF14C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各市、自治州人民政府，各县(市、区、特区)人民政府，省政府各部门、各直属机构、各有关企业：</w:t>
      </w:r>
    </w:p>
    <w:p w14:paraId="0B55E6F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经省人民政府同意，现将《贵州省产业配套基础设施建设三年行动计划(2024-2026年)》印发给你们，请结合实际，认真抓好贯彻落实。</w:t>
      </w:r>
    </w:p>
    <w:p w14:paraId="2E2EED9A">
      <w:pPr>
        <w:spacing w:line="570" w:lineRule="exact"/>
        <w:ind w:firstLine="640" w:firstLineChars="200"/>
        <w:rPr>
          <w:rFonts w:ascii="Times New Roman" w:hAnsi="Times New Roman" w:eastAsia="方正仿宋简体" w:cs="Times New Roman"/>
          <w:sz w:val="32"/>
          <w:szCs w:val="22"/>
        </w:rPr>
      </w:pPr>
    </w:p>
    <w:p w14:paraId="69B2B77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附件：贵州省产业配套基础设施建设三年行动计划（2024-2026年）</w:t>
      </w:r>
    </w:p>
    <w:p w14:paraId="454EC471">
      <w:pPr>
        <w:spacing w:line="570" w:lineRule="exact"/>
        <w:ind w:firstLine="640" w:firstLineChars="200"/>
        <w:rPr>
          <w:rFonts w:ascii="Times New Roman" w:hAnsi="Times New Roman" w:eastAsia="方正仿宋简体" w:cs="Times New Roman"/>
          <w:sz w:val="32"/>
          <w:szCs w:val="22"/>
        </w:rPr>
      </w:pPr>
    </w:p>
    <w:p w14:paraId="330A084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贵州省发展和改革委员会</w:t>
      </w:r>
    </w:p>
    <w:p w14:paraId="3FA0390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贵州省工业和信息化厅</w:t>
      </w:r>
    </w:p>
    <w:p w14:paraId="7F07C5D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2024年11月29日</w:t>
      </w:r>
    </w:p>
    <w:p w14:paraId="157335A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（此件公开发布）</w:t>
      </w:r>
    </w:p>
    <w:p w14:paraId="318B8355">
      <w:pPr>
        <w:spacing w:line="570" w:lineRule="exact"/>
        <w:ind w:firstLine="640" w:firstLineChars="200"/>
        <w:rPr>
          <w:rFonts w:ascii="Times New Roman" w:hAnsi="Times New Roman" w:eastAsia="方正仿宋简体" w:cs="Times New Roman"/>
          <w:sz w:val="32"/>
          <w:szCs w:val="22"/>
        </w:rPr>
      </w:pPr>
    </w:p>
    <w:p w14:paraId="2F7AA52E">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贵州省产业配套基础设施建设三年行动计划（2024—2026年）</w:t>
      </w:r>
    </w:p>
    <w:p w14:paraId="04C81EC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为切实增强“六大产业基地”、“3533”重点产业集群建设的支撑服务能力，进一步提升产业配套基础设施建设水平，结合我省实际，制定本计划。</w:t>
      </w:r>
    </w:p>
    <w:p w14:paraId="643B40CC">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一、工作目标</w:t>
      </w:r>
    </w:p>
    <w:p w14:paraId="4402D81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坚持系统谋划、分类推进，聚焦重点、服务产业，政府引导、企业参与，尽力而为、量力而行，围绕重点园区、重点企业、重大项目配套基础设施薄弱环节，充分调动各方资源和力量，大力推进产业配套基础设施建设，力争用3年时间基本建成布局合理、功能完善、安全高效的产业配套基础设施体系，有效满足重点园区、重点企业、重大项目路、水、电、气、污染治理等配套基础设施需求。</w:t>
      </w:r>
    </w:p>
    <w:p w14:paraId="5834CED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——进一步提高产业配套路网质量。到2026年，全省重点园区对外连接主通道和铁路专用线全部达到设计标准，园区内投产企业连通道路完好率提高至100%。</w:t>
      </w:r>
    </w:p>
    <w:p w14:paraId="1232BB1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——进一步提升产业供水保障能力。到2026年，全省重点园区全部具备稳定的集中供水水源，实现园区内有需求的企业集中供水管网全覆盖。</w:t>
      </w:r>
    </w:p>
    <w:p w14:paraId="4D0EAAE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——进一步提高产业供电安全水平。到2026年，全省重点园区实现有效电网全覆盖，园区内重点工业企业全部实现双回路或多回路正式供电。</w:t>
      </w:r>
    </w:p>
    <w:p w14:paraId="05627D7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——进一步扩大产业供气覆盖范围。到2026年，天然气管道基本敷设至全省重点产业园区红线边缘，实现有条件、有需求企业燃气管道连通“入户”。</w:t>
      </w:r>
    </w:p>
    <w:p w14:paraId="15228CE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——进一步提高园区污染治理水平。到2026年，全省重点园区污水集中处理设施及管网达标率提高至90%以上。</w:t>
      </w:r>
    </w:p>
    <w:p w14:paraId="76E6D13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二、主要任务</w:t>
      </w:r>
    </w:p>
    <w:p w14:paraId="190068E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加快推进园区内外通道建设，实施产业配套路网质量提升工程。加强园区与干线公路、快速路网连接，推动园区与区域交通网络“无缝衔接”，2024—2026年开工建设G212仁怀苍龙至茅台、S526织金大营至茶店等园区对外连接通道项目14个，建成13个。加快提升园区内部路网质量，打通企业发展“最后100米”，完善园区内部道路270公里。推进大宗货物年运量150万吨以上的大型工矿、能源企业、化工园区和大型物流园区建设铁路专用线，开工建设贵州能源水城、裕能铜业等13条铁路专用线，建成贵州美锦等铁路专用线6条。（责任单位：省交通运输厅、省发展改革委、省商务厅等，相关市〔州〕、县〔市、区、特区〕人民政府，产业园区管理机构；各项任务和措施落实按职责分工负责，涉及相关市〔州〕、县〔市、区、特区〕人民政府，产业园区管理机构，以下不再重复表述和一一列出）</w:t>
      </w:r>
    </w:p>
    <w:p w14:paraId="3E22A83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加快推进园区供排水设施建设，实施产业供排水能力提升工程。加快直供园区水源工程及配套供水管线建设，2024—2026年开工建设龙里三岔河、瓮安塘坎上水库等水源工程3个，印江清渡河水库与县城水厂和建材工业园区水厂水网连通工程、福泉官阳冲水库供水等配套引水供水管线项目5个；建成息烽两岔河、丹寨乌壁滩水库，引水供水管线200千米。完善园区内部供排水设施及管网，建成（含改造）供水水厂22个，供水管网500千米、排水管网300千米。（责任单位：省水利厅、省住房城乡建设厅、省工业和信息化厅等）</w:t>
      </w:r>
    </w:p>
    <w:p w14:paraId="573762E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加快推进园区电力基础设施建设，实施产业供电能力提升工程。加快提高重点企业、重大项目供电可靠性，2024—2026年开工建设六盘水盘北化工园区、和平（苟江）经开区等园区电网项目65个，建成60个；建成（含改造）220千伏变电站15座、输电线路220公里，110千伏及以下变电站25座、输电线路300公里，10千伏及以下配电线路270公里。（责任单位：贵州电网公司、省能源局等）</w:t>
      </w:r>
    </w:p>
    <w:p w14:paraId="277C0E5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加快推进园区输气管网建设，实施产业供气能力提升工程。加快天然气管道向重点园区延伸，2024—2026年新增30个园区“通气”，天然气管道基本敷设至全省重点产业园区红线边缘。加快园区内部燃气管网建设，2024—2026年开工建设息烽县化工园区、炉碧工业园区等燃气管道项目61个，建成45个、供气管网460千米。（责任单位：省能源局、省住房城乡建设厅、省工业和信息化厅等）</w:t>
      </w:r>
    </w:p>
    <w:p w14:paraId="6954825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五）加快推进园区污染治理设施建设，实施产业污染集中治理能力提升工程。按照国家要求，加快推进园区污水处理设施、污水收集管网达标建设，2024—2026年开工乌当火石坡污水处理厂二期、贵阳经开区北部片区污水治理等项目82个，建成（含改造）污水处理厂68个、污水收集管网500千米。推动符合条件的园区开展工业固废集中处置利用，建成开阳钛—磷—硫—铁—钙循环利用、息烽工业固体废弃物综合回收循环利用等项目14个。（责任单位：省住房城乡建设厅、省生态环境厅、省工业和信息化厅等）</w:t>
      </w:r>
    </w:p>
    <w:p w14:paraId="0C98A3F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六）加快推进园区信息基础设施建设，提升产业通信保障能力。持续推动对外信息传输通道扩容升级，加快省内干线网络200G/400G大容量光传输系统部署进度，升级扩容贵阳贵安国家级互联网骨干直联点传输带宽。加强园区5G网络深度覆盖。（责任单位：省通信管理局）</w:t>
      </w:r>
    </w:p>
    <w:p w14:paraId="135FDD8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七）加快推进园区集中供热设施建设，提高产业集中供热水平。因地制宜利用热电联产、工业余热等清洁低碳供热方式开展集中供热，满足企业热能需求，2024—2026年开工建设白云区工业园区、钟山区产业园区等集中供热项目21个，建成20个、集中供热管道220千米。（责任单位：省能源局、省工业和信息化厅等）</w:t>
      </w:r>
    </w:p>
    <w:p w14:paraId="21ED3AB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八）加快推进园区应急消防基础设施建设，提升园区消防安全保障能力。加快完善息烽小寨坝、瓮安经开区等化工园区配套消防设施，2024—2026年建成化工园区应急消防设施项目29个，其中新建园区消防站（气防站）6个、智慧消防平台3个。加快补齐其他园区消防水源、消火栓（消防水鹤）、灾害类型训练基地及训练设施，实现园区消防安全组织、取水平台、储水设施全覆盖。（责任单位：省应急厅、省消防救援总队、省工业和信息化厅、省住房城乡建设厅、省水利厅等）</w:t>
      </w:r>
    </w:p>
    <w:p w14:paraId="6473001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三、政策措施</w:t>
      </w:r>
    </w:p>
    <w:p w14:paraId="3385D6A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九）加强规划布局引导。将重点园区、重点企业、重大项目的产业配套基础设施需求纳入各级产业、市政设施建设等规划予以统筹考虑，并与国土空间规划做好衔接，其空间利用内容纳入详细规划。结合招商引资项目库，建立产业配套基础设施建设项目储备库，根据产业项目落地情况，按照对配套基础设施需求缓急，合理确定配套基础设施项目建设时序、建设内容并组织实施。到2026年，基本实现产业配套基础设施与产业项目同步规划、同步建设、同步投入运营。（责任单位：省发展改革委、省工业和信息化厅、省住房城乡建设厅、省自然资源厅、省投资促进局等）</w:t>
      </w:r>
    </w:p>
    <w:p w14:paraId="46B0E5D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创新项目投资模式。加快产业配套基础设施领域投融资机制改革，按照“政府引导、市场运作、企业实施”的模式，规范实施政府和社会资本合作（PPP）新机制，积极引导社会资本参与产业配套基础设施项目投资建设和运营服务。推动各地以园区为单位将产业配套基础设施项目统一打包，统筹谋划、整体推动产业配套基础设施建设。深化要素市场化配置改革，严格落实现行产业用水、用电、用气价格政策，科学有序核定输配环节价格，提升产业配套基础设施可持续运营能力。（责任单位：省发展改革委、贵州金融监管局、人行贵州省分行等）</w:t>
      </w:r>
    </w:p>
    <w:p w14:paraId="437B867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一）加快项目手续办理。优化各级前期工作经费安排使用机制，加快产业配套基础设施项目前期工作。按国家有关规定简化需要报批的文件和审批程序，积极采取并联平行方式，按项目审批权限，由本级审批主管部门集中会审，统筹指导和加快用地、用能、环评、水保、稳评等手续办理和审批。鼓励市县和部门将符合条件的同一类型项目统一打捆，采取批量办理等方式压缩前期手续办理时限，推动项目尽快开工建设。（责任单位：省发展改革委、省自然资源厅、省生态环境厅、省住房城乡建设厅、省能源局、省林业局等）</w:t>
      </w:r>
    </w:p>
    <w:p w14:paraId="0753FBF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二）加大财税金融支持。统筹省预算内投资等专项资金，用好“四化”等基金，积极争取中央预算内投资、超长期特别国债、地方政府专项债等资金，对符合条件的产业配套基础设施按规定积极予以支持。鼓励国有融资担保机构加强融资增信支持，引导金融机构加大信贷支持力度。支持各地谋划申报基础设施REITs，对符合条件投资产业配套基础设施建设的企业，按规定享受国家高新技术企业、西部大开发等税费优惠政策。（责任单位：省发展改革委、省财政厅、省国资委、人行贵州省分行、省委金融办、省税务局，黔晟国资公司等）</w:t>
      </w:r>
    </w:p>
    <w:p w14:paraId="3253DE3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三）强化土地要素保障。统筹安排年度新增建设用地、城乡建设用地增减挂钩指标，加快盘活批而未供和闲置土地资源，用好用足国家政策，保障产业配套基础设施项目建设用地需求。（责任单位：省自然资源厅、省发展改革委等）</w:t>
      </w:r>
    </w:p>
    <w:p w14:paraId="2CE48938">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四、组织实施</w:t>
      </w:r>
    </w:p>
    <w:p w14:paraId="7A65C13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四）加强组织领导。建立由省发展改革委、省工业和信息化厅牵头，省有关部门协同配合的产业配套基础设施项目建设推进机制，落实项目建设条件，推动各项任务落地实施。重大事项按程序向省委、省政府请示报告。相关市〔州〕、县〔市、区、特区〕人民政府，产业园区管理机构要建立相应工作机制，加强项目谋划实施，切实保障产业发展需求。（责任单位：省发展改革委、省工业和信息化厅等）</w:t>
      </w:r>
    </w:p>
    <w:p w14:paraId="1F7ACD2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五）加强督促调度。省发展改革委、省工业和信息化厅定期对落实本计划工作任务等情况开展督促调度，按规定通报相关情况。充分利用各类媒体、各种形式加大宣传报道力度，营造推动产业配套基础设施建设良好氛围。（责任单位：省发展改革委、省工业和信息化厅等）</w:t>
      </w:r>
    </w:p>
    <w:p w14:paraId="3B1B2863">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br w:type="page"/>
      </w:r>
    </w:p>
    <w:p w14:paraId="290AC8A8">
      <w:pPr>
        <w:widowControl/>
        <w:spacing w:line="240" w:lineRule="auto"/>
        <w:ind w:firstLine="0" w:firstLineChars="0"/>
        <w:jc w:val="left"/>
        <w:rPr>
          <w:rFonts w:ascii="Times New Roman" w:hAnsi="Times New Roman" w:eastAsia="方正仿宋简体" w:cs="Times New Roman"/>
          <w:sz w:val="32"/>
          <w:szCs w:val="22"/>
        </w:rPr>
      </w:pPr>
    </w:p>
    <w:p w14:paraId="36FB9030">
      <w:pPr>
        <w:widowControl/>
        <w:spacing w:line="240" w:lineRule="auto"/>
        <w:ind w:firstLine="0" w:firstLineChars="0"/>
        <w:jc w:val="left"/>
        <w:rPr>
          <w:rFonts w:ascii="Times New Roman" w:hAnsi="Times New Roman" w:eastAsia="方正仿宋简体" w:cs="Times New Roman"/>
          <w:sz w:val="32"/>
          <w:szCs w:val="22"/>
        </w:rPr>
      </w:pPr>
    </w:p>
    <w:p w14:paraId="76A9C2B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贵阳</w:t>
      </w:r>
    </w:p>
    <w:p w14:paraId="2171C316">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2024年贵阳市黔菜产业（餐饮业）发展专项资金使用方案</w:t>
      </w:r>
    </w:p>
    <w:p w14:paraId="15852980">
      <w:pPr>
        <w:spacing w:line="570" w:lineRule="exact"/>
        <w:ind w:firstLine="640" w:firstLineChars="200"/>
        <w:rPr>
          <w:rFonts w:hint="eastAsia" w:ascii="Times New Roman" w:hAnsi="Times New Roman" w:eastAsia="方正仿宋简体" w:cs="Times New Roman"/>
          <w:sz w:val="32"/>
          <w:szCs w:val="22"/>
        </w:rPr>
      </w:pPr>
    </w:p>
    <w:p w14:paraId="6A91EA7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深入贯彻《国务院关于促进服务消费高质量发展的意见》（国发〔2024〕18号）、《商务部等9部门关于促进餐饮业高质量发展的指导意见》（商服贸发〔2024〕46号）等文件精神，省委省政府、市委市政府关于黔菜产业和餐饮业发展的部署要求，培育壮大我市餐饮经营主体，扩大餐饮业规模，推动全市餐饮业高质量发展，高效使用省级商务发展专项资金，制定贵阳市2024年黔菜产业发展专项资金使用方案及支持政策。</w:t>
      </w:r>
    </w:p>
    <w:p w14:paraId="4B85A30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支持打造特色美食街区。鼓励各区（市、县）依托自身文化、地域等优势，打造特色美食街区（聚集区）。由区（市、县、开发区）推荐，专家评选，对符合条件被认定为市级特色美食街区（聚集区）的运营主体，授予“贵阳市级特色美食街区”牌匾，给予一次性10万元奖励。</w:t>
      </w:r>
    </w:p>
    <w:p w14:paraId="178AA34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pict>
          <v:shape id="_x0000_i1025" o:spt="75" type="#_x0000_t75" style="height:0.5pt;width:0.5pt;" filled="f" o:preferrelative="t" stroked="f" coordsize="21600,21600">
            <v:path/>
            <v:fill on="f" focussize="0,0"/>
            <v:stroke on="f"/>
            <v:imagedata r:id="rId13" o:title=""/>
            <o:lock v:ext="edit" aspectratio="t"/>
            <w10:wrap type="none"/>
            <w10:anchorlock/>
          </v:shape>
        </w:pict>
      </w:r>
      <w:r>
        <w:rPr>
          <w:rFonts w:hint="eastAsia" w:ascii="Times New Roman" w:hAnsi="Times New Roman" w:eastAsia="方正仿宋简体" w:cs="Times New Roman"/>
          <w:sz w:val="32"/>
          <w:szCs w:val="22"/>
        </w:rPr>
        <w:t>二、支持做强餐饮品牌。鼓励企业加强品牌建设和输出，扩大黔菜餐饮企业知名度，打造一批辐射面广、带动力强的连锁餐饮企业。对2024年在省外有5家（含）500㎡以上的正常经营的餐饮直营连锁门店的限上餐饮企业，授予“贵阳餐饮品牌企业”牌匾，给予一次性20万元奖励；对2024年在省外有3家（含）50㎡以上正常经营的直营连锁门店的小吃类、饮品类餐饮企业，授予“贵阳餐饮示范企业”牌匾，给予一次性5万元奖励。对2024年1-10月，年营业额达到1亿元的餐饮企业，授予“贵阳餐饮标杆企业”牌匾，给予一次性5万元奖励。</w:t>
      </w:r>
    </w:p>
    <w:p w14:paraId="2B271C9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支持“小餐小饮”发展。加大对新涌现、新研发的“小餐小饮”的培育力度，对市场认可度高、带动示范效应好的餐饮店进行认定和评比，开展万家小店“榜上有名”活动，推出“爽爽贵阳小餐榜”、“爽爽贵阳小饮榜”等，对获评对象给予重点宣传和推广。</w:t>
      </w:r>
    </w:p>
    <w:p w14:paraId="4DE8090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支持打造数字餐饮。培育本地餐饮服务平台，促进线上线下融合发展，提升消费便捷性，鼓励平台企业降低服务费标准，支持平台企业举办优惠券、团购价、满减、餐饮评选等各具特色的餐饮促消费活动，吸引消费者使用本地餐饮服务平台，增加平台的流量和用户基数，同时提高商家的参与度和积极性。</w:t>
      </w:r>
    </w:p>
    <w:p w14:paraId="4378441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五、支持开展餐饮评选、比赛、促消费等活动。</w:t>
      </w:r>
    </w:p>
    <w:p w14:paraId="58009A0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举办爽爽贵阳“名店名品名厨”评选活动。根据省商务厅支持黔菜产业（餐饮业）发展专项资金目标绩效要求，举办爽爽贵阳“名店名品名厨”评选活动，开展餐饮促消费活动，加强贵阳餐饮宣传推介，对组织活动的企业，给予不超过60万元资金支持。</w:t>
      </w:r>
    </w:p>
    <w:p w14:paraId="053595F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（二）举办创意酒饮比赛。根据省商务厅支持黔菜产业（餐饮业）发展专项资金目标绩效要求，以及“卖酒向卖生活”转变工作要求，举办创意酒饮比赛，对组织活动的企业，给予不超过60万元资金支持。</w:t>
      </w:r>
    </w:p>
    <w:p w14:paraId="53EE996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六、强化行业交流合作。支持餐饮行业商协会定期举办餐饮业内交流学习培训；支持黔菜餐饮企业参加全国性食品餐饮类展会，加强黔菜餐饮企业对外的交流合作，对参加全国性展会的餐饮企业给予标准展位全额资金支持。</w:t>
      </w:r>
    </w:p>
    <w:p w14:paraId="4112374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七、其它事项。以上方案所报项目为2024年1月1日至2024年11月30日实施的项目，有效期至2024年底。本方案所指资金来源为省商务厅黔菜产业（餐饮业）发展专项资金，共计200万元（其中2024年拨付贵阳市黔菜产业发展专项资金为150万元；2023年省商务厅支持黔菜活动资金拨付贵阳50万元）。符合以上方案给予奖补资金的项目，以项目申报时间先后安排奖补资金，经费不足部分拟列入明年的项目支出。</w:t>
      </w:r>
    </w:p>
    <w:p w14:paraId="5B75CAC5">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6F7D28B0">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t>乌当区人民政府办公室关于印发《乌当区2024年产业大招商工作方案》的通知</w:t>
      </w:r>
    </w:p>
    <w:p w14:paraId="193ECBE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各乡（镇、街道），区属各工作部门、人民团体、企事业单位：</w:t>
      </w:r>
    </w:p>
    <w:p w14:paraId="54B86FD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《乌当区 2024 年产业大招商工作方案》已经区委、区政府研究同意，现印发给你们，请认真抓好贯彻落实。</w:t>
      </w:r>
    </w:p>
    <w:p w14:paraId="1226F90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乌当区人民政府办公室</w:t>
      </w:r>
    </w:p>
    <w:p w14:paraId="2942F82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2024 年 9 月 2 日</w:t>
      </w:r>
    </w:p>
    <w:p w14:paraId="4A37FB7C">
      <w:pPr>
        <w:spacing w:line="570" w:lineRule="exact"/>
        <w:ind w:firstLine="640" w:firstLineChars="200"/>
        <w:rPr>
          <w:rFonts w:ascii="Times New Roman" w:hAnsi="Times New Roman" w:eastAsia="方正仿宋简体" w:cs="Times New Roman"/>
          <w:sz w:val="32"/>
          <w:szCs w:val="22"/>
        </w:rPr>
      </w:pPr>
    </w:p>
    <w:p w14:paraId="2C803BB1">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t>乌当区 2024 年产业大招商工作方案</w:t>
      </w:r>
    </w:p>
    <w:p w14:paraId="45E1E4DB">
      <w:pPr>
        <w:spacing w:line="570" w:lineRule="exact"/>
        <w:ind w:firstLine="640" w:firstLineChars="200"/>
        <w:rPr>
          <w:rFonts w:ascii="Times New Roman" w:hAnsi="Times New Roman" w:eastAsia="方正仿宋简体" w:cs="Times New Roman"/>
          <w:sz w:val="32"/>
          <w:szCs w:val="22"/>
        </w:rPr>
      </w:pPr>
    </w:p>
    <w:p w14:paraId="44FE4AE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为全面贯彻落实中央和省、市、区委经济工作会议精神，以最大决心、最强举措、最硬作风开展产业大招商，助推乌当区经济高质量发展，结合乌当区实际，制定本工作方案。</w:t>
      </w:r>
    </w:p>
    <w:p w14:paraId="0B689BCE">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一、指导思想</w:t>
      </w:r>
    </w:p>
    <w:p w14:paraId="598E48D4">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坚持以习近平新时代中国特色社会主义思想为指导，认真贯彻落实党的二十大精神、二十届三中全会精神及习近平总书记视察贵州重要讲话精神，深入实施“强省会”行动，坚持把招商引资作为经济工作的生命线，以项目论英雄、凭招商比能力、从落地看作风，突出目标导向、问题导向、结果导向，全力引进一批产业关联度高、发展前景好、引领性强的优质项目，推动乌当区产业大招商取得新成效。</w:t>
      </w:r>
    </w:p>
    <w:p w14:paraId="558C03AF">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二、总体目标</w:t>
      </w:r>
    </w:p>
    <w:p w14:paraId="0D83091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2024 年，全区新引产业到位资金 48 亿元，其中工业项目到位资金 27 亿元。500强企业新签约项目合同额 11 亿元。全区招商引资新引进产业项目 80 个；签约落地率50% 以上，其中工业项目占比 50% 以上，当年开工建设 50% 以上，培育“四上”企业 30 家以上（其中规上工业企业 15 家）。</w:t>
      </w:r>
    </w:p>
    <w:p w14:paraId="338C4606">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三、招商重点</w:t>
      </w:r>
    </w:p>
    <w:p w14:paraId="7A218A67">
      <w:pPr>
        <w:spacing w:line="570" w:lineRule="exact"/>
        <w:ind w:firstLine="643" w:firstLineChars="200"/>
        <w:rPr>
          <w:rFonts w:ascii="Times New Roman" w:hAnsi="Times New Roman" w:eastAsia="方正仿宋简体" w:cs="Times New Roman"/>
          <w:sz w:val="32"/>
          <w:szCs w:val="22"/>
        </w:rPr>
      </w:pPr>
      <w:r>
        <w:rPr>
          <w:rFonts w:ascii="Times New Roman" w:hAnsi="Times New Roman" w:eastAsia="方正楷体简体" w:cs="Times New Roman"/>
          <w:b/>
          <w:sz w:val="32"/>
          <w:szCs w:val="40"/>
        </w:rPr>
        <w:t>（一）紧盯重点产业</w:t>
      </w:r>
      <w:r>
        <w:rPr>
          <w:rFonts w:ascii="Times New Roman" w:hAnsi="Times New Roman" w:eastAsia="方正仿宋简体" w:cs="Times New Roman"/>
          <w:sz w:val="32"/>
          <w:szCs w:val="22"/>
        </w:rPr>
        <w:t>。</w:t>
      </w:r>
    </w:p>
    <w:p w14:paraId="60654E9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一是大力引进“一主一特”产业，紧扣健康医药、电子信息制造等产业开展精准招商，积极引进中医药民族药、化学药仿制药及生物医药等医药生产企业和医疗器械类生产制造类企业，半导体材料、敏感元件及传感器等生产制造类企业。二是大力引进绿色产业，紧盯在循环经济领域中处于行业领先地位的龙头企业，力争带动全区循环经济全产业链集聚发展。充分发挥风能、太阳能等自然资源，引进发电主机等产业项目。三是大力引进融合产业，发挥比较优势，加大旅游企业、城市开发企业等优质企业的引进力度，盘活乌当区闲置资源，推动城市更新项目、城中村项目提质改造。以生态特色食品加工、林下经济为重要方向，加大对农业龙头企业招引力度，提高乌当区农业产业集约化、可持续化发展水平，促进产业融合发展水平迈上新台阶。四是大力招引康养银发产业。围绕老年疗养、老年用品、老年服务、老年文化、老年出行等产业，聚合养老产业融合的新形式、新业态，招引优质康养银发企业。（牵头单位：区投促局；责任单位：贵州乌当经开管委会、区直有关部门、乡〈镇、街道〉、国有企业）</w:t>
      </w:r>
    </w:p>
    <w:p w14:paraId="57903B2F">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（二）紧盯重点企业</w:t>
      </w:r>
    </w:p>
    <w:p w14:paraId="4911350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开展央企、国企、500 强、独角兽企业、瞪羚企业、专精特新等优强企业的专项招商行动，一是大力加强在黔央企、国企的招商力度，提升服务水平，特别是做好中国医疗器械贵州公司、振华集团的服务工作，确保企业增资扩产项目不外溢。二是紧密跟踪各产业领域的新技术、新业态、新模式，梳理一批目标企业名单，认真跟踪分析目标企业的战略扩张动向、投资意向，制定招商专案，寻找双方共同的战略点和合作契机，组织精干力量主动上门拜访，寻求合作契机。（牵头单位：贵州乌当经开区管委会、区工业和信息化局、区投促局；责任单位：区直有关部门、乡〈镇、街道〉、国有企业）</w:t>
      </w:r>
    </w:p>
    <w:p w14:paraId="6EBAAC9E">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（三）紧盯重点区域</w:t>
      </w:r>
    </w:p>
    <w:p w14:paraId="7D5D741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持续紧盯粤港澳大湾区、长三角、京津冀、长珠潭方向、成渝等重点区域，紧盯优势产业和企业，实地开展一线精准招商，深化区域产业合作。加大对东部地区、长珠潭方向等重点区域的产业转移承接力度，加强重点项目跟踪洽谈和重大项目推介，推进一批项目落地。强化与省、市驻外办事机构的协同沟通，积极争取优质、契合的招商资源向乌当倾斜。（牵头单位：区投促局；责任单位：贵州乌当经开管委会、区直有关部门、乡〈镇、街道〉、国有企业）</w:t>
      </w:r>
    </w:p>
    <w:p w14:paraId="629FB41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四、工作措施</w:t>
      </w:r>
    </w:p>
    <w:p w14:paraId="7D7B1A21">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（一）招商主体</w:t>
      </w:r>
    </w:p>
    <w:p w14:paraId="183B51F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1.  领导干部带头招。 领导干部带头招。区委、区政府主要领导带头，开展招商推介、企业考察、项目洽谈，着力招大引强，引进一批产业链龙头骨干企业、企业总部、优强企业。其他副县级及以上领导，聚焦产业发展布局，开展全产业招商。（牵头单位：区投促局；责任单位：区委办、区政府办）</w:t>
      </w:r>
    </w:p>
    <w:p w14:paraId="28A1852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2. 经开区全力招。 经开区全力招。贵州乌当经开区切实担负起全区工业产业招商工作的重任，发挥“主战场”作用，聚焦健康医药主导产业、电子信息制造特色产业，搭建优质园区平台。以招商项目落地倒逼园区道路、管网等要素的配套建设，按照“扶上马、送一程、相伴一生”的全生命周期保障理念，重点抓好产业项目招引及落地工作，着力打造健康医药产业集群、先进装备制造产业集群、生态特色食品产业集群、大数据电子信息产业集群。（责任单位：贵州乌当经开区管委会）</w:t>
      </w:r>
    </w:p>
    <w:p w14:paraId="733BB44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3. 专业团队精准招。 专业团队精准招。针对重点产业和领域，打破体制机制限制，由县级领导领衔担任队长，在全区范围内优选人才，组建三支专业招商团队，分别围绕健康医药和生态特色食品产业、电子信息和高端装备制造产业、基金招商，深耕研究相应产业链和招商模式，并通过“走出去”“请进来”的方式，引进落地一批符合乌当区产业规划的优强企业和优质项目。（责任单位：区委组织部、区人力资源社会保障局、贵州乌当经开区管委会、区投促局、区属平台公司）</w:t>
      </w:r>
    </w:p>
    <w:p w14:paraId="48A3C90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4. 国有企业主力招。 国有企业主力招。各区属国有企业围绕主责主业，当好招商引资“主力军”，积极发挥各自优势，充分利用存量资源和市场资源，积极主动开展招商引资工作，引入市场竞争机制，实现资产综合价值最大化，有效激发区属国有企业市场竞争力，为区域经济发展带来可持续发展的活力。（责任单位：区属国有企业）</w:t>
      </w:r>
    </w:p>
    <w:p w14:paraId="5E2B1AE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5. 行业部门主动招。 行业部门主动招。按照“管行业就要管招商”的工作要求，各行业部门在区分管领导的带领下，紧紧围绕主导产业、特色产业，根据重点产业规划布局，充分依托区内资源禀赋、产业基础和政策优势，发挥主管行业、掌握专业的职能优势，动态完善并利用好“两图两库两池”和“一图三清单”，做好行业细分领域的精准化招商，推动招商引资工作走深走实。（责任单位：区投促局、贵州乌当经开管委会、区直有关部门、乡〈镇、街道〉、国有企业）</w:t>
      </w:r>
    </w:p>
    <w:p w14:paraId="328978B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6. 统战工商用情招。 统战工商用情招。区委统战部、区工商联用心用情在“联络”上下功夫，发挥统战部与各级、各类侨联、民主党派的纽带作用，发挥工商联各类商协会组织联系广泛、信息灵通的优势，横向加强与政府部门、社会各界、中介组织、专业机构和工商社团的联系与合作，纵向加强与全国各地各级工商联的组织联络，建立纵横交错的联系网络，扩大招商引资信息渠道，构建广阔的招商引资平台。（责任单位：区委统战部、区工商联）</w:t>
      </w:r>
    </w:p>
    <w:p w14:paraId="5B06629A">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（二）招商方式</w:t>
      </w:r>
    </w:p>
    <w:p w14:paraId="376D297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1. 强化标准厂房招商。 强化标准厂房招商。聚焦土地集约利用和产业集群集聚发展，加快国药西部医疗产业园、洛湾标准厂房工业园等园区的建设力度，完善厂房的水、电、路、气、讯以及排污等基础设施，加快消防及其他手续办理进度，使企业能快速入驻生产。围绕当年达到交付标准的标准厂房使用率达 50% 以上的目标，加大标房招商力度，前期以用为主，并结合市场情况逐步进行产业迭代升级。建立标房招商项目入驻评估机制，综合测算项目效益和成本账，进一步提高标房招商项目质效。</w:t>
      </w:r>
    </w:p>
    <w:p w14:paraId="6462730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2. 强化龙头招商。 强化龙头招商。各行业主管部门要做好龙头企业的服务工作，提升服务水平，激发存量企业帮助乌当区招商引资的内生动力，积极引进相关产业配套企业，增强产业聚集效益。围绕新天药业、国械贵州、健兴药业等具有一定影响力的本地龙头企业，深入研究企业生产经营现状、上下游配套情况及未来发展布局，建立以商招商企业库和项目信息库，提升招商精准度和成功率。</w:t>
      </w:r>
    </w:p>
    <w:p w14:paraId="368A289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3. 强化产业链招商。 强化产业链招商。重点聚焦“一主一特”重点产业，深入研究乌当区在健康医药、电子信息制造产业领域的现状，针对原材料、包材、模具等细分链条逐项分析，从为企业降本增效的角度出发开展针对性招引。全面梳理一批重点产业领域目标企业，开展精准产业链招商，引进一批核心产品、高附加值环节、缺失环节产业上下游项目，增强产业生态圈。</w:t>
      </w:r>
    </w:p>
    <w:p w14:paraId="17467FD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4. 强化央企招商。 强化央企招商。抓住央地产业对接大会等重大产业高端交流活动的契机，依托央企制造业产业布局图，梳理太极集团、江中药业等央企的二级、三级子公司、区域总部、功能性分支机构、创新业务板块，推动布局区域总部以及产业项目，实现“招央企”的目标。紧盯国药集团、华润医药等已有合作基础的央企，推动“央企招”形成实效。</w:t>
      </w:r>
    </w:p>
    <w:p w14:paraId="71283F18">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5. 强化基金招商。 强化基金招商。坚持“建”“募”共进，小步快走，“资金跟着项目走”，加大对接省市“四化”基金及相关产业发展基金的力度，实施“政府引导 + 产业基金 + 社会资本”模式。着力“招基金”，招引国内符合产业导向、团队一流、资源丰富的基金团队，抓实“以投带引”资本招商，带动优秀投资机构落地；着力“基金招”，聚焦重点产业，发展潜力好、科技含量高的中小企业，以及标房招商项目，用好基金投资政策，争取更多项目纳入省市基金优先支持盘子，招引、支持和推动一批产业项目落地。</w:t>
      </w:r>
    </w:p>
    <w:p w14:paraId="095156C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6. 强化比较优势招商。 强化比较优势招商。立足产业发展实际需要，系统梳理我区各行业采购和供应链配套需求，整合行业部门掌握的城市建设、自然资源（风能、太阳能、地热）、旅游资源、人文资源、教育资源、医疗资源、公共交通设施设备等各类市场资源优势，积极以资源优势吸引行业内企业进驻乌当。</w:t>
      </w:r>
    </w:p>
    <w:p w14:paraId="4FE7920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7. 强化招商易招商。 强化招商易招商。用好用足“招商易”平台，充分利用招商易重点产业链全景图、现状图，关联互动目标企业库、招商项目库，敏锐洞察发布的招商线索。全面提升“招商易”使用率，积极借助招商易提供的企业目标需求初步评估报告、深度分析评估报告，提升招商精准性和针对性。</w:t>
      </w:r>
    </w:p>
    <w:p w14:paraId="4FDADA61">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五、保障措施</w:t>
      </w:r>
    </w:p>
    <w:p w14:paraId="0AD30E71">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（一）强化组织领导</w:t>
      </w:r>
    </w:p>
    <w:p w14:paraId="772008F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一是强化招商引资领导协调工作机制，在区委、区政府统筹下全力推进招商引资各项工作，严格落实招商引资项目引进事前评估及责任追究办法、项目推进机制和退出机制，全面构建区县级领导带头、全区各级各部门协同作战的产业大招商工作格局。二是招引项目实行定期调度机制，原则上每月调度一次，由分管副区长或贵州乌当经开区管委会分管副主任组织牵头，区投促局会同贵州乌当经开区管委会、区直有关部门、乡（镇、街道）、国有企业梳理新引进项目，定期研究推动各产业发展有关事项和需要解决的重大问题，对重大项目进展情况进行调度，针对项目推进过程中存在的困难和问题，及时协调解决，推动签约项目快速落地、投产、达产。（牵头单位：区投促局、贵州乌当经开区管委会；责任单位：区直有关部门、乡〈镇、街道〉、国有企业）</w:t>
      </w:r>
    </w:p>
    <w:p w14:paraId="051844D3">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（二）强化经费保障</w:t>
      </w:r>
    </w:p>
    <w:p w14:paraId="135DA27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区级财政统筹安排 150 万元产业大招商专项资金，按照节俭、保重点的原则，使用专项工作经费。专项工作经费主要用于驻点招商、重大项目对接、对外宣传、委托招商、招商培训、招商咨询等招商引资有关工作。（责任单位：区财政局、区投促局）（三）强化项目落地服务保障践行“贵人服务”理念，做实做优营商环境，实行项目全生命周期服务机制，严格落实《乌当区产业大招商招落一体化机制》（附件 2）要求，相关县级领导及部门主动介入，加强土地、厂房、资金、能源、用工等要素保障，及时做好企业注册、规划审批等服务，推动项目早开工、早投产、早达效。重大招商引资项目落地按照“一个项目、一套班子、一个方案”的要求，实行目标化和责任化管理。（牵头单位：贵州乌当经开区管委会、区优化营商环境服务中心；责任单位：区直有关部门、乡〈镇、街道〉、国有企业）</w:t>
      </w:r>
    </w:p>
    <w:p w14:paraId="5D5729A8">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ascii="Times New Roman" w:hAnsi="Times New Roman" w:eastAsia="方正楷体简体" w:cs="Times New Roman"/>
          <w:b/>
          <w:kern w:val="2"/>
          <w:sz w:val="32"/>
          <w:szCs w:val="40"/>
          <w:lang w:val="en-US" w:eastAsia="zh-CN" w:bidi="ar-SA"/>
        </w:rPr>
        <w:t>（四）强化专业队伍建设</w:t>
      </w:r>
    </w:p>
    <w:p w14:paraId="4C7B246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充实提升招商引资队伍力量，加强各区属国有公司、各部门招商力量。培养选拔任用招商工作一线同志，将综合素质好、业务能力强的同志选拔到领导干部岗位上来。通过人才引进、区内选调、区外引入等方式，精选懂产业、懂基金、知政策、会算账、善谈判的复合型优秀人才，充实招商队伍，提升招商队伍专业化和市场化水平。（责任单位：区委组织部、区人力资源和社会保障局、区委编办）</w:t>
      </w:r>
    </w:p>
    <w:p w14:paraId="35EEF5E8">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2B7C46E7">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ascii="Times New Roman" w:hAnsi="Times New Roman" w:eastAsia="方正小标宋简体" w:cs="Times New Roman"/>
          <w:spacing w:val="15"/>
          <w:kern w:val="2"/>
          <w:sz w:val="44"/>
          <w:szCs w:val="28"/>
          <w:lang w:val="en-US" w:eastAsia="zh-CN" w:bidi="ar-SA"/>
        </w:rPr>
        <w:t>乌当区产业大招商招落一体化机制</w:t>
      </w:r>
    </w:p>
    <w:p w14:paraId="4F72F3A6">
      <w:pPr>
        <w:spacing w:line="570" w:lineRule="exact"/>
        <w:ind w:firstLine="640" w:firstLineChars="200"/>
        <w:rPr>
          <w:rFonts w:hint="eastAsia" w:ascii="Times New Roman" w:hAnsi="Times New Roman" w:eastAsia="方正仿宋简体" w:cs="Times New Roman"/>
          <w:sz w:val="32"/>
          <w:szCs w:val="22"/>
        </w:rPr>
      </w:pPr>
    </w:p>
    <w:p w14:paraId="628AF7A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根据《乌当区招商引资工作保障机制体系（试行）》中“构建高质量的产业体系”要求，坚持项目为大、项目为重、项目为王，全力以赴抓招商、建项目、扩投资、促发展，为“美丽乌当·活力新城”高质量发展注入强劲动能，特制定本机制。</w:t>
      </w:r>
    </w:p>
    <w:p w14:paraId="7D865BA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第一章　总　则</w:t>
      </w:r>
    </w:p>
    <w:p w14:paraId="59D9BFF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第一条　本机制中招商引资项目指依法注册设立的法人、其他组织以及具有完全民事行为能力的自然人（以下简称“投资方”）在乌当区投资建设、生产运营并签署招商引资投资协议（含入园协议）享受招商引资政策或服务的项目。</w:t>
      </w:r>
    </w:p>
    <w:p w14:paraId="2E2371B8">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第二条　本机制中招商引资主体是指区属各工作部门、贵州乌当经开区管委会、乡（镇、街道）、区属国有企业。</w:t>
      </w:r>
    </w:p>
    <w:p w14:paraId="54E18EF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第三条　按照条专块统、分工负责、分级决策、流程规范的总体要求开展招落一体化工作。区政府领导根据分工领衔重点产业的招商引资工作，统筹指导督促，职能部门具体负责对招商项目一抓到底；贵州乌当经开区管委会、乡（镇、街道）按照属地管理原则，统筹调度所属范围内各类要素资源和力量开展招商引资工作。</w:t>
      </w:r>
    </w:p>
    <w:p w14:paraId="2E1EA8A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第四条　招商引资项目应符合国家产业政策和乌当区产业导向，注重投资效益，提高招商质量。</w:t>
      </w:r>
    </w:p>
    <w:p w14:paraId="68D89C3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第五条　招商引资主体应围绕重点产业建立产业全景图、现状图，招商目标企业库、项目库，招商资金池、人才池“两图两库两池”并及时更新，提高招商引资和项目建设的精准性和有效性。</w:t>
      </w:r>
    </w:p>
    <w:p w14:paraId="2D076BAB">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第二章　招商线索</w:t>
      </w:r>
    </w:p>
    <w:p w14:paraId="38D70C4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第六条　招商引资主体可通过以商招商、产业链招商、基金招商、商协会招商、第三方机构招商等多种渠道和方式发掘项目线索。</w:t>
      </w:r>
    </w:p>
    <w:p w14:paraId="1FCCD1D9">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第七条　经招商引资主体与投资方对接，初步研判具有投资意向后，将投资方信息、投资内容等相关信息报区投促局，由区投促局会同相关部门初步研判项目落地的可行性，确定可行后按“首谈负责”原则交由收集线索的招商主体继续跟踪洽谈。基金项目或重大项目（投资额 1 亿元以上）由对应的专业招商团队研判，经报区委、区政府同意后，按程序组织实施。</w:t>
      </w:r>
    </w:p>
    <w:p w14:paraId="146C572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第三章　跟踪研判</w:t>
      </w:r>
    </w:p>
    <w:p w14:paraId="321F051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第八条　按照“首谈负责”的原则，招商引资主体应及时通过登门拜访、现场考察、视频会议、座谈磋商等多种方式对项目进行跟进，进一步深化投资意向及投资内容，形成要件齐备的项目投资意向书。项目线索实时动态更新，原则上一个月内转化为在谈项目。</w:t>
      </w:r>
    </w:p>
    <w:p w14:paraId="0503E5C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第九条　招商引资主体应及时围绕投资内容、投资规模、建设周期、项目效益、政策诉求、权利义务、违约责任、退出机制等核心条款，与区投促局协商研判，达成统一的谈判口径后，与投资方开展洽谈。</w:t>
      </w:r>
    </w:p>
    <w:p w14:paraId="76B5CEE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第十条　招商引资主体负责对投资方背景作尽职调查，调查内容包括但不限于股权结构、信用情况、主营业务及市场份额、行业地位、技术水平、财务状况、商业模式、涉法涉诉等。</w:t>
      </w:r>
    </w:p>
    <w:p w14:paraId="57980C6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第十一条　招商引资主体应及时组织有关职能部门，对招商引资项目开展环保准入、选址论证、收益测算等方面可行性评估，需开展社会风险评估、环境影响评估等专项评估的，由行业主管部门负责出具评估意见。原则上一个月内完成事前评估，形成双方认可的投资合作协议。</w:t>
      </w:r>
    </w:p>
    <w:p w14:paraId="33AB0E3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第十二条　新型工业化项目原则上入驻乌当区标准厂房或商务楼宇，由贵州乌当经开区管委会及区属国有企业提供用房情况。对标准厂房或商务楼宇无法满足项目生产运营需要，且投入产出强度符合贵阳市产业发展用地相关要求的招商引资项目，可单独进行用地选址。</w:t>
      </w:r>
    </w:p>
    <w:p w14:paraId="7CD57073">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第十三条　用地项目由招商引资主体会同自然资源、规划等部门推荐选址地块，并报区投促局，组织开展项目拟选址“一站式”现场踏勘论证，论证内容包括但不限于选址是否符合国家产业政策、乌当区产业导向、国土空间规划“三区三线”、生态环境保护“三线一单”、集约节约用地等相关规定，拟选地块报批征收进度及成本，以及水电路气讯等要素配套情况等。</w:t>
      </w:r>
    </w:p>
    <w:p w14:paraId="7769BF6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第十四条　按照“招商必问效”原则，由招商引资主体牵头负责，财政、税务及行业主管部门配合，对招商引资项目预期投资、产值收益、就业、科研创新等综合效益进行收益测算，算好眼前账和长远账。一般用房类工业项目的投资平衡期不超过 5 年，用地类工业项目的投资平衡期不超过 8 年，综合贡献突出的重大项目平衡期不超过 10年。对产业带动和综合贡献特别重大的项目，经报区委、区政府研究同意后，可适当放宽投资平衡期。</w:t>
      </w:r>
    </w:p>
    <w:p w14:paraId="520D3A0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第四章　评估决策</w:t>
      </w:r>
    </w:p>
    <w:p w14:paraId="19F034D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第十五条　招商引资项目引进评估决策实行分类决策机制。</w:t>
      </w:r>
    </w:p>
    <w:p w14:paraId="2DF38FA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（一）投资额在 5000 万元以上的用房项目或用地项目，适用于区政府决策流程：投资方递交用地（用房）申请报告、项目投资意向书，完成环保准入、选址论证、收益测算等环节后，提交区招商引资项目评估委员会评估项目可行性，同步开展投资合同磋商、起草、征求意见、公平竞争审查、合法性审查，形成投资合作协议文本，提交区政府专题会研究，经同意后提请区政府常务会议审议，最后在区委常委（扩大）会上通报。上述会议原则上均要形成会议纪要。</w:t>
      </w:r>
    </w:p>
    <w:p w14:paraId="4A193023">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（二）投资额在 5000 万元及以下的用房项目，适用于贵州乌当经开区管委会决策流程：投资方递交用房申请报告、项目投资意向书，由贵州乌当经开区管委会围绕要素配套研判并推荐用房选址，同步开展投资合同磋商、起草、征求意见、公平竞争审查、合法性审查，形成投资合作协议文本，经贵州乌当经开区党工委会议审议通过后，报区政府常务会议通报。上述会议原则上均要形成会议纪要。</w:t>
      </w:r>
    </w:p>
    <w:p w14:paraId="425B5A0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（三）乡（镇、街道）作为签约主体的项目，由属地按照职责及规范流程进行自主决策，并报区投促局备案。</w:t>
      </w:r>
    </w:p>
    <w:p w14:paraId="6D17D3B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第五章　签约落地</w:t>
      </w:r>
    </w:p>
    <w:p w14:paraId="7BD385E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第十六条　完成引进事前评估和投资方决策程序的招商引资项目，按招商引资分级决策原则签署投资合同。</w:t>
      </w:r>
    </w:p>
    <w:p w14:paraId="73373D4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第六章　建设运营</w:t>
      </w:r>
    </w:p>
    <w:p w14:paraId="5FC4207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第十七条　按照“谁招引、谁负责”的原则，由招商引资主体牵头，贵州乌当经开区管委会、区属相关工作部门、乡（镇、街道）、区属国有企业全力配合，加强要素保障和对接服务，确保项目早开工、早投产、早见效。</w:t>
      </w:r>
    </w:p>
    <w:p w14:paraId="68E8136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第七章　政策兑现</w:t>
      </w:r>
    </w:p>
    <w:p w14:paraId="5CD1D8C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第十八条　贵州乌当经开区管委会、行业主管部门、区属国有企业、乡（镇、街道）作为政策兑现主体，按照合同相关约定和政策规定牵头开展政策兑现工作。区营商办负责及时跟踪、汇总政策兑现进展情况、提出整改建议，适时提交政策兑现专题会研究决策，正面回应企业诉求、提升政策兑现时效、提高企业满意度。</w:t>
      </w:r>
    </w:p>
    <w:p w14:paraId="5F00F08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第八章　管理考核</w:t>
      </w:r>
    </w:p>
    <w:p w14:paraId="6539B596">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第十九条　区投促局负责统筹调度，并建立招商引资转办、督办跟踪机制，根据实际，制定年度考核办法及细则，牵头负责考核工作，将招商引资成效作为高质量发展综合绩效目标考核的重要内容进行考核问效。</w:t>
      </w:r>
    </w:p>
    <w:p w14:paraId="5D729A9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第二十条　在招商引资工作中，各单位及个人须严格遵守清正廉洁的纪律要求，守好底线，不碰红线，努力构建亲清统一的新型政商关系。</w:t>
      </w:r>
    </w:p>
    <w:p w14:paraId="24EBC3D8">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470220F5">
      <w:pPr>
        <w:widowControl w:val="0"/>
        <w:spacing w:after="160" w:line="570" w:lineRule="exact"/>
        <w:ind w:firstLine="0" w:firstLineChars="0"/>
        <w:jc w:val="both"/>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省人民政府关于支持中国（贵州）大视听 算力产业园建设发展若干措施的通知</w:t>
      </w:r>
    </w:p>
    <w:p w14:paraId="3A32D29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各市、自治州人民政府，各县（市、区、特区）人民政府，省政府各部门、各直属机构：</w:t>
      </w:r>
    </w:p>
    <w:p w14:paraId="6DCCC6C4">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为深入贯彻落实习近平文化思想，大力发展文化新质生产力，加快建设多彩贵州文化强省，支持中国（贵州）大视听算力产业园（以下简称视算产业园）建设，促进广播电视和网络视听高质量发展，提出如下措施，请认真贯彻落实。</w:t>
      </w:r>
    </w:p>
    <w:p w14:paraId="159D419F">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一、明确定位目标</w:t>
      </w:r>
    </w:p>
    <w:p w14:paraId="622B71E2">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一）打造“三区一枢纽”。推动视算产业园建成全国大视听产业重要的算力集聚地，以“算力＋算法＋算网＋算数”创新应用，促进广播电视与网络视听业态融合发展，打造全国有影响力的大视听技术应用创新区、大视听算力产业先导区、媒体深度融合发展示范区和国家文化数字化算网枢纽。（责任单位：贵阳市政府、贵安新区管委会、省大数据局、省广电局、省电影局、贵州广电传媒集团）</w:t>
      </w:r>
    </w:p>
    <w:p w14:paraId="4912E8A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（二）创建国家级示范园区。支持视算产业园创建国家广播电视和网络视听产业基地（园区）、国家级文化和科技融合示范基地。（责任单位：贵阳市政府、贵安新区管委会、省广电局、省科技厅）</w:t>
      </w:r>
    </w:p>
    <w:p w14:paraId="2158CCA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三）发展目标。到2025年，初步构建大视听“一园区多基地”产业布局，重点打造“视听＋算力”特色产业。到2030年，培育形成视听装备制造、视听内容生产、视听算力服务和视听场景应用4个产业集群，算力供给规模达到1000PFLOPS以上，年产值力争达到200亿元以上，成为全省数字经济高质量发展的重要支撑。（责任单位：贵阳市政府、贵安新区管委会、省广电局、省大数据局、贵州广电传媒集团）</w:t>
      </w:r>
    </w:p>
    <w:p w14:paraId="4B7D891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二、促进产业集聚</w:t>
      </w:r>
    </w:p>
    <w:p w14:paraId="35838D8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四）促进视听产业集聚。重点引入渲染、超高清制作等视听领域头部企业，大力引入后期制作、视听软件开发等方面的中小企业，推动微短剧、网络游戏、剧本娱乐等产业发展。（责任单位：贵阳市政府、贵安新区管委会、省广电局、省电影局、省新闻出版局、贵州广电传媒集团）</w:t>
      </w:r>
    </w:p>
    <w:p w14:paraId="7CAE7B4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五）促进算力产业集聚。重点引入算力、人工智能、网络资源、大数据分析等企业。支持视听算力调度平台、国家广电骨干传输网建设。（责任单位：贵阳市政府、贵安新区管委会、省广电局、省大数据局、贵州广电传媒集团）</w:t>
      </w:r>
    </w:p>
    <w:p w14:paraId="43D6609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六）促进视算融合发展。深化黔粤合作，重点发展未来电视，推动视听媒体资源、政务民生服务等向未来电视终端聚集。推动宣传文化系统企事业单位逐步向园区聚集，促进文化与科技、文化与旅游相互融合，发展视听新经济业态。支持政企共建艺术品交易中心和全国艺术品数据中心。推动大视听产业与工业互联网、数字社会、乡村振兴等集成创新、协同服务。（责任单位：省广电局、贵阳市政府、贵安新区管委会、省农业农村厅、省文化和旅游厅、省工业和信息化厅、省大数据局、贵州广播电视台、贵州广电传媒集团）</w:t>
      </w:r>
    </w:p>
    <w:p w14:paraId="58307AFB">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七）推进文化出海。推动视算产业园符合条件的文化企业和文化项目进入国家文化出口重点企业和重点项目目录，推动文创企业参与共建“一带一路”文化项目。（责任单位：省商务厅、省文化和旅游厅、省新闻出版局、贵阳市政府、贵安新区管委会、省广电局、贵州广电传媒集团）</w:t>
      </w:r>
    </w:p>
    <w:p w14:paraId="336B648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三、支持改革创新</w:t>
      </w:r>
    </w:p>
    <w:p w14:paraId="50E5B8F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八）建立健全“统一规划、统一运营、统一服务”三位一体的视算产业园服务运营体系，积极探索地方政府、广电主管部门、企业多方共同治理的产业发展新模式新机制。（责任单位：贵州广电传媒集团、贵阳市政府、贵安新区管委会、省广电局）</w:t>
      </w:r>
    </w:p>
    <w:p w14:paraId="3DE7F7EE">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（九）推进视算产业园“企业之家”建设，优化企业政务服务。支持视算产业园开展微短剧、视听节目、网络游戏等视听、算力产业技术服务。（责任单位：省广电局、省新闻出版局、贵州广电传媒集团）</w:t>
      </w:r>
    </w:p>
    <w:p w14:paraId="7F0F85F1">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推动视听算力技术应用新突破。围绕数字演艺集成创新、数字文化保护、超高清视频互动场景创新、未来电视集成应用、融合媒体网络终端等领域，开展人工智能、大数据、物联网、云计算、网络安全、数字孪生等关键共性技术创新应用。技术创新应用企业除享受研发费用加计扣除优惠外，支持企业提出科研问题清单，实施规上企业研发活动扶持计划。（责任单位：省科技厅、省财政厅、省大数据局、省工业和信息化厅、省税务局）</w:t>
      </w:r>
    </w:p>
    <w:p w14:paraId="7FFDC702">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一）加强创新平台建设。积极争取省部共建视听算力领域科研机构，支持视算企业与高校、科研院所联合建设行业应用重点实验室等创新平台。对获批建设的国家级和省级创新平台，按照相关政策给予支持。支持视算企业创新公共服务平台建设。（责任单位：省广电局、省科技厅、省教育厅、贵州广电传媒集团）</w:t>
      </w:r>
    </w:p>
    <w:p w14:paraId="3BCC62B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二）支持贵州广播电视台开办4K超高清频道并力争实现全国节目覆盖。推动视算产业园孵化打造超高清产业链，建设超高清产业服务平台，构建媒体超高清采编播发的技术新体系，形成超高清内容生产、设备制造、传输覆盖和终端呈现等规模化服务供给效应。（责任单位：贵州广播电视台、省广电局、省发展改革委、贵州广电传媒集团）</w:t>
      </w:r>
    </w:p>
    <w:p w14:paraId="7C75A4B8">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四、加强政策保障</w:t>
      </w:r>
    </w:p>
    <w:p w14:paraId="20717A5F">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（十三）视算产业园的“一园区多基地”，参照属地园区“园中园”进行管理，给予相关政策支持。（责任单位：贵阳市政府、贵安新区管委会）</w:t>
      </w:r>
    </w:p>
    <w:p w14:paraId="20E535D8">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四）视算产业园内企业获得国家和省级各类产业发展资金资助的，属地政府按照国家、省相关规定配套扶持；使用算力服务的省内外机构和企业，享受算力优惠政策。（责任单位：贵阳市政府、贵安新区管委会、省科技厅、省工业和信息化厅、省大数据局）</w:t>
      </w:r>
    </w:p>
    <w:p w14:paraId="1A1A5330">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五）通过省广电传媒事业发展专项资金、预算内投资、超长期特别国债、地方政府专项债券等资金，对符合条件的视算产业园项目给予支持；用好“四化”基金，适时设立视听产业发展子基金。（责任单位：省财政厅、省发展改革委、省国资委、省广电局、贵州广电传媒集团）</w:t>
      </w:r>
    </w:p>
    <w:p w14:paraId="6A166E8D">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六）鼓励国有融资担保机构加强融资增信支持，引导金融机构加大信贷支持。支持视算产业园谋划申报基础设施不动产投资信托基金（REITs），对符合条件投资产业配套基础设施建设的企业，按规定享受国家高新技术企业、西部大开发等税费优惠政策。（责任单位：省财政厅、省委金融办、省发展改革委、省税务局）</w:t>
      </w:r>
    </w:p>
    <w:p w14:paraId="4CF9FF07">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七）视算产业园引进培养的高层次人才，按规定办理“优才卡”“高层次人才服务绿卡”和“筑才卡”，子女教育、医疗保障、省内旅游、便捷出行、公积金贷款等方面给予优惠政策和服务便利。有突出贡献的专家、拥有先进技术和自主知识产权的高端创业团队以及相关创业项目，按规定给予支持。（责任单位：省人力资源社会保障厅、贵阳市政府、贵安新区管委会）</w:t>
      </w:r>
    </w:p>
    <w:p w14:paraId="27CF77C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八）鼓励视算产业园符合条件的文化企业开展股权激励试点。推动贵州传媒职业学院等院校深化产教融合，支持视算产业园内企业依托院校开展专业技能实训。（责任单位：省广电局、省教育厅、贵州广电传媒集团）</w:t>
      </w:r>
    </w:p>
    <w:p w14:paraId="1F090DF2">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（十九）入驻视算产业园的企业，用地、用房、用水、用电、用气、用工、物流、生活配套等方面按相关规定予以保障支持。（责任单位：贵阳市政府、贵安新区管委会）</w:t>
      </w:r>
    </w:p>
    <w:p w14:paraId="4572FB8E">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ascii="Times New Roman" w:hAnsi="Times New Roman" w:eastAsia="方正黑体简体" w:cs="Times New Roman"/>
          <w:kern w:val="2"/>
          <w:sz w:val="32"/>
          <w:szCs w:val="48"/>
          <w:lang w:val="en-US" w:eastAsia="zh-CN" w:bidi="ar-SA"/>
        </w:rPr>
        <w:t>五、组织实施</w:t>
      </w:r>
    </w:p>
    <w:p w14:paraId="3FA7CB5A">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二十）省有关单位按照职责分工，加强对视算产业园高质量发展的指导、支持。贵阳市负责制定具体支持政策，推进各项措施落地落实。贵州广电传媒集团要加强与有关单位沟通衔接，推动视算产业园建设取得实效。</w:t>
      </w:r>
    </w:p>
    <w:p w14:paraId="44EDBA55">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贵州省人民政府</w:t>
      </w:r>
    </w:p>
    <w:p w14:paraId="15680308">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2024年12月28日</w:t>
      </w:r>
    </w:p>
    <w:p w14:paraId="55CA49B2">
      <w:pPr>
        <w:snapToGrid w:val="0"/>
        <w:spacing w:line="570" w:lineRule="exact"/>
        <w:ind w:firstLine="640" w:firstLineChars="200"/>
        <w:jc w:val="left"/>
        <w:rPr>
          <w:rFonts w:hint="eastAsia" w:ascii="Times New Roman" w:hAnsi="Times New Roman" w:eastAsia="方正仿宋简体"/>
          <w:sz w:val="32"/>
          <w:szCs w:val="32"/>
        </w:rPr>
      </w:pPr>
    </w:p>
    <w:p w14:paraId="486FA91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关于印发《关于支持工业经济发展</w:t>
      </w:r>
      <w:r>
        <w:rPr>
          <w:rFonts w:hint="eastAsia" w:ascii="Times New Roman" w:hAnsi="Times New Roman" w:eastAsia="方正小标宋简体" w:cs="方正小标宋简体"/>
          <w:sz w:val="44"/>
          <w:szCs w:val="44"/>
          <w:lang w:val="en-US" w:eastAsia="zh-CN"/>
        </w:rPr>
        <w:t xml:space="preserve"> </w:t>
      </w:r>
      <w:r>
        <w:rPr>
          <w:rFonts w:hint="eastAsia" w:ascii="Times New Roman" w:hAnsi="Times New Roman" w:eastAsia="方正小标宋简体" w:cs="方正小标宋简体"/>
          <w:sz w:val="44"/>
          <w:szCs w:val="44"/>
        </w:rPr>
        <w:t>加强规划资源要素保障的指导意见（2025版）》的通知</w:t>
      </w:r>
    </w:p>
    <w:p w14:paraId="71CC5F96">
      <w:pPr>
        <w:keepNext w:val="0"/>
        <w:keepLines w:val="0"/>
        <w:pageBreakBefore w:val="0"/>
        <w:widowControl w:val="0"/>
        <w:kinsoku/>
        <w:wordWrap/>
        <w:overflowPunct/>
        <w:topLinePunct w:val="0"/>
        <w:autoSpaceDE/>
        <w:autoSpaceDN/>
        <w:bidi w:val="0"/>
        <w:adjustRightInd/>
        <w:spacing w:line="570" w:lineRule="exact"/>
        <w:textAlignment w:val="auto"/>
        <w:rPr>
          <w:rFonts w:hint="eastAsia" w:ascii="Times New Roman" w:hAnsi="Times New Roman" w:eastAsia="宋体" w:cs="Times New Roman"/>
          <w:kern w:val="2"/>
          <w:sz w:val="21"/>
          <w:szCs w:val="24"/>
          <w:lang w:val="en-US" w:eastAsia="zh-CN" w:bidi="ar-SA"/>
        </w:rPr>
      </w:pPr>
    </w:p>
    <w:p w14:paraId="31301A72">
      <w:pPr>
        <w:bidi w:val="0"/>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rPr>
        <w:t>各区人民政府、各管委会，市相关部门</w:t>
      </w:r>
      <w:r>
        <w:rPr>
          <w:rFonts w:hint="eastAsia" w:ascii="Times New Roman" w:hAnsi="Times New Roman" w:eastAsia="方正仿宋简体" w:cs="方正仿宋简体"/>
          <w:b w:val="0"/>
          <w:bCs w:val="0"/>
          <w:color w:val="000000"/>
          <w:sz w:val="32"/>
          <w:szCs w:val="32"/>
          <w:lang w:eastAsia="zh-CN"/>
        </w:rPr>
        <w:t>：</w:t>
      </w:r>
    </w:p>
    <w:p w14:paraId="7AF7D309">
      <w:pPr>
        <w:bidi w:val="0"/>
        <w:ind w:firstLine="640" w:firstLineChars="200"/>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val="0"/>
          <w:bCs w:val="0"/>
          <w:color w:val="000000"/>
          <w:sz w:val="32"/>
          <w:szCs w:val="32"/>
        </w:rPr>
        <w:t>为进一步加强规划资源要素对发展新质生产力和推进新型工业化建设的保障作用，促进产业用地精准配置、集约高效利用和健康有序发展，制定《关于支持工业经济发展加强规划资源要素保障的指导意见（</w:t>
      </w:r>
      <w:r>
        <w:rPr>
          <w:rFonts w:hint="default" w:ascii="Times New Roman" w:hAnsi="Times New Roman" w:eastAsia="方正仿宋简体" w:cs="Times New Roman"/>
          <w:b w:val="0"/>
          <w:bCs w:val="0"/>
          <w:color w:val="000000"/>
          <w:sz w:val="32"/>
          <w:szCs w:val="32"/>
        </w:rPr>
        <w:t>2025</w:t>
      </w:r>
      <w:r>
        <w:rPr>
          <w:rFonts w:hint="eastAsia" w:ascii="Times New Roman" w:hAnsi="Times New Roman" w:eastAsia="方正仿宋简体" w:cs="方正仿宋简体"/>
          <w:b w:val="0"/>
          <w:bCs w:val="0"/>
          <w:color w:val="000000"/>
          <w:sz w:val="32"/>
          <w:szCs w:val="32"/>
        </w:rPr>
        <w:t>版）》。现予印发，请按照执行。</w:t>
      </w:r>
    </w:p>
    <w:p w14:paraId="4792C02D">
      <w:pPr>
        <w:bidi w:val="0"/>
        <w:rPr>
          <w:rFonts w:hint="eastAsia" w:ascii="Times New Roman" w:hAnsi="Times New Roman" w:eastAsia="方正仿宋简体" w:cs="方正仿宋简体"/>
          <w:sz w:val="32"/>
          <w:szCs w:val="32"/>
          <w:lang w:val="en-US" w:eastAsia="zh-CN"/>
        </w:rPr>
      </w:pPr>
    </w:p>
    <w:p w14:paraId="0D75F727">
      <w:pPr>
        <w:bidi w:val="0"/>
        <w:rPr>
          <w:rFonts w:hint="eastAsia" w:ascii="Times New Roman" w:hAnsi="Times New Roman" w:eastAsia="宋体" w:cs="Times New Roman"/>
          <w:lang w:val="en-US" w:eastAsia="zh-CN"/>
        </w:rPr>
      </w:pPr>
    </w:p>
    <w:p w14:paraId="0D8F65C8">
      <w:pPr>
        <w:tabs>
          <w:tab w:val="left" w:pos="2348"/>
        </w:tabs>
        <w:bidi w:val="0"/>
        <w:jc w:val="right"/>
        <w:rPr>
          <w:rFonts w:hint="eastAsia" w:ascii="Times New Roman" w:hAnsi="Times New Roman" w:eastAsia="方正仿宋简体" w:cs="方正仿宋_GB2312"/>
          <w:b w:val="0"/>
          <w:bCs w:val="0"/>
          <w:color w:val="000000"/>
          <w:sz w:val="31"/>
          <w:szCs w:val="31"/>
          <w:lang w:eastAsia="zh-CN"/>
        </w:rPr>
      </w:pPr>
      <w:r>
        <w:rPr>
          <w:rFonts w:hint="eastAsia" w:ascii="Times New Roman" w:hAnsi="Times New Roman" w:eastAsia="宋体" w:cs="Times New Roman"/>
          <w:lang w:val="en-US" w:eastAsia="zh-CN"/>
        </w:rPr>
        <w:tab/>
      </w:r>
      <w:r>
        <w:rPr>
          <w:rFonts w:hint="eastAsia" w:ascii="Times New Roman" w:hAnsi="Times New Roman" w:eastAsia="方正仿宋简体" w:cs="方正仿宋简体"/>
          <w:b w:val="0"/>
          <w:bCs w:val="0"/>
          <w:color w:val="000000"/>
          <w:sz w:val="32"/>
          <w:szCs w:val="32"/>
        </w:rPr>
        <w:t>上海市规划和自然资源局</w:t>
      </w:r>
    </w:p>
    <w:p w14:paraId="386DB45D">
      <w:pPr>
        <w:tabs>
          <w:tab w:val="left" w:pos="2348"/>
        </w:tabs>
        <w:bidi w:val="0"/>
        <w:jc w:val="right"/>
        <w:rPr>
          <w:rFonts w:hint="eastAsia"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2025</w:t>
      </w:r>
      <w:r>
        <w:rPr>
          <w:rFonts w:hint="eastAsia"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1</w:t>
      </w:r>
      <w:r>
        <w:rPr>
          <w:rFonts w:hint="eastAsia" w:ascii="Times New Roman" w:hAnsi="Times New Roman" w:eastAsia="方正仿宋简体" w:cs="方正仿宋简体"/>
          <w:b w:val="0"/>
          <w:bCs w:val="0"/>
          <w:color w:val="000000"/>
          <w:sz w:val="32"/>
          <w:szCs w:val="32"/>
        </w:rPr>
        <w:t>月</w:t>
      </w:r>
      <w:r>
        <w:rPr>
          <w:rFonts w:hint="default" w:ascii="Times New Roman" w:hAnsi="Times New Roman" w:eastAsia="方正仿宋简体" w:cs="Times New Roman"/>
          <w:b w:val="0"/>
          <w:bCs w:val="0"/>
          <w:color w:val="000000"/>
          <w:sz w:val="32"/>
          <w:szCs w:val="32"/>
        </w:rPr>
        <w:t>27</w:t>
      </w:r>
      <w:r>
        <w:rPr>
          <w:rFonts w:hint="eastAsia" w:ascii="Times New Roman" w:hAnsi="Times New Roman" w:eastAsia="方正仿宋简体" w:cs="方正仿宋简体"/>
          <w:b w:val="0"/>
          <w:bCs w:val="0"/>
          <w:color w:val="000000"/>
          <w:sz w:val="32"/>
          <w:szCs w:val="32"/>
        </w:rPr>
        <w:t>日</w:t>
      </w:r>
    </w:p>
    <w:p w14:paraId="5C313865">
      <w:pPr>
        <w:tabs>
          <w:tab w:val="left" w:pos="2348"/>
        </w:tabs>
        <w:bidi w:val="0"/>
        <w:jc w:val="right"/>
        <w:rPr>
          <w:rFonts w:hint="eastAsia" w:ascii="Times New Roman" w:hAnsi="Times New Roman" w:eastAsia="方正仿宋简体" w:cs="方正仿宋简体"/>
          <w:b w:val="0"/>
          <w:bCs w:val="0"/>
          <w:color w:val="000000"/>
          <w:sz w:val="32"/>
          <w:szCs w:val="32"/>
        </w:rPr>
      </w:pPr>
    </w:p>
    <w:p w14:paraId="10DA07D0">
      <w:pPr>
        <w:tabs>
          <w:tab w:val="left" w:pos="2348"/>
        </w:tabs>
        <w:bidi w:val="0"/>
        <w:jc w:val="right"/>
        <w:rPr>
          <w:rFonts w:hint="eastAsia" w:ascii="Times New Roman" w:hAnsi="Times New Roman" w:eastAsia="方正仿宋简体" w:cs="方正仿宋简体"/>
          <w:b w:val="0"/>
          <w:bCs w:val="0"/>
          <w:color w:val="000000"/>
          <w:sz w:val="32"/>
          <w:szCs w:val="32"/>
        </w:rPr>
      </w:pPr>
    </w:p>
    <w:p w14:paraId="51B2CC2C">
      <w:pPr>
        <w:tabs>
          <w:tab w:val="left" w:pos="2348"/>
        </w:tabs>
        <w:bidi w:val="0"/>
        <w:jc w:val="right"/>
        <w:rPr>
          <w:rFonts w:hint="eastAsia" w:ascii="Times New Roman" w:hAnsi="Times New Roman" w:eastAsia="方正仿宋简体" w:cs="方正仿宋简体"/>
          <w:b w:val="0"/>
          <w:bCs w:val="0"/>
          <w:color w:val="000000"/>
          <w:sz w:val="32"/>
          <w:szCs w:val="32"/>
        </w:rPr>
      </w:pPr>
    </w:p>
    <w:p w14:paraId="1D9ECBA7">
      <w:pPr>
        <w:tabs>
          <w:tab w:val="left" w:pos="2348"/>
        </w:tabs>
        <w:bidi w:val="0"/>
        <w:jc w:val="right"/>
        <w:rPr>
          <w:rFonts w:hint="eastAsia" w:ascii="Times New Roman" w:hAnsi="Times New Roman" w:eastAsia="方正仿宋简体" w:cs="方正仿宋简体"/>
          <w:b w:val="0"/>
          <w:bCs w:val="0"/>
          <w:color w:val="000000"/>
          <w:sz w:val="32"/>
          <w:szCs w:val="32"/>
        </w:rPr>
      </w:pPr>
    </w:p>
    <w:p w14:paraId="7DD64F9D">
      <w:pPr>
        <w:tabs>
          <w:tab w:val="left" w:pos="2348"/>
        </w:tabs>
        <w:bidi w:val="0"/>
        <w:jc w:val="right"/>
        <w:rPr>
          <w:rFonts w:hint="eastAsia" w:ascii="Times New Roman" w:hAnsi="Times New Roman" w:eastAsia="方正仿宋简体" w:cs="方正仿宋简体"/>
          <w:b w:val="0"/>
          <w:bCs w:val="0"/>
          <w:color w:val="000000"/>
          <w:sz w:val="32"/>
          <w:szCs w:val="32"/>
        </w:rPr>
      </w:pPr>
    </w:p>
    <w:p w14:paraId="49017CE8">
      <w:pPr>
        <w:tabs>
          <w:tab w:val="left" w:pos="2348"/>
        </w:tabs>
        <w:bidi w:val="0"/>
        <w:jc w:val="right"/>
        <w:rPr>
          <w:rFonts w:hint="eastAsia" w:ascii="Times New Roman" w:hAnsi="Times New Roman" w:eastAsia="方正仿宋简体" w:cs="方正仿宋简体"/>
          <w:b w:val="0"/>
          <w:bCs w:val="0"/>
          <w:color w:val="000000"/>
          <w:sz w:val="32"/>
          <w:szCs w:val="32"/>
        </w:rPr>
      </w:pPr>
    </w:p>
    <w:p w14:paraId="2BC0F9AB">
      <w:pPr>
        <w:tabs>
          <w:tab w:val="left" w:pos="2348"/>
        </w:tabs>
        <w:bidi w:val="0"/>
        <w:jc w:val="right"/>
        <w:rPr>
          <w:rFonts w:hint="eastAsia" w:ascii="Times New Roman" w:hAnsi="Times New Roman" w:eastAsia="方正仿宋简体" w:cs="方正仿宋简体"/>
          <w:b w:val="0"/>
          <w:bCs w:val="0"/>
          <w:color w:val="000000"/>
          <w:sz w:val="32"/>
          <w:szCs w:val="32"/>
        </w:rPr>
      </w:pPr>
    </w:p>
    <w:p w14:paraId="0360BE0B">
      <w:pPr>
        <w:tabs>
          <w:tab w:val="left" w:pos="2348"/>
        </w:tabs>
        <w:bidi w:val="0"/>
        <w:jc w:val="right"/>
        <w:rPr>
          <w:rFonts w:hint="eastAsia" w:ascii="Times New Roman" w:hAnsi="Times New Roman" w:eastAsia="方正仿宋简体" w:cs="方正仿宋简体"/>
          <w:b w:val="0"/>
          <w:bCs w:val="0"/>
          <w:color w:val="000000"/>
          <w:sz w:val="32"/>
          <w:szCs w:val="32"/>
        </w:rPr>
      </w:pPr>
    </w:p>
    <w:p w14:paraId="3F0AC7D0">
      <w:pPr>
        <w:tabs>
          <w:tab w:val="left" w:pos="2348"/>
        </w:tabs>
        <w:bidi w:val="0"/>
        <w:jc w:val="right"/>
        <w:rPr>
          <w:rFonts w:hint="eastAsia" w:ascii="Times New Roman" w:hAnsi="Times New Roman" w:eastAsia="方正仿宋简体" w:cs="方正仿宋简体"/>
          <w:b w:val="0"/>
          <w:bCs w:val="0"/>
          <w:color w:val="000000"/>
          <w:sz w:val="32"/>
          <w:szCs w:val="32"/>
        </w:rPr>
      </w:pPr>
    </w:p>
    <w:p w14:paraId="35C27E0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eastAsia="zh-CN"/>
        </w:rPr>
      </w:pPr>
      <w:r>
        <w:rPr>
          <w:rFonts w:hint="eastAsia" w:ascii="Times New Roman" w:hAnsi="Times New Roman" w:eastAsia="方正小标宋简体" w:cs="方正小标宋简体"/>
          <w:sz w:val="44"/>
          <w:szCs w:val="44"/>
        </w:rPr>
        <w:t>关于支持工业经济发展</w:t>
      </w:r>
      <w:r>
        <w:rPr>
          <w:rFonts w:hint="eastAsia" w:ascii="Times New Roman" w:hAnsi="Times New Roman" w:eastAsia="方正小标宋简体" w:cs="方正小标宋简体"/>
          <w:sz w:val="44"/>
          <w:szCs w:val="44"/>
          <w:lang w:val="en-US" w:eastAsia="zh-CN"/>
        </w:rPr>
        <w:t xml:space="preserve"> </w:t>
      </w:r>
      <w:r>
        <w:rPr>
          <w:rFonts w:hint="eastAsia" w:ascii="Times New Roman" w:hAnsi="Times New Roman" w:eastAsia="方正小标宋简体" w:cs="方正小标宋简体"/>
          <w:sz w:val="44"/>
          <w:szCs w:val="44"/>
        </w:rPr>
        <w:t>加强规划资源要素</w:t>
      </w:r>
    </w:p>
    <w:p w14:paraId="191F213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保障的指导意见（2025版）</w:t>
      </w:r>
    </w:p>
    <w:p w14:paraId="25215F4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37DD2C27">
      <w:pPr>
        <w:keepNext w:val="0"/>
        <w:keepLines w:val="0"/>
        <w:pageBreakBefore w:val="0"/>
        <w:widowControl w:val="0"/>
        <w:kinsoku/>
        <w:wordWrap/>
        <w:overflowPunct/>
        <w:topLinePunct w:val="0"/>
        <w:autoSpaceDE/>
        <w:autoSpaceDN/>
        <w:bidi w:val="0"/>
        <w:adjustRightInd/>
        <w:snapToGrid w:val="0"/>
        <w:spacing w:line="570" w:lineRule="exact"/>
        <w:ind w:firstLine="620"/>
        <w:jc w:val="left"/>
        <w:textAlignment w:val="auto"/>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为加快推进上海“五个中心”建设和加快建成具有世界影响力的社会主义现代化国际大都市目标要求，进一步加强规划资源要素对发展新质生产力和推进新型工业化建设的保障作用，促进产业用地精准配置、集约高效利用和健康有序发展，经研究并结合已有实践基础，制定本指导意见。</w:t>
      </w:r>
    </w:p>
    <w:p w14:paraId="2A091A8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sz w:val="32"/>
          <w:szCs w:val="32"/>
        </w:rPr>
      </w:pPr>
      <w:r>
        <w:rPr>
          <w:rFonts w:hint="eastAsia" w:ascii="Times New Roman" w:hAnsi="Times New Roman" w:eastAsia="方正黑体简体" w:cs="方正黑体简体"/>
          <w:b w:val="0"/>
          <w:bCs/>
          <w:kern w:val="2"/>
          <w:sz w:val="32"/>
          <w:szCs w:val="32"/>
          <w:lang w:val="en-US" w:eastAsia="zh-CN" w:bidi="ar-SA"/>
        </w:rPr>
        <w:t>一、</w:t>
      </w:r>
      <w:r>
        <w:rPr>
          <w:rFonts w:hint="eastAsia" w:ascii="Times New Roman" w:hAnsi="Times New Roman" w:eastAsia="方正黑体简体" w:cs="方正黑体简体"/>
          <w:b w:val="0"/>
          <w:bCs/>
          <w:sz w:val="32"/>
          <w:szCs w:val="32"/>
        </w:rPr>
        <w:t>强化总规统领，持续优化保障产业发展空间</w:t>
      </w:r>
    </w:p>
    <w:p w14:paraId="76D2FB0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sz w:val="32"/>
          <w:szCs w:val="32"/>
        </w:rPr>
      </w:pPr>
      <w:r>
        <w:rPr>
          <w:rFonts w:hint="eastAsia" w:ascii="Times New Roman" w:hAnsi="Times New Roman" w:eastAsia="方正楷体简体" w:cs="方正楷体简体"/>
          <w:b/>
          <w:bCs/>
          <w:kern w:val="2"/>
          <w:sz w:val="32"/>
          <w:szCs w:val="32"/>
          <w:lang w:val="en-US" w:eastAsia="zh-CN" w:bidi="ar-SA"/>
        </w:rPr>
        <w:t>（一）</w:t>
      </w:r>
      <w:r>
        <w:rPr>
          <w:rFonts w:hint="eastAsia" w:ascii="Times New Roman" w:hAnsi="Times New Roman" w:eastAsia="方正楷体简体" w:cs="方正楷体简体"/>
          <w:b/>
          <w:bCs/>
          <w:sz w:val="32"/>
          <w:szCs w:val="32"/>
        </w:rPr>
        <w:t>坚持一张蓝图绘到底，引领产业空间发展</w:t>
      </w:r>
    </w:p>
    <w:p w14:paraId="12D341B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宋体" w:cs="Times New Roman"/>
          <w:lang w:val="en-US" w:eastAsia="zh-CN"/>
        </w:rPr>
      </w:pPr>
      <w:r>
        <w:rPr>
          <w:rFonts w:hint="default" w:ascii="Times New Roman" w:hAnsi="Times New Roman" w:eastAsia="方正仿宋简体" w:cs="Times New Roman"/>
          <w:b/>
          <w:bCs/>
          <w:color w:val="000000"/>
          <w:kern w:val="2"/>
          <w:sz w:val="32"/>
          <w:szCs w:val="32"/>
          <w:lang w:val="en-US" w:eastAsia="zh-CN" w:bidi="ar-SA"/>
        </w:rPr>
        <w:t>1.</w:t>
      </w:r>
      <w:r>
        <w:rPr>
          <w:rFonts w:hint="eastAsia" w:ascii="Times New Roman" w:hAnsi="Times New Roman" w:eastAsia="方正仿宋简体" w:cs="方正仿宋简体"/>
          <w:b/>
          <w:bCs w:val="0"/>
          <w:sz w:val="32"/>
          <w:szCs w:val="32"/>
        </w:rPr>
        <w:t>突出全球视野、战略思维和系统观念。</w:t>
      </w:r>
      <w:r>
        <w:rPr>
          <w:rFonts w:hint="eastAsia" w:ascii="Times New Roman" w:hAnsi="Times New Roman" w:eastAsia="方正仿宋简体" w:cs="方正仿宋简体"/>
          <w:b w:val="0"/>
          <w:bCs w:val="0"/>
          <w:color w:val="000000"/>
          <w:kern w:val="2"/>
          <w:sz w:val="32"/>
          <w:szCs w:val="32"/>
          <w:lang w:val="en-US" w:eastAsia="zh-CN" w:bidi="ar-SA"/>
        </w:rPr>
        <w:t>聚焦上海“五个中心”目标，强化“四大功能”，着眼国内大循环和国内国际双循环格局，综合考虑贯通国际国内的产业体系和海内外产业布局，统筹规划产业基地、联动飞地、科创高地和物流洼地，强化产城融合空间、产业生态空间、开放众创空间和韧性备份空间。</w:t>
      </w:r>
    </w:p>
    <w:p w14:paraId="580DDCC5">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w:t>
      </w:r>
      <w:r>
        <w:rPr>
          <w:rFonts w:hint="eastAsia" w:ascii="Times New Roman" w:hAnsi="Times New Roman" w:eastAsia="方正仿宋简体" w:cs="方正仿宋简体"/>
          <w:b/>
          <w:bCs w:val="0"/>
          <w:kern w:val="2"/>
          <w:sz w:val="32"/>
          <w:szCs w:val="32"/>
          <w:lang w:val="en-US" w:eastAsia="zh-CN" w:bidi="ar-SA"/>
        </w:rPr>
        <w:t>加强产业用地空间规划引导。</w:t>
      </w:r>
      <w:r>
        <w:rPr>
          <w:rFonts w:hint="eastAsia" w:ascii="Times New Roman" w:hAnsi="Times New Roman" w:eastAsia="方正仿宋简体" w:cs="方正仿宋简体"/>
          <w:b w:val="0"/>
          <w:bCs w:val="0"/>
          <w:color w:val="000000"/>
          <w:kern w:val="2"/>
          <w:sz w:val="32"/>
          <w:szCs w:val="32"/>
          <w:lang w:val="en-US" w:eastAsia="zh-CN" w:bidi="ar-SA"/>
        </w:rPr>
        <w:t>按照“上海</w:t>
      </w:r>
      <w:r>
        <w:rPr>
          <w:rFonts w:hint="default" w:ascii="Times New Roman" w:hAnsi="Times New Roman" w:eastAsia="方正仿宋简体" w:cs="Times New Roman"/>
          <w:b w:val="0"/>
          <w:bCs w:val="0"/>
          <w:color w:val="000000"/>
          <w:kern w:val="2"/>
          <w:sz w:val="32"/>
          <w:szCs w:val="32"/>
          <w:lang w:val="en-US" w:eastAsia="zh-CN" w:bidi="ar-SA"/>
        </w:rPr>
        <w:t>2035</w:t>
      </w:r>
      <w:r>
        <w:rPr>
          <w:rFonts w:hint="eastAsia" w:ascii="Times New Roman" w:hAnsi="Times New Roman" w:eastAsia="方正仿宋简体" w:cs="方正仿宋简体"/>
          <w:b w:val="0"/>
          <w:bCs w:val="0"/>
          <w:color w:val="000000"/>
          <w:kern w:val="2"/>
          <w:sz w:val="32"/>
          <w:szCs w:val="32"/>
          <w:lang w:val="en-US" w:eastAsia="zh-CN" w:bidi="ar-SA"/>
        </w:rPr>
        <w:t>”总体规划确定的“产业基地－产业社区－零星工业用地”空间布局体系，结合本市国土空间近期实施规划，适应科技创新和产业创新融合需求，深化“一主、五城、多片区”的市域产业空间布局，推动国家级开发区、市级开发区、特色产业园区高质量发展。</w:t>
      </w:r>
    </w:p>
    <w:p w14:paraId="09B18C99">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w:t>
      </w:r>
      <w:r>
        <w:rPr>
          <w:rFonts w:hint="eastAsia" w:ascii="Times New Roman" w:hAnsi="Times New Roman" w:eastAsia="方正仿宋简体" w:cs="方正仿宋简体"/>
          <w:b/>
          <w:bCs w:val="0"/>
          <w:kern w:val="2"/>
          <w:sz w:val="32"/>
          <w:szCs w:val="32"/>
          <w:lang w:val="en-US" w:eastAsia="zh-CN" w:bidi="ar-SA"/>
        </w:rPr>
        <w:t>优化强化产业基地、产业社区管理。</w:t>
      </w:r>
      <w:r>
        <w:rPr>
          <w:rFonts w:hint="eastAsia" w:ascii="Times New Roman" w:hAnsi="Times New Roman" w:eastAsia="方正仿宋简体" w:cs="方正仿宋简体"/>
          <w:b w:val="0"/>
          <w:bCs w:val="0"/>
          <w:color w:val="000000"/>
          <w:kern w:val="2"/>
          <w:sz w:val="32"/>
          <w:szCs w:val="32"/>
          <w:lang w:val="en-US" w:eastAsia="zh-CN" w:bidi="ar-SA"/>
        </w:rPr>
        <w:t>产业基地以制造业功能为主，产业基地内规划工业用地面积占比不低于</w:t>
      </w:r>
      <w:r>
        <w:rPr>
          <w:rFonts w:hint="eastAsia" w:ascii="Times New Roman" w:hAnsi="Times New Roman" w:eastAsia="方正仿宋简体" w:cs="Times New Roman"/>
          <w:b w:val="0"/>
          <w:bCs w:val="0"/>
          <w:color w:val="000000"/>
          <w:kern w:val="2"/>
          <w:sz w:val="32"/>
          <w:szCs w:val="32"/>
          <w:lang w:val="en-US" w:eastAsia="zh-CN" w:bidi="ar-SA"/>
        </w:rPr>
        <w:t>70%</w:t>
      </w:r>
      <w:r>
        <w:rPr>
          <w:rFonts w:hint="eastAsia" w:ascii="Times New Roman" w:hAnsi="Times New Roman" w:eastAsia="方正仿宋简体" w:cs="方正仿宋简体"/>
          <w:b w:val="0"/>
          <w:bCs w:val="0"/>
          <w:color w:val="000000"/>
          <w:kern w:val="2"/>
          <w:sz w:val="32"/>
          <w:szCs w:val="32"/>
          <w:lang w:val="en-US" w:eastAsia="zh-CN" w:bidi="ar-SA"/>
        </w:rPr>
        <w:t>，严格限制改变用途，实施过程中确有需要将工业用地调整为其他用途的，由相关区政府按照“占一还一、就近平衡”原则提出补划方案，经市规划资源局、市经济信息化委会审同意后，开展详细规划编制或调整。产业社区加强产城融合、功能复合，规划产业用地面积占比不低于</w:t>
      </w:r>
      <w:r>
        <w:rPr>
          <w:rFonts w:hint="eastAsia" w:ascii="Times New Roman" w:hAnsi="Times New Roman" w:eastAsia="方正仿宋简体" w:cs="Times New Roman"/>
          <w:b w:val="0"/>
          <w:bCs w:val="0"/>
          <w:color w:val="000000"/>
          <w:kern w:val="2"/>
          <w:sz w:val="32"/>
          <w:szCs w:val="32"/>
          <w:lang w:val="en-US" w:eastAsia="zh-CN" w:bidi="ar-SA"/>
        </w:rPr>
        <w:t>50%</w:t>
      </w:r>
      <w:r>
        <w:rPr>
          <w:rFonts w:hint="eastAsia" w:ascii="Times New Roman" w:hAnsi="Times New Roman" w:eastAsia="方正仿宋简体" w:cs="方正仿宋简体"/>
          <w:b w:val="0"/>
          <w:bCs w:val="0"/>
          <w:color w:val="000000"/>
          <w:kern w:val="2"/>
          <w:sz w:val="32"/>
          <w:szCs w:val="32"/>
          <w:lang w:val="en-US" w:eastAsia="zh-CN" w:bidi="ar-SA"/>
        </w:rPr>
        <w:t>。</w:t>
      </w:r>
    </w:p>
    <w:p w14:paraId="4EC441EA">
      <w:pPr>
        <w:bidi w:val="0"/>
        <w:ind w:firstLine="640"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对临近产业基地、产业社区（以下统称“规划产业区块”）的优质产业项目，可结合国土空间规划编制，局部优化规划产业区块范围。以制造业功能为主的国家公告开发区，可结合国土空间规划编制，纳入规划产业区块范围。引导新增工业项目向规划产业区块和国家公告开发区集聚。</w:t>
      </w:r>
    </w:p>
    <w:p w14:paraId="49F0423A">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w:t>
      </w:r>
      <w:r>
        <w:rPr>
          <w:rFonts w:hint="eastAsia" w:ascii="Times New Roman" w:hAnsi="Times New Roman" w:eastAsia="方正仿宋简体" w:cs="方正仿宋简体"/>
          <w:b/>
          <w:bCs w:val="0"/>
          <w:kern w:val="2"/>
          <w:sz w:val="32"/>
          <w:szCs w:val="32"/>
          <w:lang w:val="en-US" w:eastAsia="zh-CN" w:bidi="ar-SA"/>
        </w:rPr>
        <w:t>加强战略预留区规划管控。</w:t>
      </w:r>
      <w:r>
        <w:rPr>
          <w:rFonts w:hint="eastAsia" w:ascii="Times New Roman" w:hAnsi="Times New Roman" w:eastAsia="方正仿宋简体" w:cs="方正仿宋简体"/>
          <w:b w:val="0"/>
          <w:bCs w:val="0"/>
          <w:color w:val="000000"/>
          <w:kern w:val="2"/>
          <w:sz w:val="32"/>
          <w:szCs w:val="32"/>
          <w:lang w:val="en-US" w:eastAsia="zh-CN" w:bidi="ar-SA"/>
        </w:rPr>
        <w:t>按照“上海</w:t>
      </w:r>
      <w:r>
        <w:rPr>
          <w:rFonts w:hint="eastAsia" w:ascii="Times New Roman" w:hAnsi="Times New Roman" w:eastAsia="方正仿宋简体" w:cs="Times New Roman"/>
          <w:b w:val="0"/>
          <w:bCs w:val="0"/>
          <w:color w:val="000000"/>
          <w:kern w:val="2"/>
          <w:sz w:val="32"/>
          <w:szCs w:val="32"/>
          <w:lang w:val="en-US" w:eastAsia="zh-CN" w:bidi="ar-SA"/>
        </w:rPr>
        <w:t>2035</w:t>
      </w:r>
      <w:r>
        <w:rPr>
          <w:rFonts w:hint="eastAsia" w:ascii="Times New Roman" w:hAnsi="Times New Roman" w:eastAsia="方正仿宋简体" w:cs="方正仿宋简体"/>
          <w:b w:val="0"/>
          <w:bCs w:val="0"/>
          <w:color w:val="000000"/>
          <w:kern w:val="2"/>
          <w:sz w:val="32"/>
          <w:szCs w:val="32"/>
          <w:lang w:val="en-US" w:eastAsia="zh-CN" w:bidi="ar-SA"/>
        </w:rPr>
        <w:t>”总体规划要求，强化战略预留区的规划导向和空间管理。对符合规划导向的重大产业项目可按规定启动打开战略预留区。在规划评估基础上，市规划资源局会同相关市级部门和区政府启动规划研究等工作。经市政府同意后，依规进行规划编制、审批和实施管理。如需对战略预留区控制线作局部优化的，由区政府编制调整方案，经专题论证和报市规划资源局审核后调整。</w:t>
      </w:r>
    </w:p>
    <w:p w14:paraId="7577A57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（二）分类管理规划产业区块外的工业用地</w:t>
      </w:r>
    </w:p>
    <w:p w14:paraId="77932468">
      <w:pPr>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w:t>
      </w:r>
      <w:r>
        <w:rPr>
          <w:rFonts w:hint="eastAsia" w:ascii="Times New Roman" w:hAnsi="Times New Roman" w:eastAsia="方正仿宋简体" w:cs="方正仿宋简体"/>
          <w:b/>
          <w:bCs w:val="0"/>
          <w:kern w:val="2"/>
          <w:sz w:val="32"/>
          <w:szCs w:val="32"/>
          <w:lang w:val="en-US" w:eastAsia="zh-CN" w:bidi="ar-SA"/>
        </w:rPr>
        <w:t>优化零星工业用地管理。</w:t>
      </w:r>
      <w:r>
        <w:rPr>
          <w:rFonts w:hint="eastAsia" w:ascii="Times New Roman" w:hAnsi="Times New Roman" w:eastAsia="方正仿宋简体" w:cs="方正仿宋简体"/>
          <w:b w:val="0"/>
          <w:bCs w:val="0"/>
          <w:color w:val="000000"/>
          <w:kern w:val="2"/>
          <w:sz w:val="32"/>
          <w:szCs w:val="32"/>
          <w:lang w:val="en-US" w:eastAsia="zh-CN" w:bidi="ar-SA"/>
        </w:rPr>
        <w:t>零星工业用地是规划产业区块外规划保留的工业用地，企业可依据规划和产业导向开展新建、改建、扩建。对于规划未保留但经区政府认定符合“零增地”技术改造标准的现状工业用地，在不涉及生态保护红线和重要生态空间等要素的前提下，通过编制国土空间规划纳入零星工业用地管理；涉及城镇开发边界外的，在做好规划建设用地和工业用地的总量统筹与平衡衔接后，可按规划实施新建、改建、扩建。</w:t>
      </w:r>
    </w:p>
    <w:p w14:paraId="1FFB447C">
      <w:pPr>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6.</w:t>
      </w:r>
      <w:r>
        <w:rPr>
          <w:rFonts w:hint="default" w:ascii="Times New Roman" w:hAnsi="Times New Roman" w:eastAsia="方正仿宋简体" w:cs="方正仿宋简体"/>
          <w:b/>
          <w:bCs w:val="0"/>
          <w:kern w:val="2"/>
          <w:sz w:val="32"/>
          <w:szCs w:val="32"/>
          <w:lang w:val="en-US" w:eastAsia="zh-CN" w:bidi="ar-SA"/>
        </w:rPr>
        <w:t>规范现状工业用地新建、改建、扩建。</w:t>
      </w:r>
      <w:r>
        <w:rPr>
          <w:rFonts w:hint="eastAsia" w:ascii="Times New Roman" w:hAnsi="Times New Roman" w:eastAsia="方正仿宋简体" w:cs="方正仿宋简体"/>
          <w:b w:val="0"/>
          <w:bCs w:val="0"/>
          <w:color w:val="000000"/>
          <w:kern w:val="2"/>
          <w:sz w:val="32"/>
          <w:szCs w:val="32"/>
          <w:lang w:val="en-US" w:eastAsia="zh-CN" w:bidi="ar-SA"/>
        </w:rPr>
        <w:t>规划未保留的现状工业用地，经区产业、规划资源部门牵头认定符合“零增地”技术改造标准后，对在已取得的有偿使用合同（无合同的，以不动产权证证载面积为依据）范围内开展的新建、改建、扩建行为实施分类管控。</w:t>
      </w:r>
    </w:p>
    <w:p w14:paraId="098CD5B4">
      <w:pPr>
        <w:ind w:firstLine="640"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战略预留区内的，在企业承诺将来配合实施规划的前提下可新建、改建、扩建，其中在中心城、沿长江干流及黄浦江</w:t>
      </w:r>
      <w:r>
        <w:rPr>
          <w:rFonts w:hint="eastAsia" w:ascii="Times New Roman" w:hAnsi="Times New Roman" w:eastAsia="方正仿宋简体" w:cs="Times New Roman"/>
          <w:b w:val="0"/>
          <w:bCs w:val="0"/>
          <w:color w:val="000000"/>
          <w:kern w:val="2"/>
          <w:sz w:val="32"/>
          <w:szCs w:val="32"/>
          <w:lang w:val="en-US" w:eastAsia="zh-CN" w:bidi="ar-SA"/>
        </w:rPr>
        <w:t>1</w:t>
      </w:r>
      <w:r>
        <w:rPr>
          <w:rFonts w:hint="eastAsia" w:ascii="Times New Roman" w:hAnsi="Times New Roman" w:eastAsia="方正仿宋简体" w:cs="方正仿宋简体"/>
          <w:b w:val="0"/>
          <w:bCs w:val="0"/>
          <w:color w:val="000000"/>
          <w:kern w:val="2"/>
          <w:sz w:val="32"/>
          <w:szCs w:val="32"/>
          <w:lang w:val="en-US" w:eastAsia="zh-CN" w:bidi="ar-SA"/>
        </w:rPr>
        <w:t>公里范围以内的，应当经区政府同意。城镇开发边界内、战略预留区外的，在与近期规划实施不冲突且企业承诺将来配合实施规划的前提下可新建、改建、扩建。</w:t>
      </w:r>
    </w:p>
    <w:p w14:paraId="34901C2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（三）合理确定产业用地规划指标</w:t>
      </w:r>
    </w:p>
    <w:p w14:paraId="1420FE96">
      <w:pPr>
        <w:ind w:firstLine="643" w:firstLineChars="200"/>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7.</w:t>
      </w:r>
      <w:r>
        <w:rPr>
          <w:rFonts w:hint="default" w:ascii="Times New Roman" w:hAnsi="Times New Roman" w:eastAsia="方正仿宋简体" w:cs="方正仿宋简体"/>
          <w:b/>
          <w:bCs w:val="0"/>
          <w:kern w:val="2"/>
          <w:sz w:val="32"/>
          <w:szCs w:val="32"/>
          <w:lang w:val="en-US" w:eastAsia="zh-CN" w:bidi="ar-SA"/>
        </w:rPr>
        <w:t>加强产业用地节约集约利用。</w:t>
      </w:r>
      <w:r>
        <w:rPr>
          <w:rFonts w:hint="eastAsia" w:ascii="Times New Roman" w:hAnsi="Times New Roman" w:eastAsia="方正仿宋简体" w:cs="方正仿宋简体"/>
          <w:b w:val="0"/>
          <w:bCs w:val="0"/>
          <w:color w:val="000000"/>
          <w:kern w:val="2"/>
          <w:sz w:val="32"/>
          <w:szCs w:val="32"/>
          <w:lang w:val="en-US" w:eastAsia="zh-CN" w:bidi="ar-SA"/>
        </w:rPr>
        <w:t>根据产业项目功能和生产工艺等需要合理确定产业项目的容积率和建筑高度。工业、仓储用地容积率一般控制在</w:t>
      </w:r>
      <w:r>
        <w:rPr>
          <w:rFonts w:hint="eastAsia" w:ascii="Times New Roman" w:hAnsi="Times New Roman" w:eastAsia="方正仿宋简体" w:cs="Times New Roman"/>
          <w:b w:val="0"/>
          <w:bCs w:val="0"/>
          <w:color w:val="000000"/>
          <w:kern w:val="2"/>
          <w:sz w:val="32"/>
          <w:szCs w:val="32"/>
          <w:lang w:val="en-US" w:eastAsia="zh-CN" w:bidi="ar-SA"/>
        </w:rPr>
        <w:t>2.0</w:t>
      </w:r>
      <w:r>
        <w:rPr>
          <w:rFonts w:hint="eastAsia" w:ascii="Times New Roman" w:hAnsi="Times New Roman" w:eastAsia="方正仿宋简体" w:cs="方正仿宋简体"/>
          <w:b w:val="0"/>
          <w:bCs w:val="0"/>
          <w:color w:val="000000"/>
          <w:kern w:val="2"/>
          <w:sz w:val="32"/>
          <w:szCs w:val="32"/>
          <w:lang w:val="en-US" w:eastAsia="zh-CN" w:bidi="ar-SA"/>
        </w:rPr>
        <w:t>，使用特殊工艺的工业用地容积率经区产业部门认定后根据实际情况确定。研发用地容积率一般控制在</w:t>
      </w:r>
      <w:r>
        <w:rPr>
          <w:rFonts w:hint="eastAsia"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，用地布局宜相对集中。鼓励利用地下空间，提升土地综合承载能力。</w:t>
      </w:r>
    </w:p>
    <w:p w14:paraId="6C689D4A">
      <w:pPr>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8.</w:t>
      </w:r>
      <w:r>
        <w:rPr>
          <w:rFonts w:hint="default" w:ascii="Times New Roman" w:hAnsi="Times New Roman" w:eastAsia="方正仿宋简体" w:cs="方正仿宋简体"/>
          <w:b/>
          <w:bCs w:val="0"/>
          <w:kern w:val="2"/>
          <w:sz w:val="32"/>
          <w:szCs w:val="32"/>
          <w:lang w:val="en-US" w:eastAsia="zh-CN" w:bidi="ar-SA"/>
        </w:rPr>
        <w:t>优化容积率和高度管理程序</w:t>
      </w:r>
      <w:r>
        <w:rPr>
          <w:rFonts w:ascii="Times New Roman" w:hAnsi="Times New Roman" w:eastAsia="方正仿宋_GB2312" w:cs="方正仿宋_GB2312"/>
          <w:b/>
          <w:bCs/>
          <w:color w:val="000000"/>
          <w:sz w:val="31"/>
          <w:szCs w:val="31"/>
        </w:rPr>
        <w:t>。</w:t>
      </w:r>
      <w:r>
        <w:rPr>
          <w:rFonts w:hint="eastAsia" w:ascii="Times New Roman" w:hAnsi="Times New Roman" w:eastAsia="方正仿宋简体" w:cs="方正仿宋简体"/>
          <w:b w:val="0"/>
          <w:bCs w:val="0"/>
          <w:color w:val="000000"/>
          <w:kern w:val="2"/>
          <w:sz w:val="32"/>
          <w:szCs w:val="32"/>
          <w:lang w:val="en-US" w:eastAsia="zh-CN" w:bidi="ar-SA"/>
        </w:rPr>
        <w:t>优先考虑产业发展需求和特定工艺要求，对不涉及用地性质调整的，其中，在规划产业区块内工业、仓储用地容积率</w:t>
      </w:r>
      <w:r>
        <w:rPr>
          <w:rFonts w:hint="default" w:ascii="Times New Roman" w:hAnsi="Times New Roman" w:eastAsia="方正仿宋简体" w:cs="Times New Roman"/>
          <w:b w:val="0"/>
          <w:bCs w:val="0"/>
          <w:color w:val="000000"/>
          <w:kern w:val="2"/>
          <w:sz w:val="32"/>
          <w:szCs w:val="32"/>
          <w:lang w:val="en-US" w:eastAsia="zh-CN" w:bidi="ar-SA"/>
        </w:rPr>
        <w:t>2.0</w:t>
      </w:r>
      <w:r>
        <w:rPr>
          <w:rFonts w:hint="eastAsia" w:ascii="Times New Roman" w:hAnsi="Times New Roman" w:eastAsia="方正仿宋简体" w:cs="方正仿宋简体"/>
          <w:b w:val="0"/>
          <w:bCs w:val="0"/>
          <w:color w:val="000000"/>
          <w:kern w:val="2"/>
          <w:sz w:val="32"/>
          <w:szCs w:val="32"/>
          <w:lang w:val="en-US" w:eastAsia="zh-CN" w:bidi="ar-SA"/>
        </w:rPr>
        <w:t>、建筑高度</w:t>
      </w:r>
      <w:r>
        <w:rPr>
          <w:rFonts w:hint="eastAsia"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米以内调整的，研发用地容积率</w:t>
      </w:r>
      <w:r>
        <w:rPr>
          <w:rFonts w:hint="eastAsia"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、建筑高度</w:t>
      </w:r>
      <w:r>
        <w:rPr>
          <w:rFonts w:hint="eastAsia" w:ascii="Times New Roman" w:hAnsi="Times New Roman" w:eastAsia="方正仿宋简体" w:cs="Times New Roman"/>
          <w:b w:val="0"/>
          <w:bCs w:val="0"/>
          <w:color w:val="000000"/>
          <w:kern w:val="2"/>
          <w:sz w:val="32"/>
          <w:szCs w:val="32"/>
          <w:lang w:val="en-US" w:eastAsia="zh-CN" w:bidi="ar-SA"/>
        </w:rPr>
        <w:t>50</w:t>
      </w:r>
      <w:r>
        <w:rPr>
          <w:rFonts w:hint="eastAsia" w:ascii="Times New Roman" w:hAnsi="Times New Roman" w:eastAsia="方正仿宋简体" w:cs="方正仿宋简体"/>
          <w:b w:val="0"/>
          <w:bCs w:val="0"/>
          <w:color w:val="000000"/>
          <w:kern w:val="2"/>
          <w:sz w:val="32"/>
          <w:szCs w:val="32"/>
          <w:lang w:val="en-US" w:eastAsia="zh-CN" w:bidi="ar-SA"/>
        </w:rPr>
        <w:t>米以内调整的，以及经市经济信息化委认定的“智造空间”项目（开发边界外和战略预留区项目除外）容积率</w:t>
      </w:r>
      <w:r>
        <w:rPr>
          <w:rFonts w:hint="eastAsia"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以内调整的，可通过规划实施深化程序落实执行。因产业功能需要，经产业、科技和规划资源等部门论证同意，适用实施深化程序的建筑高度上限可以适当提高。确因生产工艺特殊性需要，对建筑层高超过</w:t>
      </w:r>
      <w:r>
        <w:rPr>
          <w:rFonts w:hint="eastAsia" w:ascii="Times New Roman" w:hAnsi="Times New Roman" w:eastAsia="方正仿宋简体" w:cs="Times New Roman"/>
          <w:b w:val="0"/>
          <w:bCs w:val="0"/>
          <w:color w:val="000000"/>
          <w:kern w:val="2"/>
          <w:sz w:val="32"/>
          <w:szCs w:val="32"/>
          <w:lang w:val="en-US" w:eastAsia="zh-CN" w:bidi="ar-SA"/>
        </w:rPr>
        <w:t>8</w:t>
      </w:r>
      <w:r>
        <w:rPr>
          <w:rFonts w:hint="eastAsia" w:ascii="Times New Roman" w:hAnsi="Times New Roman" w:eastAsia="方正仿宋简体" w:cs="方正仿宋简体"/>
          <w:b w:val="0"/>
          <w:bCs w:val="0"/>
          <w:color w:val="000000"/>
          <w:kern w:val="2"/>
          <w:sz w:val="32"/>
          <w:szCs w:val="32"/>
          <w:lang w:val="en-US" w:eastAsia="zh-CN" w:bidi="ar-SA"/>
        </w:rPr>
        <w:t>米的工业、仓储用地项目和超过</w:t>
      </w:r>
      <w:r>
        <w:rPr>
          <w:rFonts w:hint="eastAsia" w:ascii="Times New Roman" w:hAnsi="Times New Roman" w:eastAsia="方正仿宋简体" w:cs="Times New Roman"/>
          <w:b w:val="0"/>
          <w:bCs w:val="0"/>
          <w:color w:val="000000"/>
          <w:kern w:val="2"/>
          <w:sz w:val="32"/>
          <w:szCs w:val="32"/>
          <w:lang w:val="en-US" w:eastAsia="zh-CN" w:bidi="ar-SA"/>
        </w:rPr>
        <w:t>4.5</w:t>
      </w:r>
      <w:r>
        <w:rPr>
          <w:rFonts w:hint="eastAsia" w:ascii="Times New Roman" w:hAnsi="Times New Roman" w:eastAsia="方正仿宋简体" w:cs="方正仿宋简体"/>
          <w:b w:val="0"/>
          <w:bCs w:val="0"/>
          <w:color w:val="000000"/>
          <w:kern w:val="2"/>
          <w:sz w:val="32"/>
          <w:szCs w:val="32"/>
          <w:lang w:val="en-US" w:eastAsia="zh-CN" w:bidi="ar-SA"/>
        </w:rPr>
        <w:t>米的研发用地项目，经产业主管部门确认后，按该层实有建筑面积计入容积率。</w:t>
      </w:r>
    </w:p>
    <w:p w14:paraId="17241A6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2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方正黑体简体" w:cs="方正黑体简体"/>
          <w:b w:val="0"/>
          <w:bCs/>
          <w:kern w:val="2"/>
          <w:sz w:val="32"/>
          <w:szCs w:val="32"/>
          <w:lang w:val="en-US" w:eastAsia="zh-CN" w:bidi="ar-SA"/>
        </w:rPr>
        <w:t>二、强化资源统筹，保障产业项目落地</w:t>
      </w:r>
    </w:p>
    <w:p w14:paraId="40FF1EA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（四）强化保障产业项目用地指标</w:t>
      </w:r>
    </w:p>
    <w:p w14:paraId="6389CAA3">
      <w:pPr>
        <w:tabs>
          <w:tab w:val="left" w:pos="742"/>
        </w:tabs>
        <w:bidi w:val="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宋体" w:cs="Times New Roman"/>
          <w:kern w:val="2"/>
          <w:sz w:val="21"/>
          <w:szCs w:val="24"/>
          <w:lang w:val="en-US" w:eastAsia="zh-CN" w:bidi="ar-SA"/>
        </w:rPr>
        <w:tab/>
      </w:r>
      <w:r>
        <w:rPr>
          <w:rFonts w:hint="default" w:ascii="Times New Roman" w:hAnsi="Times New Roman" w:eastAsia="方正仿宋简体" w:cs="Times New Roman"/>
          <w:b/>
          <w:bCs/>
          <w:color w:val="000000"/>
          <w:kern w:val="2"/>
          <w:sz w:val="32"/>
          <w:szCs w:val="32"/>
          <w:lang w:val="en-US" w:eastAsia="zh-CN" w:bidi="ar-SA"/>
        </w:rPr>
        <w:t>9.</w:t>
      </w:r>
      <w:r>
        <w:rPr>
          <w:rFonts w:hint="default" w:ascii="Times New Roman" w:hAnsi="Times New Roman" w:eastAsia="方正仿宋简体" w:cs="方正仿宋简体"/>
          <w:b/>
          <w:bCs w:val="0"/>
          <w:kern w:val="2"/>
          <w:sz w:val="32"/>
          <w:szCs w:val="32"/>
          <w:lang w:val="en-US" w:eastAsia="zh-CN" w:bidi="ar-SA"/>
        </w:rPr>
        <w:t>统筹市级重大产业项目指标。</w:t>
      </w:r>
      <w:r>
        <w:rPr>
          <w:rFonts w:hint="eastAsia" w:ascii="Times New Roman" w:hAnsi="Times New Roman" w:eastAsia="方正仿宋简体" w:cs="方正仿宋简体"/>
          <w:b w:val="0"/>
          <w:bCs w:val="0"/>
          <w:color w:val="000000"/>
          <w:kern w:val="2"/>
          <w:sz w:val="32"/>
          <w:szCs w:val="32"/>
          <w:lang w:val="en-US" w:eastAsia="zh-CN" w:bidi="ar-SA"/>
        </w:rPr>
        <w:t>国家和本市“三委两局”（市经济信息化委、市发展改革委、市科委、市规划资源局、市生态环境局）认定的重大战略性产业项目，以及化工区、长兴岛、临港新片区产业项目，由市统筹用地指标直接保障。</w:t>
      </w:r>
    </w:p>
    <w:p w14:paraId="2C54F4DC">
      <w:pPr>
        <w:tabs>
          <w:tab w:val="left" w:pos="742"/>
        </w:tabs>
        <w:bidi w:val="0"/>
        <w:ind w:firstLine="643"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10.</w:t>
      </w:r>
      <w:r>
        <w:rPr>
          <w:rFonts w:hint="default" w:ascii="Times New Roman" w:hAnsi="Times New Roman" w:eastAsia="方正仿宋简体" w:cs="方正仿宋简体"/>
          <w:b/>
          <w:bCs w:val="0"/>
          <w:kern w:val="2"/>
          <w:sz w:val="32"/>
          <w:szCs w:val="32"/>
          <w:lang w:val="en-US" w:eastAsia="zh-CN" w:bidi="ar-SA"/>
        </w:rPr>
        <w:t>加强区级产业项目指标保障。</w:t>
      </w:r>
      <w:r>
        <w:rPr>
          <w:rFonts w:hint="eastAsia" w:ascii="Times New Roman" w:hAnsi="Times New Roman" w:eastAsia="方正仿宋简体" w:cs="方正仿宋简体"/>
          <w:b w:val="0"/>
          <w:bCs w:val="0"/>
          <w:color w:val="000000"/>
          <w:kern w:val="2"/>
          <w:sz w:val="32"/>
          <w:szCs w:val="32"/>
          <w:lang w:val="en-US" w:eastAsia="zh-CN" w:bidi="ar-SA"/>
        </w:rPr>
        <w:t>区级产业项目所需用地指标由各区安排落实，存在阶段性困难的，经申请由市级给予指标周转暂借和支持。</w:t>
      </w:r>
    </w:p>
    <w:p w14:paraId="1BD85B56">
      <w:pPr>
        <w:tabs>
          <w:tab w:val="left" w:pos="742"/>
        </w:tabs>
        <w:bidi w:val="0"/>
        <w:ind w:firstLine="643"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11.落实产业项目耕地占补平衡。</w:t>
      </w:r>
      <w:r>
        <w:rPr>
          <w:rFonts w:hint="eastAsia" w:ascii="Times New Roman" w:hAnsi="Times New Roman" w:eastAsia="方正仿宋简体" w:cs="方正仿宋简体"/>
          <w:b w:val="0"/>
          <w:bCs w:val="0"/>
          <w:color w:val="000000"/>
          <w:kern w:val="2"/>
          <w:sz w:val="32"/>
          <w:szCs w:val="32"/>
          <w:lang w:val="en-US" w:eastAsia="zh-CN" w:bidi="ar-SA"/>
        </w:rPr>
        <w:t>涉及占用耕地的新增产业用地在办理农转用审批时，建设单位通过自行垦造或缴纳耕地开垦费方式落实补充耕地义务，区、镇按照本市规定统筹落实区域内耕地占补平衡。</w:t>
      </w:r>
    </w:p>
    <w:p w14:paraId="23F195D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方正楷体简体" w:cs="方正楷体简体"/>
          <w:b/>
          <w:bCs/>
          <w:kern w:val="2"/>
          <w:sz w:val="32"/>
          <w:szCs w:val="32"/>
          <w:lang w:val="en-US" w:eastAsia="zh-CN" w:bidi="ar-SA"/>
        </w:rPr>
        <w:t>（五）持续充实优质产业用地储备库容</w:t>
      </w:r>
    </w:p>
    <w:p w14:paraId="0BAF0ED4">
      <w:pPr>
        <w:tabs>
          <w:tab w:val="left" w:pos="832"/>
        </w:tabs>
        <w:bidi w:val="0"/>
        <w:ind w:firstLine="643"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12.强化产业用地储供一体化。</w:t>
      </w:r>
      <w:r>
        <w:rPr>
          <w:rFonts w:hint="eastAsia" w:ascii="Times New Roman" w:hAnsi="Times New Roman" w:eastAsia="方正仿宋简体" w:cs="方正仿宋简体"/>
          <w:b w:val="0"/>
          <w:bCs w:val="0"/>
          <w:color w:val="000000"/>
          <w:kern w:val="2"/>
          <w:sz w:val="32"/>
          <w:szCs w:val="32"/>
          <w:lang w:val="en-US" w:eastAsia="zh-CN" w:bidi="ar-SA"/>
        </w:rPr>
        <w:t>加大产业用地需求、规划、储备和供应的衔接，合理确定优质产业用地储备库容。建设全市产业用地储备资源池，围绕重点区域转型发展和产业链生态圈构建，储备战略空间，各区需确保产业用地储备可满足未来</w:t>
      </w:r>
      <w:r>
        <w:rPr>
          <w:rFonts w:hint="default" w:ascii="Times New Roman" w:hAnsi="Times New Roman" w:eastAsia="方正仿宋简体" w:cs="Times New Roman"/>
          <w:b w:val="0"/>
          <w:bCs w:val="0"/>
          <w:color w:val="000000"/>
          <w:kern w:val="2"/>
          <w:sz w:val="32"/>
          <w:szCs w:val="32"/>
          <w:lang w:val="en-US" w:eastAsia="zh-CN" w:bidi="ar-SA"/>
        </w:rPr>
        <w:t>2</w:t>
      </w:r>
      <w:r>
        <w:rPr>
          <w:rFonts w:hint="eastAsia" w:ascii="Times New Roman" w:hAnsi="Times New Roman" w:eastAsia="方正仿宋简体" w:cs="方正仿宋简体"/>
          <w:b w:val="0"/>
          <w:bCs w:val="0"/>
          <w:color w:val="000000"/>
          <w:kern w:val="2"/>
          <w:sz w:val="32"/>
          <w:szCs w:val="32"/>
          <w:lang w:val="en-US" w:eastAsia="zh-CN" w:bidi="ar-SA"/>
        </w:rPr>
        <w:t>年左右优质产业项目落地。市、区政府可结合规划实施和重点产业布局划定特定区域，明确区域内产业用地通过收储等进行转型开发。</w:t>
      </w:r>
    </w:p>
    <w:p w14:paraId="0FFD5F0A">
      <w:pPr>
        <w:tabs>
          <w:tab w:val="left" w:pos="832"/>
        </w:tabs>
        <w:bidi w:val="0"/>
        <w:ind w:firstLine="643"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13.加大产业用地储备资金扶持。</w:t>
      </w:r>
      <w:r>
        <w:rPr>
          <w:rFonts w:hint="eastAsia" w:ascii="Times New Roman" w:hAnsi="Times New Roman" w:eastAsia="方正仿宋简体" w:cs="方正仿宋简体"/>
          <w:b w:val="0"/>
          <w:bCs w:val="0"/>
          <w:color w:val="000000"/>
          <w:kern w:val="2"/>
          <w:sz w:val="32"/>
          <w:szCs w:val="32"/>
          <w:lang w:val="en-US" w:eastAsia="zh-CN" w:bidi="ar-SA"/>
        </w:rPr>
        <w:t>土地储备机构专门安排资金用于产业用地收储。重点地区产业整体转型可通过市、区联合储备方式实施，并争取土地储备专项债券的支持。</w:t>
      </w:r>
    </w:p>
    <w:p w14:paraId="7172586B">
      <w:pPr>
        <w:tabs>
          <w:tab w:val="left" w:pos="692"/>
        </w:tabs>
        <w:bidi w:val="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方正楷体简体" w:cs="方正楷体简体"/>
          <w:b/>
          <w:bCs/>
          <w:kern w:val="2"/>
          <w:sz w:val="32"/>
          <w:szCs w:val="32"/>
          <w:lang w:val="en-US" w:eastAsia="zh-CN" w:bidi="ar-SA"/>
        </w:rPr>
        <w:t>（六）实行保障性的产业用地供应方式</w:t>
      </w:r>
    </w:p>
    <w:p w14:paraId="02E09C70">
      <w:pPr>
        <w:tabs>
          <w:tab w:val="left" w:pos="83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14.强化工业项目准入引导。</w:t>
      </w:r>
      <w:r>
        <w:rPr>
          <w:rFonts w:hint="default" w:ascii="Times New Roman" w:hAnsi="Times New Roman" w:eastAsia="方正仿宋简体" w:cs="方正仿宋简体"/>
          <w:b w:val="0"/>
          <w:bCs w:val="0"/>
          <w:color w:val="000000"/>
          <w:kern w:val="2"/>
          <w:sz w:val="32"/>
          <w:szCs w:val="32"/>
          <w:lang w:val="en-US" w:eastAsia="zh-CN" w:bidi="ar-SA"/>
        </w:rPr>
        <w:t>针对新增工业用地的项目，在区级产业准入时，各区产业部门需同步征询市经济信息化委意见。按照国家和本市产业结构优化调整目录实施，强化优地优用，严禁向限制类的新建项目和淘汰类项目新供地。</w:t>
      </w:r>
    </w:p>
    <w:p w14:paraId="45F9CC70">
      <w:pPr>
        <w:tabs>
          <w:tab w:val="left" w:pos="83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15.优化产业用地供应管理。</w:t>
      </w:r>
      <w:r>
        <w:rPr>
          <w:rFonts w:hint="default" w:ascii="Times New Roman" w:hAnsi="Times New Roman" w:eastAsia="方正仿宋简体" w:cs="方正仿宋简体"/>
          <w:b w:val="0"/>
          <w:bCs w:val="0"/>
          <w:color w:val="000000"/>
          <w:kern w:val="2"/>
          <w:sz w:val="32"/>
          <w:szCs w:val="32"/>
          <w:lang w:val="en-US" w:eastAsia="zh-CN" w:bidi="ar-SA"/>
        </w:rPr>
        <w:t>产业项目类工业用地和产业项目类研发用地，采用“带产业项目”挂牌方式供应。标准厂房类工业用地、通用类研发用地，采用公开招拍挂方式供应，其中出让给园区平台和领军企业的，可采用“带产业项目”挂牌方式供应。鼓励企业采用先租后让、租让结合、长期租赁等灵活方式使用产业用地。对位于同一产业链的关键环节、核心项目，涉及两宗以上用地的，经区产业部门认定后，可组合供应。</w:t>
      </w:r>
    </w:p>
    <w:p w14:paraId="0DEC5549">
      <w:pPr>
        <w:tabs>
          <w:tab w:val="left" w:pos="83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16.完善工业用地弹性年期和续期管理。</w:t>
      </w:r>
      <w:r>
        <w:rPr>
          <w:rFonts w:hint="default" w:ascii="Times New Roman" w:hAnsi="Times New Roman" w:eastAsia="方正仿宋简体" w:cs="方正仿宋简体"/>
          <w:b w:val="0"/>
          <w:bCs w:val="0"/>
          <w:color w:val="000000"/>
          <w:kern w:val="2"/>
          <w:sz w:val="32"/>
          <w:szCs w:val="32"/>
          <w:lang w:val="en-US" w:eastAsia="zh-CN" w:bidi="ar-SA"/>
        </w:rPr>
        <w:t>实施工业用地“</w:t>
      </w:r>
      <w:r>
        <w:rPr>
          <w:rFonts w:hint="default" w:ascii="Times New Roman" w:hAnsi="Times New Roman" w:eastAsia="方正仿宋简体" w:cs="Times New Roman"/>
          <w:b w:val="0"/>
          <w:bCs w:val="0"/>
          <w:color w:val="000000"/>
          <w:kern w:val="2"/>
          <w:sz w:val="32"/>
          <w:szCs w:val="32"/>
          <w:lang w:val="en-US" w:eastAsia="zh-CN" w:bidi="ar-SA"/>
        </w:rPr>
        <w:t>20</w:t>
      </w:r>
      <w:r>
        <w:rPr>
          <w:rFonts w:hint="default" w:ascii="Times New Roman" w:hAnsi="Times New Roman" w:eastAsia="方正仿宋简体" w:cs="方正仿宋简体"/>
          <w:b w:val="0"/>
          <w:bCs w:val="0"/>
          <w:color w:val="000000"/>
          <w:kern w:val="2"/>
          <w:sz w:val="32"/>
          <w:szCs w:val="32"/>
          <w:lang w:val="en-US" w:eastAsia="zh-CN" w:bidi="ar-SA"/>
        </w:rPr>
        <w:t>年弹性年期+依申请续期”制度，出让年期到期后仍符合产业导向的，可通过协议方式按原有偿使用合同约定价格续期。已出让工业用地使用权到期需续期时，经评估符合产业导向，可依据国家和本市规定，合理确定续期出让年限，重新签订出让合同，土地价款按本市相关规定核定，并纳入全生命周期管理。</w:t>
      </w:r>
    </w:p>
    <w:p w14:paraId="45BC6826">
      <w:pPr>
        <w:tabs>
          <w:tab w:val="left" w:pos="83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17.加强重大产业项目出让年期管理。</w:t>
      </w:r>
      <w:r>
        <w:rPr>
          <w:rFonts w:hint="default" w:ascii="Times New Roman" w:hAnsi="Times New Roman" w:eastAsia="方正仿宋简体" w:cs="方正仿宋简体"/>
          <w:b w:val="0"/>
          <w:bCs w:val="0"/>
          <w:color w:val="000000"/>
          <w:kern w:val="2"/>
          <w:sz w:val="32"/>
          <w:szCs w:val="32"/>
          <w:lang w:val="en-US" w:eastAsia="zh-CN" w:bidi="ar-SA"/>
        </w:rPr>
        <w:t>投资</w:t>
      </w:r>
      <w:r>
        <w:rPr>
          <w:rFonts w:hint="default" w:ascii="Times New Roman" w:hAnsi="Times New Roman" w:eastAsia="方正仿宋简体" w:cs="Times New Roman"/>
          <w:b w:val="0"/>
          <w:bCs w:val="0"/>
          <w:color w:val="000000"/>
          <w:kern w:val="2"/>
          <w:sz w:val="32"/>
          <w:szCs w:val="32"/>
          <w:lang w:val="en-US" w:eastAsia="zh-CN" w:bidi="ar-SA"/>
        </w:rPr>
        <w:t>10</w:t>
      </w:r>
      <w:r>
        <w:rPr>
          <w:rFonts w:hint="default" w:ascii="Times New Roman" w:hAnsi="Times New Roman" w:eastAsia="方正仿宋简体" w:cs="方正仿宋简体"/>
          <w:b w:val="0"/>
          <w:bCs w:val="0"/>
          <w:color w:val="000000"/>
          <w:kern w:val="2"/>
          <w:sz w:val="32"/>
          <w:szCs w:val="32"/>
          <w:lang w:val="en-US" w:eastAsia="zh-CN" w:bidi="ar-SA"/>
        </w:rPr>
        <w:t>亿元以上的重大投资项目，市经济信息化委、市科委等产业部门认定的国家级、市级重大产业项目可按</w:t>
      </w:r>
      <w:r>
        <w:rPr>
          <w:rFonts w:hint="default" w:ascii="Times New Roman" w:hAnsi="Times New Roman" w:eastAsia="方正仿宋简体" w:cs="Times New Roman"/>
          <w:b w:val="0"/>
          <w:bCs w:val="0"/>
          <w:color w:val="000000"/>
          <w:kern w:val="2"/>
          <w:sz w:val="32"/>
          <w:szCs w:val="32"/>
          <w:lang w:val="en-US" w:eastAsia="zh-CN" w:bidi="ar-SA"/>
        </w:rPr>
        <w:t>50</w:t>
      </w:r>
      <w:r>
        <w:rPr>
          <w:rFonts w:hint="default" w:ascii="Times New Roman" w:hAnsi="Times New Roman" w:eastAsia="方正仿宋简体" w:cs="方正仿宋简体"/>
          <w:b w:val="0"/>
          <w:bCs w:val="0"/>
          <w:color w:val="000000"/>
          <w:kern w:val="2"/>
          <w:sz w:val="32"/>
          <w:szCs w:val="32"/>
          <w:lang w:val="en-US" w:eastAsia="zh-CN" w:bidi="ar-SA"/>
        </w:rPr>
        <w:t>年年期出让产业项目类工业用地。区级重大产业项目，采用项目年度额度控制的方式，经区政府集体决策后，可按</w:t>
      </w:r>
      <w:r>
        <w:rPr>
          <w:rFonts w:hint="default" w:ascii="Times New Roman" w:hAnsi="Times New Roman" w:eastAsia="方正仿宋简体" w:cs="Times New Roman"/>
          <w:b w:val="0"/>
          <w:bCs w:val="0"/>
          <w:color w:val="000000"/>
          <w:kern w:val="2"/>
          <w:sz w:val="32"/>
          <w:szCs w:val="32"/>
          <w:lang w:val="en-US" w:eastAsia="zh-CN" w:bidi="ar-SA"/>
        </w:rPr>
        <w:t>50</w:t>
      </w:r>
      <w:r>
        <w:rPr>
          <w:rFonts w:hint="default" w:ascii="Times New Roman" w:hAnsi="Times New Roman" w:eastAsia="方正仿宋简体" w:cs="方正仿宋简体"/>
          <w:b w:val="0"/>
          <w:bCs w:val="0"/>
          <w:color w:val="000000"/>
          <w:kern w:val="2"/>
          <w:sz w:val="32"/>
          <w:szCs w:val="32"/>
          <w:lang w:val="en-US" w:eastAsia="zh-CN" w:bidi="ar-SA"/>
        </w:rPr>
        <w:t>年年期出让产业项目类工业用地。</w:t>
      </w:r>
    </w:p>
    <w:p w14:paraId="1911C3B8">
      <w:pPr>
        <w:tabs>
          <w:tab w:val="left" w:pos="692"/>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（七）明确履约监管内容</w:t>
      </w:r>
    </w:p>
    <w:p w14:paraId="663A8DDE">
      <w:pPr>
        <w:tabs>
          <w:tab w:val="left" w:pos="69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18.优化协同监管方式。</w:t>
      </w:r>
      <w:r>
        <w:rPr>
          <w:rFonts w:hint="default" w:ascii="Times New Roman" w:hAnsi="Times New Roman" w:eastAsia="方正仿宋简体" w:cs="方正仿宋简体"/>
          <w:b w:val="0"/>
          <w:bCs w:val="0"/>
          <w:color w:val="000000"/>
          <w:kern w:val="2"/>
          <w:sz w:val="32"/>
          <w:szCs w:val="32"/>
          <w:lang w:val="en-US" w:eastAsia="zh-CN" w:bidi="ar-SA"/>
        </w:rPr>
        <w:t>本市实行“有偿使用合同＋产业发展合作协议”协同监管模式，市规划资源局牵头制定有偿使用合同模板，市经济信息化委牵头制定产业发展合作协议模板，按照“谁提出、谁履责、谁监管”的原则，明确各部门支持措施、监管要素和违约责任。用地单位在取得土地使用权时，与规划资源部门签订有偿使用合同，与属地政府签订产业发展合作协议。</w:t>
      </w:r>
      <w:r>
        <w:rPr>
          <w:rFonts w:hint="eastAsia" w:ascii="Times New Roman" w:hAnsi="Times New Roman" w:eastAsia="宋体" w:cs="Times New Roman"/>
          <w:kern w:val="2"/>
          <w:sz w:val="21"/>
          <w:szCs w:val="24"/>
          <w:lang w:val="en-US" w:eastAsia="zh-CN" w:bidi="ar-SA"/>
        </w:rPr>
        <w:tab/>
      </w:r>
      <w:r>
        <w:rPr>
          <w:rFonts w:hint="default" w:ascii="Times New Roman" w:hAnsi="Times New Roman" w:eastAsia="方正仿宋简体" w:cs="Times New Roman"/>
          <w:b/>
          <w:bCs/>
          <w:color w:val="000000"/>
          <w:kern w:val="2"/>
          <w:sz w:val="32"/>
          <w:szCs w:val="32"/>
          <w:lang w:val="en-US" w:eastAsia="zh-CN" w:bidi="ar-SA"/>
        </w:rPr>
        <w:t>19.明确产业用地转让与回购要求。</w:t>
      </w:r>
      <w:r>
        <w:rPr>
          <w:rFonts w:hint="default" w:ascii="Times New Roman" w:hAnsi="Times New Roman" w:eastAsia="方正仿宋简体" w:cs="方正仿宋简体"/>
          <w:b w:val="0"/>
          <w:bCs w:val="0"/>
          <w:color w:val="000000"/>
          <w:kern w:val="2"/>
          <w:sz w:val="32"/>
          <w:szCs w:val="32"/>
          <w:lang w:val="en-US" w:eastAsia="zh-CN" w:bidi="ar-SA"/>
        </w:rPr>
        <w:t>以自用为主的产业用地使用权原则上不得整体或分割转让。园区平台、领军企业的物业应在符合产业准入要求的前提下按现行规定转让，其中标准厂房类工业用地、通用类研发用地等可转让的物业，鼓励可转让部分物业整体转让，对于产业链上下游企业确有物业购置需求的，转让和不动产登记的最小单元不小于层，且标准层面积应当符合产业发展客观需求。通用类研发用地上除生活配套设施以外的物业可转让不超过</w:t>
      </w:r>
      <w:r>
        <w:rPr>
          <w:rFonts w:hint="default" w:ascii="Times New Roman" w:hAnsi="Times New Roman" w:eastAsia="方正仿宋简体" w:cs="Times New Roman"/>
          <w:b w:val="0"/>
          <w:bCs w:val="0"/>
          <w:color w:val="000000"/>
          <w:kern w:val="2"/>
          <w:sz w:val="32"/>
          <w:szCs w:val="32"/>
          <w:lang w:val="en-US" w:eastAsia="zh-CN" w:bidi="ar-SA"/>
        </w:rPr>
        <w:t>30%</w:t>
      </w:r>
      <w:r>
        <w:rPr>
          <w:rFonts w:hint="default" w:ascii="Times New Roman" w:hAnsi="Times New Roman" w:eastAsia="方正仿宋简体" w:cs="方正仿宋简体"/>
          <w:b w:val="0"/>
          <w:bCs w:val="0"/>
          <w:color w:val="000000"/>
          <w:kern w:val="2"/>
          <w:sz w:val="32"/>
          <w:szCs w:val="32"/>
          <w:lang w:val="en-US" w:eastAsia="zh-CN" w:bidi="ar-SA"/>
        </w:rPr>
        <w:t>。</w:t>
      </w:r>
    </w:p>
    <w:p w14:paraId="289093A0">
      <w:pPr>
        <w:tabs>
          <w:tab w:val="left" w:pos="722"/>
        </w:tabs>
        <w:bidi w:val="0"/>
        <w:ind w:firstLine="640"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kern w:val="2"/>
          <w:sz w:val="32"/>
          <w:szCs w:val="32"/>
          <w:lang w:val="en-US" w:eastAsia="zh-CN" w:bidi="ar-SA"/>
        </w:rPr>
        <w:t>园区平台、领军企业的标准厂房类工业用地、通用类研发用地上，除生活配套设施以外的物业可转让不超过</w:t>
      </w:r>
      <w:r>
        <w:rPr>
          <w:rFonts w:hint="default" w:ascii="Times New Roman" w:hAnsi="Times New Roman" w:eastAsia="方正仿宋简体" w:cs="Times New Roman"/>
          <w:b w:val="0"/>
          <w:bCs w:val="0"/>
          <w:color w:val="000000"/>
          <w:kern w:val="2"/>
          <w:sz w:val="32"/>
          <w:szCs w:val="32"/>
          <w:lang w:val="en-US" w:eastAsia="zh-CN" w:bidi="ar-SA"/>
        </w:rPr>
        <w:t>50%</w:t>
      </w:r>
      <w:r>
        <w:rPr>
          <w:rFonts w:hint="default" w:ascii="Times New Roman" w:hAnsi="Times New Roman" w:eastAsia="方正仿宋简体" w:cs="方正仿宋简体"/>
          <w:b w:val="0"/>
          <w:bCs w:val="0"/>
          <w:color w:val="000000"/>
          <w:kern w:val="2"/>
          <w:sz w:val="32"/>
          <w:szCs w:val="32"/>
          <w:lang w:val="en-US" w:eastAsia="zh-CN" w:bidi="ar-SA"/>
        </w:rPr>
        <w:t>。园区平台、领军企业采用直接转让的比例分别不得超过可转让物业的</w:t>
      </w:r>
      <w:r>
        <w:rPr>
          <w:rFonts w:hint="default" w:ascii="Times New Roman" w:hAnsi="Times New Roman" w:eastAsia="方正仿宋简体" w:cs="Times New Roman"/>
          <w:b w:val="0"/>
          <w:bCs w:val="0"/>
          <w:color w:val="000000"/>
          <w:kern w:val="2"/>
          <w:sz w:val="32"/>
          <w:szCs w:val="32"/>
          <w:lang w:val="en-US" w:eastAsia="zh-CN" w:bidi="ar-SA"/>
        </w:rPr>
        <w:t>60%</w:t>
      </w:r>
      <w:r>
        <w:rPr>
          <w:rFonts w:hint="default" w:ascii="Times New Roman" w:hAnsi="Times New Roman" w:eastAsia="方正仿宋简体" w:cs="方正仿宋简体"/>
          <w:b w:val="0"/>
          <w:bCs w:val="0"/>
          <w:color w:val="000000"/>
          <w:kern w:val="2"/>
          <w:sz w:val="32"/>
          <w:szCs w:val="32"/>
          <w:lang w:val="en-US" w:eastAsia="zh-CN" w:bidi="ar-SA"/>
        </w:rPr>
        <w:t>、</w:t>
      </w:r>
      <w:r>
        <w:rPr>
          <w:rFonts w:hint="default" w:ascii="Times New Roman" w:hAnsi="Times New Roman" w:eastAsia="方正仿宋简体" w:cs="Times New Roman"/>
          <w:b w:val="0"/>
          <w:bCs w:val="0"/>
          <w:color w:val="000000"/>
          <w:kern w:val="2"/>
          <w:sz w:val="32"/>
          <w:szCs w:val="32"/>
          <w:lang w:val="en-US" w:eastAsia="zh-CN" w:bidi="ar-SA"/>
        </w:rPr>
        <w:t>40%</w:t>
      </w:r>
      <w:r>
        <w:rPr>
          <w:rFonts w:hint="default" w:ascii="Times New Roman" w:hAnsi="Times New Roman" w:eastAsia="方正仿宋简体" w:cs="方正仿宋简体"/>
          <w:b w:val="0"/>
          <w:bCs w:val="0"/>
          <w:color w:val="000000"/>
          <w:kern w:val="2"/>
          <w:sz w:val="32"/>
          <w:szCs w:val="32"/>
          <w:lang w:val="en-US" w:eastAsia="zh-CN" w:bidi="ar-SA"/>
        </w:rPr>
        <w:t>。园区平台转让的物业，自转让登记之日</w:t>
      </w:r>
      <w:r>
        <w:rPr>
          <w:rFonts w:hint="eastAsia" w:ascii="Times New Roman" w:hAnsi="Times New Roman" w:eastAsia="方正仿宋简体" w:cs="方正仿宋简体"/>
          <w:b w:val="0"/>
          <w:bCs w:val="0"/>
          <w:color w:val="000000"/>
          <w:kern w:val="2"/>
          <w:sz w:val="32"/>
          <w:szCs w:val="32"/>
          <w:lang w:val="en-US" w:eastAsia="zh-CN" w:bidi="ar-SA"/>
        </w:rPr>
        <w:t>起</w:t>
      </w:r>
      <w:r>
        <w:rPr>
          <w:rFonts w:hint="default" w:ascii="Times New Roman" w:hAnsi="Times New Roman" w:eastAsia="方正仿宋简体" w:cs="Times New Roman"/>
          <w:b w:val="0"/>
          <w:bCs w:val="0"/>
          <w:color w:val="000000"/>
          <w:kern w:val="2"/>
          <w:sz w:val="32"/>
          <w:szCs w:val="32"/>
          <w:lang w:val="en-US" w:eastAsia="zh-CN" w:bidi="ar-SA"/>
        </w:rPr>
        <w:t>5</w:t>
      </w:r>
      <w:r>
        <w:rPr>
          <w:rFonts w:hint="default" w:ascii="Times New Roman" w:hAnsi="Times New Roman" w:eastAsia="方正仿宋简体" w:cs="方正仿宋简体"/>
          <w:b w:val="0"/>
          <w:bCs w:val="0"/>
          <w:color w:val="000000"/>
          <w:kern w:val="2"/>
          <w:sz w:val="32"/>
          <w:szCs w:val="32"/>
          <w:lang w:val="en-US" w:eastAsia="zh-CN" w:bidi="ar-SA"/>
        </w:rPr>
        <w:t>年内不得再次转让，</w:t>
      </w:r>
      <w:r>
        <w:rPr>
          <w:rFonts w:hint="default" w:ascii="Times New Roman" w:hAnsi="Times New Roman" w:eastAsia="方正仿宋简体" w:cs="Times New Roman"/>
          <w:b w:val="0"/>
          <w:bCs w:val="0"/>
          <w:color w:val="000000"/>
          <w:kern w:val="2"/>
          <w:sz w:val="32"/>
          <w:szCs w:val="32"/>
          <w:lang w:val="en-US" w:eastAsia="zh-CN" w:bidi="ar-SA"/>
        </w:rPr>
        <w:t>5</w:t>
      </w:r>
      <w:r>
        <w:rPr>
          <w:rFonts w:hint="default" w:ascii="Times New Roman" w:hAnsi="Times New Roman" w:eastAsia="方正仿宋简体" w:cs="方正仿宋简体"/>
          <w:b w:val="0"/>
          <w:bCs w:val="0"/>
          <w:color w:val="000000"/>
          <w:kern w:val="2"/>
          <w:sz w:val="32"/>
          <w:szCs w:val="32"/>
          <w:lang w:val="en-US" w:eastAsia="zh-CN" w:bidi="ar-SA"/>
        </w:rPr>
        <w:t>年后确需转让的可由园区平台或区政府指定机构按约定价格优先回购，放弃优先回购的可以转让给符合产业准入要求的企业或研发机构。领军企业转让的物业由领军企业或区政府指定机构按约定价格回购。</w:t>
      </w:r>
    </w:p>
    <w:p w14:paraId="24CD0815">
      <w:pPr>
        <w:tabs>
          <w:tab w:val="left" w:pos="72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20.优化地下空间开发管理要求。</w:t>
      </w:r>
      <w:r>
        <w:rPr>
          <w:rFonts w:hint="default" w:ascii="Times New Roman" w:hAnsi="Times New Roman" w:eastAsia="方正仿宋简体" w:cs="方正仿宋简体"/>
          <w:b w:val="0"/>
          <w:bCs w:val="0"/>
          <w:color w:val="000000"/>
          <w:kern w:val="2"/>
          <w:sz w:val="32"/>
          <w:szCs w:val="32"/>
          <w:lang w:val="en-US" w:eastAsia="zh-CN" w:bidi="ar-SA"/>
        </w:rPr>
        <w:t>优化有偿使用合同，通过条款明确约定，工业仓储类项目用地增加地下空间开发的，以建设工程规划许可证核准的建筑面积为准，用地企业无需签订补充合同，不增收土地价款。规划资源部门依据规划审批和合同约定办理竣工规划资源验收手续。</w:t>
      </w:r>
    </w:p>
    <w:p w14:paraId="7A4117EC">
      <w:pPr>
        <w:tabs>
          <w:tab w:val="left" w:pos="692"/>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（八）鼓励产业用地弹性利用</w:t>
      </w:r>
    </w:p>
    <w:p w14:paraId="3A57C2A2">
      <w:pPr>
        <w:tabs>
          <w:tab w:val="left" w:pos="681"/>
        </w:tabs>
        <w:bidi w:val="0"/>
        <w:jc w:val="left"/>
        <w:rPr>
          <w:rFonts w:hint="default"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宋体" w:cs="Times New Roman"/>
          <w:kern w:val="2"/>
          <w:sz w:val="21"/>
          <w:szCs w:val="24"/>
          <w:lang w:val="en-US" w:eastAsia="zh-CN" w:bidi="ar-SA"/>
        </w:rPr>
        <w:tab/>
      </w:r>
      <w:r>
        <w:rPr>
          <w:rFonts w:hint="default" w:ascii="Times New Roman" w:hAnsi="Times New Roman" w:eastAsia="方正仿宋简体" w:cs="Times New Roman"/>
          <w:b/>
          <w:bCs/>
          <w:color w:val="000000"/>
          <w:kern w:val="2"/>
          <w:sz w:val="32"/>
          <w:szCs w:val="32"/>
          <w:lang w:val="en-US" w:eastAsia="zh-CN" w:bidi="ar-SA"/>
        </w:rPr>
        <w:t>21.加强单一用途产业用地配套设施管理。</w:t>
      </w:r>
      <w:r>
        <w:rPr>
          <w:rFonts w:hint="default" w:ascii="Times New Roman" w:hAnsi="Times New Roman" w:eastAsia="方正仿宋简体" w:cs="方正仿宋简体"/>
          <w:b w:val="0"/>
          <w:bCs w:val="0"/>
          <w:color w:val="000000"/>
          <w:kern w:val="2"/>
          <w:sz w:val="32"/>
          <w:szCs w:val="32"/>
          <w:lang w:val="en-US" w:eastAsia="zh-CN" w:bidi="ar-SA"/>
        </w:rPr>
        <w:t>单一用途产业用地内，可建其他产业用途和生活配套设施的比例不超过地上建筑总量的</w:t>
      </w:r>
      <w:r>
        <w:rPr>
          <w:rFonts w:hint="default" w:ascii="Times New Roman" w:hAnsi="Times New Roman" w:eastAsia="方正仿宋简体" w:cs="Times New Roman"/>
          <w:b w:val="0"/>
          <w:bCs w:val="0"/>
          <w:color w:val="000000"/>
          <w:kern w:val="2"/>
          <w:sz w:val="32"/>
          <w:szCs w:val="32"/>
          <w:lang w:val="en-US" w:eastAsia="zh-CN" w:bidi="ar-SA"/>
        </w:rPr>
        <w:t>30%</w:t>
      </w:r>
      <w:r>
        <w:rPr>
          <w:rFonts w:hint="default" w:ascii="Times New Roman" w:hAnsi="Times New Roman" w:eastAsia="方正仿宋简体" w:cs="方正仿宋简体"/>
          <w:b w:val="0"/>
          <w:bCs w:val="0"/>
          <w:color w:val="000000"/>
          <w:kern w:val="2"/>
          <w:sz w:val="32"/>
          <w:szCs w:val="32"/>
          <w:lang w:val="en-US" w:eastAsia="zh-CN" w:bidi="ar-SA"/>
        </w:rPr>
        <w:t>，其中用于零售、餐饮、宿舍等生活配套设施的比例不超过</w:t>
      </w:r>
      <w:r>
        <w:rPr>
          <w:rFonts w:hint="default" w:ascii="Times New Roman" w:hAnsi="Times New Roman" w:eastAsia="方正仿宋简体" w:cs="Times New Roman"/>
          <w:b w:val="0"/>
          <w:bCs w:val="0"/>
          <w:color w:val="000000"/>
          <w:kern w:val="2"/>
          <w:sz w:val="32"/>
          <w:szCs w:val="32"/>
          <w:lang w:val="en-US" w:eastAsia="zh-CN" w:bidi="ar-SA"/>
        </w:rPr>
        <w:t>15%</w:t>
      </w:r>
      <w:r>
        <w:rPr>
          <w:rFonts w:hint="default" w:ascii="Times New Roman" w:hAnsi="Times New Roman" w:eastAsia="方正仿宋简体" w:cs="方正仿宋简体"/>
          <w:b w:val="0"/>
          <w:bCs w:val="0"/>
          <w:color w:val="000000"/>
          <w:kern w:val="2"/>
          <w:sz w:val="32"/>
          <w:szCs w:val="32"/>
          <w:lang w:val="en-US" w:eastAsia="zh-CN" w:bidi="ar-SA"/>
        </w:rPr>
        <w:t>。</w:t>
      </w:r>
    </w:p>
    <w:p w14:paraId="05F97FCE">
      <w:pPr>
        <w:tabs>
          <w:tab w:val="left" w:pos="68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22.允许产业用地配套设施集中设置。</w:t>
      </w:r>
      <w:r>
        <w:rPr>
          <w:rFonts w:hint="default" w:ascii="Times New Roman" w:hAnsi="Times New Roman" w:eastAsia="方正仿宋简体" w:cs="方正仿宋简体"/>
          <w:b w:val="0"/>
          <w:bCs w:val="0"/>
          <w:color w:val="000000"/>
          <w:kern w:val="2"/>
          <w:sz w:val="32"/>
          <w:szCs w:val="32"/>
          <w:lang w:val="en-US" w:eastAsia="zh-CN" w:bidi="ar-SA"/>
        </w:rPr>
        <w:t>同一用地主体的相邻多个产业用地，经产业、生态环境、安全等有关部门认定，并纳入详细规划后，可统筹平衡生产、生活配套设施，进行集中设置，集中配建部分建筑量不能高于该地块产业主导用途建筑量。按照产业链供应的相邻多个产业用地的进行开发建设时，鼓励共享配套设施。</w:t>
      </w:r>
    </w:p>
    <w:p w14:paraId="2AD964C9">
      <w:pPr>
        <w:tabs>
          <w:tab w:val="left" w:pos="68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23.鼓励产业项目规划土地弹性利用。</w:t>
      </w:r>
      <w:r>
        <w:rPr>
          <w:rFonts w:hint="default" w:ascii="Times New Roman" w:hAnsi="Times New Roman" w:eastAsia="方正仿宋简体" w:cs="方正仿宋简体"/>
          <w:b w:val="0"/>
          <w:bCs w:val="0"/>
          <w:color w:val="000000"/>
          <w:kern w:val="2"/>
          <w:sz w:val="32"/>
          <w:szCs w:val="32"/>
          <w:lang w:val="en-US" w:eastAsia="zh-CN" w:bidi="ar-SA"/>
        </w:rPr>
        <w:t>在满足环保、安全、相邻关系等底线约束条件下，经规划明确产业融合管理要求（</w:t>
      </w:r>
      <w:r>
        <w:rPr>
          <w:rFonts w:hint="default" w:ascii="Times New Roman" w:hAnsi="Times New Roman" w:eastAsia="方正仿宋简体" w:cs="Times New Roman"/>
          <w:b w:val="0"/>
          <w:bCs w:val="0"/>
          <w:color w:val="000000"/>
          <w:kern w:val="2"/>
          <w:sz w:val="32"/>
          <w:szCs w:val="32"/>
          <w:lang w:val="en-US" w:eastAsia="zh-CN" w:bidi="ar-SA"/>
        </w:rPr>
        <w:t>M</w:t>
      </w:r>
      <w:r>
        <w:rPr>
          <w:rFonts w:hint="default" w:ascii="Times New Roman" w:hAnsi="Times New Roman" w:eastAsia="方正仿宋简体" w:cs="Times New Roman"/>
          <w:b w:val="0"/>
          <w:bCs w:val="0"/>
          <w:color w:val="000000"/>
          <w:kern w:val="2"/>
          <w:sz w:val="32"/>
          <w:szCs w:val="32"/>
          <w:vertAlign w:val="subscript"/>
          <w:lang w:val="en-US" w:eastAsia="zh-CN" w:bidi="ar-SA"/>
        </w:rPr>
        <w:t>0</w:t>
      </w:r>
      <w:r>
        <w:rPr>
          <w:rFonts w:hint="default" w:ascii="Times New Roman" w:hAnsi="Times New Roman" w:eastAsia="方正仿宋简体" w:cs="方正仿宋简体"/>
          <w:b w:val="0"/>
          <w:bCs w:val="0"/>
          <w:color w:val="000000"/>
          <w:kern w:val="2"/>
          <w:sz w:val="32"/>
          <w:szCs w:val="32"/>
          <w:lang w:val="en-US" w:eastAsia="zh-CN" w:bidi="ar-SA"/>
        </w:rPr>
        <w:t>）的地块，在确保以产业为主导功能的基础上，用地性质可在工业、研发、仓储间进行转换或混合设置，公共服务配套设施按标准配置。产业融合管理要求（</w:t>
      </w:r>
      <w:r>
        <w:rPr>
          <w:rFonts w:hint="default" w:ascii="Times New Roman" w:hAnsi="Times New Roman" w:eastAsia="方正仿宋简体" w:cs="Times New Roman"/>
          <w:b w:val="0"/>
          <w:bCs w:val="0"/>
          <w:color w:val="000000"/>
          <w:kern w:val="2"/>
          <w:sz w:val="32"/>
          <w:szCs w:val="32"/>
          <w:lang w:val="en-US" w:eastAsia="zh-CN" w:bidi="ar-SA"/>
        </w:rPr>
        <w:t>M</w:t>
      </w:r>
      <w:r>
        <w:rPr>
          <w:rFonts w:hint="default" w:ascii="Times New Roman" w:hAnsi="Times New Roman" w:eastAsia="方正仿宋简体" w:cs="Times New Roman"/>
          <w:b w:val="0"/>
          <w:bCs w:val="0"/>
          <w:color w:val="000000"/>
          <w:kern w:val="2"/>
          <w:sz w:val="32"/>
          <w:szCs w:val="32"/>
          <w:vertAlign w:val="subscript"/>
          <w:lang w:val="en-US" w:eastAsia="zh-CN" w:bidi="ar-SA"/>
        </w:rPr>
        <w:t>0</w:t>
      </w:r>
      <w:r>
        <w:rPr>
          <w:rFonts w:hint="default" w:ascii="Times New Roman" w:hAnsi="Times New Roman" w:eastAsia="方正仿宋简体" w:cs="方正仿宋简体"/>
          <w:b w:val="0"/>
          <w:bCs w:val="0"/>
          <w:color w:val="000000"/>
          <w:kern w:val="2"/>
          <w:sz w:val="32"/>
          <w:szCs w:val="32"/>
          <w:lang w:val="en-US" w:eastAsia="zh-CN" w:bidi="ar-SA"/>
        </w:rPr>
        <w:t>）一般适用于产业社区和国家公告开发区范围内。</w:t>
      </w:r>
    </w:p>
    <w:p w14:paraId="5E87C96A">
      <w:pPr>
        <w:tabs>
          <w:tab w:val="left" w:pos="801"/>
        </w:tabs>
        <w:bidi w:val="0"/>
        <w:jc w:val="left"/>
        <w:rPr>
          <w:rFonts w:hint="default"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宋体" w:cs="Times New Roman"/>
          <w:kern w:val="2"/>
          <w:sz w:val="21"/>
          <w:szCs w:val="24"/>
          <w:lang w:val="en-US" w:eastAsia="zh-CN" w:bidi="ar-SA"/>
        </w:rPr>
        <w:tab/>
      </w:r>
      <w:r>
        <w:rPr>
          <w:rFonts w:hint="default" w:ascii="Times New Roman" w:hAnsi="Times New Roman" w:eastAsia="方正仿宋简体" w:cs="Times New Roman"/>
          <w:b/>
          <w:bCs/>
          <w:color w:val="000000"/>
          <w:kern w:val="2"/>
          <w:sz w:val="32"/>
          <w:szCs w:val="32"/>
          <w:lang w:val="en-US" w:eastAsia="zh-CN" w:bidi="ar-SA"/>
        </w:rPr>
        <w:t>24.鼓励产业用地垂直空间复合利用。</w:t>
      </w:r>
      <w:r>
        <w:rPr>
          <w:rFonts w:hint="default" w:ascii="Times New Roman" w:hAnsi="Times New Roman" w:eastAsia="方正仿宋简体" w:cs="方正仿宋简体"/>
          <w:b w:val="0"/>
          <w:bCs w:val="0"/>
          <w:color w:val="000000"/>
          <w:kern w:val="2"/>
          <w:sz w:val="32"/>
          <w:szCs w:val="32"/>
          <w:lang w:val="en-US" w:eastAsia="zh-CN" w:bidi="ar-SA"/>
        </w:rPr>
        <w:t>在符合结构安全、消防、环保等要求下，鼓励工业、仓储、研发等产业空间与配套功能设施垂直复合利用，探索地上、地下空间复合利用，打造多元复合功能的产业空间载体。</w:t>
      </w:r>
    </w:p>
    <w:p w14:paraId="1CB94D49">
      <w:pPr>
        <w:tabs>
          <w:tab w:val="left" w:pos="79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（九）强化产业用地价格管理</w:t>
      </w:r>
    </w:p>
    <w:p w14:paraId="239E01EB">
      <w:pPr>
        <w:tabs>
          <w:tab w:val="left" w:pos="79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25.实施产业用地地价底线管理。</w:t>
      </w:r>
      <w:r>
        <w:rPr>
          <w:rFonts w:hint="default" w:ascii="Times New Roman" w:hAnsi="Times New Roman" w:eastAsia="方正仿宋简体" w:cs="方正仿宋简体"/>
          <w:b w:val="0"/>
          <w:bCs w:val="0"/>
          <w:color w:val="000000"/>
          <w:kern w:val="2"/>
          <w:sz w:val="32"/>
          <w:szCs w:val="32"/>
          <w:lang w:val="en-US" w:eastAsia="zh-CN" w:bidi="ar-SA"/>
        </w:rPr>
        <w:t>工业用地出让起始价，最低可按全国工业用地出让最低价标准确定；研发用地出让起始价，最低可按研发用地基准地价确定。</w:t>
      </w:r>
    </w:p>
    <w:p w14:paraId="5088E709">
      <w:pPr>
        <w:tabs>
          <w:tab w:val="left" w:pos="79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26.鼓励建立产业用地价格调节机制。</w:t>
      </w:r>
      <w:r>
        <w:rPr>
          <w:rFonts w:hint="default" w:ascii="Times New Roman" w:hAnsi="Times New Roman" w:eastAsia="方正仿宋简体" w:cs="方正仿宋简体"/>
          <w:b w:val="0"/>
          <w:bCs w:val="0"/>
          <w:color w:val="000000"/>
          <w:kern w:val="2"/>
          <w:sz w:val="32"/>
          <w:szCs w:val="32"/>
          <w:lang w:val="en-US" w:eastAsia="zh-CN" w:bidi="ar-SA"/>
        </w:rPr>
        <w:t>结合科技创新和产业创新融合发展要求，落实支持新质生产力发展导向，实行地价与空间布局、产业导向、项目类型、绩效指标等联动的差异化地价政策，由各区政府经集体决策确定产业用地出让起始价。</w:t>
      </w:r>
    </w:p>
    <w:p w14:paraId="3637242F">
      <w:pPr>
        <w:tabs>
          <w:tab w:val="left" w:pos="81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27.降低企业用地成本。</w:t>
      </w:r>
      <w:r>
        <w:rPr>
          <w:rFonts w:hint="default" w:ascii="Times New Roman" w:hAnsi="Times New Roman" w:eastAsia="方正仿宋简体" w:cs="方正仿宋简体"/>
          <w:b w:val="0"/>
          <w:bCs w:val="0"/>
          <w:color w:val="000000"/>
          <w:kern w:val="2"/>
          <w:sz w:val="32"/>
          <w:szCs w:val="32"/>
          <w:lang w:val="en-US" w:eastAsia="zh-CN" w:bidi="ar-SA"/>
        </w:rPr>
        <w:t>存量工业、仓储用地经批准提高容积率或增加地下空间的，不增收土地价款。企业可选择分期支付土地价款，首期按不低于</w:t>
      </w:r>
      <w:r>
        <w:rPr>
          <w:rFonts w:hint="default" w:ascii="Times New Roman" w:hAnsi="Times New Roman" w:eastAsia="方正仿宋简体" w:cs="Times New Roman"/>
          <w:b w:val="0"/>
          <w:bCs w:val="0"/>
          <w:color w:val="000000"/>
          <w:kern w:val="2"/>
          <w:sz w:val="32"/>
          <w:szCs w:val="32"/>
          <w:lang w:val="en-US" w:eastAsia="zh-CN" w:bidi="ar-SA"/>
        </w:rPr>
        <w:t>50%</w:t>
      </w:r>
      <w:r>
        <w:rPr>
          <w:rFonts w:hint="default" w:ascii="Times New Roman" w:hAnsi="Times New Roman" w:eastAsia="方正仿宋简体" w:cs="方正仿宋简体"/>
          <w:b w:val="0"/>
          <w:bCs w:val="0"/>
          <w:color w:val="000000"/>
          <w:kern w:val="2"/>
          <w:sz w:val="32"/>
          <w:szCs w:val="32"/>
          <w:lang w:val="en-US" w:eastAsia="zh-CN" w:bidi="ar-SA"/>
        </w:rPr>
        <w:t>的比例缴纳，剩余价款在合同生效之日起一年内全部缴清且不计利息。支持采取分期支付土地价款的企业在缴纳首期土地价款后开工建设，做好当年受让当年开工项目的审批程序衔接。</w:t>
      </w:r>
    </w:p>
    <w:p w14:paraId="5F64A085">
      <w:pPr>
        <w:tabs>
          <w:tab w:val="left" w:pos="81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28.建立健全产业用地综合价值评估制度。</w:t>
      </w:r>
      <w:r>
        <w:rPr>
          <w:rFonts w:hint="default" w:ascii="Times New Roman" w:hAnsi="Times New Roman" w:eastAsia="方正仿宋简体" w:cs="方正仿宋简体"/>
          <w:b w:val="0"/>
          <w:bCs w:val="0"/>
          <w:color w:val="000000"/>
          <w:kern w:val="2"/>
          <w:sz w:val="32"/>
          <w:szCs w:val="32"/>
          <w:lang w:val="en-US" w:eastAsia="zh-CN" w:bidi="ar-SA"/>
        </w:rPr>
        <w:t>完善综合价值评估政策体系，科学合理确定产业用地收储、收回和国有产业用地上房屋征收的评估价格。</w:t>
      </w:r>
    </w:p>
    <w:p w14:paraId="1A34174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20" w:firstLineChars="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三、提高行政效率，切实加强项目建设审批管理</w:t>
      </w:r>
    </w:p>
    <w:p w14:paraId="39F61F90">
      <w:pPr>
        <w:tabs>
          <w:tab w:val="left" w:pos="79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（十）强化产业生态营造、建筑功能管理和建设品质提升</w:t>
      </w:r>
    </w:p>
    <w:p w14:paraId="2E18C372">
      <w:pPr>
        <w:tabs>
          <w:tab w:val="left" w:pos="79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29.积极打造有利于新质生产力发展的空间格局和产业生态。</w:t>
      </w:r>
      <w:r>
        <w:rPr>
          <w:rFonts w:hint="default" w:ascii="Times New Roman" w:hAnsi="Times New Roman" w:eastAsia="方正仿宋简体" w:cs="方正仿宋简体"/>
          <w:b w:val="0"/>
          <w:bCs w:val="0"/>
          <w:color w:val="000000"/>
          <w:kern w:val="2"/>
          <w:sz w:val="32"/>
          <w:szCs w:val="32"/>
          <w:lang w:val="en-US" w:eastAsia="zh-CN" w:bidi="ar-SA"/>
        </w:rPr>
        <w:t>强化创新空间整体谋划和资源要素统筹，结合张江科学城、漕河泾科技园、大零号湾等科技型产业基地、产业社区，和毗邻大学、大型科研院所以及科技型企业、创新型中小企业密集区域等地区，围绕科技创新策源功能和产业创新发展需求，着眼于集聚和服务好创新人才、创业人群，积极探索推进创新型街区建设和创新型生态营造，在满足环保、安全等条件下，鼓励支持企业充分利用城市更新政策新建、改建、扩建，对增加有利于创新的文化氛围、融合功能、共享空间、宽松环境、配套设施、知识密集型服务业等的项目，依规享受容积率奖励和土地出让金优惠等政策，减轻企业创新创业成本。涉及控详调整的，适用实施深化简易程序，提高审批效率。</w:t>
      </w:r>
    </w:p>
    <w:p w14:paraId="2A3F0C16">
      <w:pPr>
        <w:tabs>
          <w:tab w:val="left" w:pos="79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30.加强建筑功能全过程审核。</w:t>
      </w:r>
      <w:r>
        <w:rPr>
          <w:rFonts w:hint="default" w:ascii="Times New Roman" w:hAnsi="Times New Roman" w:eastAsia="方正仿宋简体" w:cs="方正仿宋简体"/>
          <w:b w:val="0"/>
          <w:bCs w:val="0"/>
          <w:color w:val="000000"/>
          <w:kern w:val="2"/>
          <w:sz w:val="32"/>
          <w:szCs w:val="32"/>
          <w:lang w:val="en-US" w:eastAsia="zh-CN" w:bidi="ar-SA"/>
        </w:rPr>
        <w:t>规划资源部门应当会同产业部门，加强工业仓储和研发中试类项目使用功能管理，在方案审核和建设工程规划许可阶段，从总平面布局、建筑单体设计、建筑结构、服务设施配套和生产工艺需求等方面严格把关，确保建筑使用符合产业用途，产业姓产。</w:t>
      </w:r>
    </w:p>
    <w:p w14:paraId="08597C77">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31.优化空间环境品质。</w:t>
      </w:r>
      <w:r>
        <w:rPr>
          <w:rFonts w:hint="default" w:ascii="Times New Roman" w:hAnsi="Times New Roman" w:eastAsia="方正仿宋简体" w:cs="方正仿宋简体"/>
          <w:b w:val="0"/>
          <w:bCs w:val="0"/>
          <w:color w:val="000000"/>
          <w:kern w:val="2"/>
          <w:sz w:val="32"/>
          <w:szCs w:val="32"/>
          <w:lang w:val="en-US" w:eastAsia="zh-CN" w:bidi="ar-SA"/>
        </w:rPr>
        <w:t>产业项目风格应当注重风貌整体性和空间系统性，强化环境友好、产业生态和简洁清新；功能应当契合产业链、创新链的要素流动和配置要求，鼓励平面空间复合，促进立体空间融合，强化科技创新、开放众创的空间氛围。</w:t>
      </w:r>
    </w:p>
    <w:p w14:paraId="31606FB4">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（十一）提升规划资源全流程审批时效</w:t>
      </w:r>
    </w:p>
    <w:p w14:paraId="210A44AF">
      <w:pPr>
        <w:tabs>
          <w:tab w:val="left" w:pos="86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32.推广“拿地即开工”。</w:t>
      </w:r>
      <w:r>
        <w:rPr>
          <w:rFonts w:hint="default" w:ascii="Times New Roman" w:hAnsi="Times New Roman" w:eastAsia="方正仿宋简体" w:cs="方正仿宋简体"/>
          <w:b w:val="0"/>
          <w:bCs w:val="0"/>
          <w:color w:val="000000"/>
          <w:kern w:val="2"/>
          <w:sz w:val="32"/>
          <w:szCs w:val="32"/>
          <w:lang w:val="en-US" w:eastAsia="zh-CN" w:bidi="ar-SA"/>
        </w:rPr>
        <w:t>区规划资源部门应当加强对项目用地条件的协调，提前明确规划建设要求，指导建设单位结合生产工艺和生产需求，优化建筑布局，实现“拿地即开工”。</w:t>
      </w:r>
    </w:p>
    <w:p w14:paraId="64B50437">
      <w:pPr>
        <w:tabs>
          <w:tab w:val="left" w:pos="86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33.鼓励“交地即交证”。</w:t>
      </w:r>
      <w:r>
        <w:rPr>
          <w:rFonts w:hint="default" w:ascii="Times New Roman" w:hAnsi="Times New Roman" w:eastAsia="方正仿宋简体" w:cs="方正仿宋简体"/>
          <w:b w:val="0"/>
          <w:bCs w:val="0"/>
          <w:color w:val="000000"/>
          <w:kern w:val="2"/>
          <w:sz w:val="32"/>
          <w:szCs w:val="32"/>
          <w:lang w:val="en-US" w:eastAsia="zh-CN" w:bidi="ar-SA"/>
        </w:rPr>
        <w:t>鼓励在出让土地项目向企业交地环节同步核发建设用地规划许可证和不动产权证，实现产业项目“交地即交证”。</w:t>
      </w:r>
    </w:p>
    <w:p w14:paraId="372E8994">
      <w:pPr>
        <w:tabs>
          <w:tab w:val="left" w:pos="86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34.完善“一证多验”。</w:t>
      </w:r>
      <w:r>
        <w:rPr>
          <w:rFonts w:hint="default" w:ascii="Times New Roman" w:hAnsi="Times New Roman" w:eastAsia="方正仿宋简体" w:cs="方正仿宋简体"/>
          <w:b w:val="0"/>
          <w:bCs w:val="0"/>
          <w:color w:val="000000"/>
          <w:kern w:val="2"/>
          <w:sz w:val="32"/>
          <w:szCs w:val="32"/>
          <w:lang w:val="en-US" w:eastAsia="zh-CN" w:bidi="ar-SA"/>
        </w:rPr>
        <w:t>重大产业项目单幢建筑已竣工且满足使用功能，可按照建筑单体对一个《建设工程规划许可证》分批次进行竣工规划资源验收，实现“一证多验”。</w:t>
      </w:r>
    </w:p>
    <w:p w14:paraId="5B514AF8">
      <w:pPr>
        <w:tabs>
          <w:tab w:val="left" w:pos="64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35.推行“竣工即交证”。</w:t>
      </w:r>
      <w:r>
        <w:rPr>
          <w:rFonts w:hint="default" w:ascii="Times New Roman" w:hAnsi="Times New Roman" w:eastAsia="方正仿宋简体" w:cs="方正仿宋简体"/>
          <w:b w:val="0"/>
          <w:bCs w:val="0"/>
          <w:color w:val="000000"/>
          <w:kern w:val="2"/>
          <w:sz w:val="32"/>
          <w:szCs w:val="32"/>
          <w:lang w:val="en-US" w:eastAsia="zh-CN" w:bidi="ar-SA"/>
        </w:rPr>
        <w:t>符合“测算合一”标准的项目，由测绘服务机构统一完成房产平面测量和房屋面积计算等工作，出具“多测合一”成果报告。企业取得测绘成果后，通过线上平台同步办理竣工规划资源验收、竣工验收备案和不动产首次登记，实现“竣工即交证”。</w:t>
      </w:r>
    </w:p>
    <w:p w14:paraId="72E0A21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20" w:firstLineChars="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四、加强协同监管，持续推进产业用地提质增效</w:t>
      </w:r>
    </w:p>
    <w:p w14:paraId="262D1265">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（十二）优化全生命周期监管</w:t>
      </w:r>
    </w:p>
    <w:p w14:paraId="7400C1B9">
      <w:pPr>
        <w:tabs>
          <w:tab w:val="left" w:pos="77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36.加强产业用地供后监管。</w:t>
      </w:r>
      <w:r>
        <w:rPr>
          <w:rFonts w:hint="default" w:ascii="Times New Roman" w:hAnsi="Times New Roman" w:eastAsia="方正仿宋简体" w:cs="方正仿宋简体"/>
          <w:b w:val="0"/>
          <w:bCs w:val="0"/>
          <w:color w:val="000000"/>
          <w:kern w:val="2"/>
          <w:sz w:val="32"/>
          <w:szCs w:val="32"/>
          <w:lang w:val="en-US" w:eastAsia="zh-CN" w:bidi="ar-SA"/>
        </w:rPr>
        <w:t>依据有偿使用合同、产业发展合作协议，加强产业用地事中事后过程监管。区规划资源部门负责项目开工、竣工认定；区产业部门牵头负责项目投产、达产认定。严禁企业违法违规违约改变产业用房用途。</w:t>
      </w:r>
    </w:p>
    <w:p w14:paraId="194D41FA">
      <w:pPr>
        <w:tabs>
          <w:tab w:val="left" w:pos="98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37.加强存量产业用地全生命周期管理。</w:t>
      </w:r>
      <w:r>
        <w:rPr>
          <w:rFonts w:hint="default" w:ascii="Times New Roman" w:hAnsi="Times New Roman" w:eastAsia="方正仿宋简体" w:cs="方正仿宋简体"/>
          <w:b w:val="0"/>
          <w:bCs w:val="0"/>
          <w:color w:val="000000"/>
          <w:kern w:val="2"/>
          <w:sz w:val="32"/>
          <w:szCs w:val="32"/>
          <w:lang w:val="en-US" w:eastAsia="zh-CN" w:bidi="ar-SA"/>
        </w:rPr>
        <w:t>推动未纳入全生命周期管理要求的存量产业用地，在产业用地转让、新建、改建、扩建以及工业、研发、仓储等不同用地性质转换等情形下，重新签订有偿使用合同、产业发展合作协议。各区政府应当统筹组织相关部门落实土地全生命周期的协同监管职责。</w:t>
      </w:r>
    </w:p>
    <w:p w14:paraId="67FB57CB">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（十三）规范不动产登记</w:t>
      </w:r>
    </w:p>
    <w:p w14:paraId="3D81DE2B">
      <w:pPr>
        <w:tabs>
          <w:tab w:val="left" w:pos="64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38.加强不动产登记管理。</w:t>
      </w:r>
      <w:r>
        <w:rPr>
          <w:rFonts w:hint="default" w:ascii="Times New Roman" w:hAnsi="Times New Roman" w:eastAsia="方正仿宋简体" w:cs="方正仿宋简体"/>
          <w:b w:val="0"/>
          <w:bCs w:val="0"/>
          <w:color w:val="000000"/>
          <w:kern w:val="2"/>
          <w:sz w:val="32"/>
          <w:szCs w:val="32"/>
          <w:lang w:val="en-US" w:eastAsia="zh-CN" w:bidi="ar-SA"/>
        </w:rPr>
        <w:t>产业用地应当以出让合同约定的用地范围进行不动产登记，不得分割办理登记。产业用地自持部分物业发放一本不动产权证书，不得分证办理。</w:t>
      </w:r>
    </w:p>
    <w:p w14:paraId="6D928D0D">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39.强化合同约定与不动产登记协同管理。</w:t>
      </w:r>
      <w:r>
        <w:rPr>
          <w:rFonts w:hint="default" w:ascii="Times New Roman" w:hAnsi="Times New Roman" w:eastAsia="方正仿宋简体" w:cs="方正仿宋简体"/>
          <w:b w:val="0"/>
          <w:bCs w:val="0"/>
          <w:color w:val="000000"/>
          <w:kern w:val="2"/>
          <w:sz w:val="32"/>
          <w:szCs w:val="32"/>
          <w:lang w:val="en-US" w:eastAsia="zh-CN" w:bidi="ar-SA"/>
        </w:rPr>
        <w:t>有偿使用合同中关于产业用地转让条件、建设用地使用权人出资比例、股权结构、实际控制人等约定内容，应当在不动产登记簿和不动产权证附记栏内予以注记。建设用地使用权人变更注记内容时，应当提供规划资源部门审核同意的意见。建设用地使用权人办理转移登记时，如注记的转让条件中明确需经规划资源部门同意的，应当提供审核同意的意见。</w:t>
      </w:r>
    </w:p>
    <w:p w14:paraId="16A01C48">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（十四）加强产业用地转让管理</w:t>
      </w:r>
    </w:p>
    <w:p w14:paraId="6EE2EED2">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40.健全工业用地二级市场建设。</w:t>
      </w:r>
      <w:r>
        <w:rPr>
          <w:rFonts w:hint="default" w:ascii="Times New Roman" w:hAnsi="Times New Roman" w:eastAsia="方正仿宋简体" w:cs="方正仿宋简体"/>
          <w:b w:val="0"/>
          <w:bCs w:val="0"/>
          <w:color w:val="000000"/>
          <w:kern w:val="2"/>
          <w:sz w:val="32"/>
          <w:szCs w:val="32"/>
          <w:lang w:val="en-US" w:eastAsia="zh-CN" w:bidi="ar-SA"/>
        </w:rPr>
        <w:t>健全本市工业用地二级市场，加强与招商引资工作的信息共享和联动，提高存量资源的配置效率。搭建工业用地二级市场平台，规范交易流程，原则上节余工业土地转让、成片开发转让工业用地以及工业用地宗地上房地一体整体转让的，统一纳入平台管理。</w:t>
      </w:r>
    </w:p>
    <w:p w14:paraId="703A925F">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41.明确转让后的权利与义务。</w:t>
      </w:r>
      <w:r>
        <w:rPr>
          <w:rFonts w:hint="default" w:ascii="Times New Roman" w:hAnsi="Times New Roman" w:eastAsia="方正仿宋简体" w:cs="方正仿宋简体"/>
          <w:b w:val="0"/>
          <w:bCs w:val="0"/>
          <w:color w:val="000000"/>
          <w:kern w:val="2"/>
          <w:sz w:val="32"/>
          <w:szCs w:val="32"/>
          <w:lang w:val="en-US" w:eastAsia="zh-CN" w:bidi="ar-SA"/>
        </w:rPr>
        <w:t>区政府应当严格产业用地转让管理。产业用地转让应当遵循原出让合同约定的可转让物业的方式、产业准入要求和退出机制。产业用地使用权发生转让的，有偿使用合同、产业发展合作协议载明的权利、义务随之转移。</w:t>
      </w:r>
    </w:p>
    <w:p w14:paraId="301DCFE0">
      <w:pPr>
        <w:tabs>
          <w:tab w:val="left" w:pos="85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42.规范产业用地抵押管理。</w:t>
      </w:r>
      <w:r>
        <w:rPr>
          <w:rFonts w:hint="default" w:ascii="Times New Roman" w:hAnsi="Times New Roman" w:eastAsia="方正仿宋简体" w:cs="方正仿宋简体"/>
          <w:b w:val="0"/>
          <w:bCs w:val="0"/>
          <w:color w:val="000000"/>
          <w:kern w:val="2"/>
          <w:sz w:val="32"/>
          <w:szCs w:val="32"/>
          <w:lang w:val="en-US" w:eastAsia="zh-CN" w:bidi="ar-SA"/>
        </w:rPr>
        <w:t>产业用地抵押时所担保的主债权，仅限于有偿使用合同约定地块的贷款，抵押金额不得超出合同剩余年期地价与建筑物残值之和。抵押权实现时，抵押物竞买人资格应当经过规划资源部门、产业部门和园区管理机构综合认定，符合产业导向和园区规划要求；也可按照有偿使用合同约定，由出让人或园区管理机构优先收购建设用地使用权。</w:t>
      </w:r>
    </w:p>
    <w:p w14:paraId="4128D3F8">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43.规范涉地股权转让联合监管。</w:t>
      </w:r>
      <w:r>
        <w:rPr>
          <w:rFonts w:hint="default" w:ascii="Times New Roman" w:hAnsi="Times New Roman" w:eastAsia="方正仿宋简体" w:cs="方正仿宋简体"/>
          <w:b w:val="0"/>
          <w:bCs w:val="0"/>
          <w:color w:val="000000"/>
          <w:kern w:val="2"/>
          <w:sz w:val="32"/>
          <w:szCs w:val="32"/>
          <w:lang w:val="en-US" w:eastAsia="zh-CN" w:bidi="ar-SA"/>
        </w:rPr>
        <w:t>产业用地受让人的出资比例、股权结构和实际控制人发生改变的，应当事先经规划资源部门（出让人）同意。各区政府应当建立土地、产业和市场监管等部门关于涉地股权转让的联合监管机制。建立股权转让联合监管豁免事项清单，保障企业合理股权转让需求。</w:t>
      </w:r>
    </w:p>
    <w:p w14:paraId="6AD85512">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（十五）开展产业用地综合绩效评估</w:t>
      </w:r>
    </w:p>
    <w:p w14:paraId="2D03FFE8">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44.完善产业用地综合绩效评估体系。</w:t>
      </w:r>
      <w:r>
        <w:rPr>
          <w:rFonts w:hint="default" w:ascii="Times New Roman" w:hAnsi="Times New Roman" w:eastAsia="方正仿宋简体" w:cs="方正仿宋简体"/>
          <w:b w:val="0"/>
          <w:bCs w:val="0"/>
          <w:color w:val="000000"/>
          <w:kern w:val="2"/>
          <w:sz w:val="32"/>
          <w:szCs w:val="32"/>
          <w:lang w:val="en-US" w:eastAsia="zh-CN" w:bidi="ar-SA"/>
        </w:rPr>
        <w:t>汇集行业部门评价要求，建立地方工作标准，持续完善评估指标体系。各区定期开展评估工作，综合反映用地效能，建立低效产业用地清单库。</w:t>
      </w:r>
    </w:p>
    <w:p w14:paraId="48B68117">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45.强化评估成果应用。</w:t>
      </w:r>
      <w:r>
        <w:rPr>
          <w:rFonts w:hint="default" w:ascii="Times New Roman" w:hAnsi="Times New Roman" w:eastAsia="方正仿宋简体" w:cs="方正仿宋简体"/>
          <w:b w:val="0"/>
          <w:bCs w:val="0"/>
          <w:color w:val="000000"/>
          <w:kern w:val="2"/>
          <w:sz w:val="32"/>
          <w:szCs w:val="32"/>
          <w:lang w:val="en-US" w:eastAsia="zh-CN" w:bidi="ar-SA"/>
        </w:rPr>
        <w:t>突出产业用地分类盘活处置导向和差别化政策供给，将产业用地综合绩效评估成果作为企业申报奖励、申请资金扶持、产业项目准入、申请规划实施深化、优质项目认定、园区用地治理等方面的依据。</w:t>
      </w:r>
    </w:p>
    <w:p w14:paraId="760C3627">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（十六）加强低效产业用地分类处置</w:t>
      </w:r>
    </w:p>
    <w:p w14:paraId="14294DBD">
      <w:pPr>
        <w:tabs>
          <w:tab w:val="left" w:pos="86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46.有序推动低效产业用地盘活。</w:t>
      </w:r>
      <w:r>
        <w:rPr>
          <w:rFonts w:hint="default" w:ascii="Times New Roman" w:hAnsi="Times New Roman" w:eastAsia="方正仿宋简体" w:cs="方正仿宋简体"/>
          <w:b w:val="0"/>
          <w:bCs w:val="0"/>
          <w:color w:val="000000"/>
          <w:kern w:val="2"/>
          <w:sz w:val="32"/>
          <w:szCs w:val="32"/>
          <w:lang w:val="en-US" w:eastAsia="zh-CN" w:bidi="ar-SA"/>
        </w:rPr>
        <w:t>按照年度处置计划任务，各区结合产业升级和区域发展制定低效产业用地分类处置方案，有序推动低效产业用地盘活。推动园区用地治理，引导低效园区的归整合并、提质增能。充分发挥国企低效产业用地盘活处置的示范带动作用。</w:t>
      </w:r>
    </w:p>
    <w:p w14:paraId="693E845A">
      <w:pPr>
        <w:tabs>
          <w:tab w:val="left" w:pos="861"/>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47.完善低效产业用地盘活政策工具箱。</w:t>
      </w:r>
      <w:r>
        <w:rPr>
          <w:rFonts w:hint="default" w:ascii="Times New Roman" w:hAnsi="Times New Roman" w:eastAsia="方正仿宋简体" w:cs="方正仿宋简体"/>
          <w:b w:val="0"/>
          <w:bCs w:val="0"/>
          <w:color w:val="000000"/>
          <w:kern w:val="2"/>
          <w:sz w:val="32"/>
          <w:szCs w:val="32"/>
          <w:lang w:val="en-US" w:eastAsia="zh-CN" w:bidi="ar-SA"/>
        </w:rPr>
        <w:t>市规划资源局牵头集成规划资源、产业招商、财税金融、国资考核等政策，完善低效产业用地盘活处置政策工具箱。</w:t>
      </w:r>
    </w:p>
    <w:p w14:paraId="6087EBB1">
      <w:pPr>
        <w:tabs>
          <w:tab w:val="left" w:pos="861"/>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（十七）优化存量产业用地更新机制</w:t>
      </w:r>
    </w:p>
    <w:p w14:paraId="55F9355D">
      <w:pPr>
        <w:tabs>
          <w:tab w:val="left" w:pos="722"/>
        </w:tabs>
        <w:bidi w:val="0"/>
        <w:jc w:val="left"/>
        <w:rPr>
          <w:rFonts w:hint="default"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ab/>
      </w:r>
      <w:r>
        <w:rPr>
          <w:rFonts w:hint="default" w:ascii="Times New Roman" w:hAnsi="Times New Roman" w:eastAsia="方正仿宋简体" w:cs="Times New Roman"/>
          <w:b/>
          <w:bCs/>
          <w:color w:val="000000"/>
          <w:kern w:val="2"/>
          <w:sz w:val="32"/>
          <w:szCs w:val="32"/>
          <w:lang w:val="en-US" w:eastAsia="zh-CN" w:bidi="ar-SA"/>
        </w:rPr>
        <w:t>48.推进城市更新单元实施。</w:t>
      </w:r>
      <w:r>
        <w:rPr>
          <w:rFonts w:hint="default" w:ascii="Times New Roman" w:hAnsi="Times New Roman" w:eastAsia="方正仿宋简体" w:cs="方正仿宋简体"/>
          <w:b w:val="0"/>
          <w:bCs w:val="0"/>
          <w:color w:val="000000"/>
          <w:kern w:val="2"/>
          <w:sz w:val="32"/>
          <w:szCs w:val="32"/>
          <w:lang w:val="en-US" w:eastAsia="zh-CN" w:bidi="ar-SA"/>
        </w:rPr>
        <w:t>倡导集中成片的存量工业用地区域，制定更新单元规划实施方案，推进更新单元整体转型。</w:t>
      </w:r>
    </w:p>
    <w:p w14:paraId="109DEBFC">
      <w:pPr>
        <w:tabs>
          <w:tab w:val="left" w:pos="81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49.简化零星更新程序。</w:t>
      </w:r>
      <w:r>
        <w:rPr>
          <w:rFonts w:hint="default" w:ascii="Times New Roman" w:hAnsi="Times New Roman" w:eastAsia="方正仿宋简体" w:cs="方正仿宋简体"/>
          <w:b w:val="0"/>
          <w:bCs w:val="0"/>
          <w:color w:val="000000"/>
          <w:kern w:val="2"/>
          <w:sz w:val="32"/>
          <w:szCs w:val="32"/>
          <w:lang w:val="en-US" w:eastAsia="zh-CN" w:bidi="ar-SA"/>
        </w:rPr>
        <w:t>未划入城市更新单元和旧区改造范围的工业用地“二转二”项目，符合产业准入要求，用地主体可根据详细规划，向区规划资源部门提交零星更新申请，简化编制项目更新方案，由区规划资源部门办理相关用地手续后实施。</w:t>
      </w:r>
    </w:p>
    <w:p w14:paraId="3AFC6354">
      <w:pPr>
        <w:tabs>
          <w:tab w:val="left" w:pos="81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50.实施“三师”联创机制。</w:t>
      </w:r>
      <w:r>
        <w:rPr>
          <w:rFonts w:hint="default" w:ascii="Times New Roman" w:hAnsi="Times New Roman" w:eastAsia="方正仿宋简体" w:cs="方正仿宋简体"/>
          <w:b w:val="0"/>
          <w:bCs w:val="0"/>
          <w:color w:val="000000"/>
          <w:kern w:val="2"/>
          <w:sz w:val="32"/>
          <w:szCs w:val="32"/>
          <w:lang w:val="en-US" w:eastAsia="zh-CN" w:bidi="ar-SA"/>
        </w:rPr>
        <w:t>鼓励通过责任规划师、责任建筑师、责任评估师“三师”联创，规划实施平台等工作机制，提升集中成片的产业用地整体空间环境和功能品质。</w:t>
      </w:r>
    </w:p>
    <w:p w14:paraId="40903E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2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方正黑体简体" w:cs="方正黑体简体"/>
          <w:b w:val="0"/>
          <w:bCs/>
          <w:kern w:val="2"/>
          <w:sz w:val="32"/>
          <w:szCs w:val="32"/>
          <w:lang w:val="en-US" w:eastAsia="zh-CN" w:bidi="ar-SA"/>
        </w:rPr>
        <w:t>五、加强数字化建设，数据空间赋能产业发展</w:t>
      </w:r>
    </w:p>
    <w:p w14:paraId="492DA813">
      <w:pPr>
        <w:tabs>
          <w:tab w:val="left" w:pos="642"/>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（十八）依托量子城市建设打造产业用地数字空间</w:t>
      </w:r>
    </w:p>
    <w:p w14:paraId="53F7024A">
      <w:pPr>
        <w:tabs>
          <w:tab w:val="left" w:pos="64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51.</w:t>
      </w:r>
      <w:r>
        <w:rPr>
          <w:rFonts w:ascii="Times New Roman" w:hAnsi="Times New Roman" w:eastAsia="方正仿宋_GB2312" w:cs="方正仿宋_GB2312"/>
          <w:b/>
          <w:bCs/>
          <w:color w:val="000000"/>
          <w:sz w:val="31"/>
          <w:szCs w:val="31"/>
        </w:rPr>
        <w:t>加强产业用地时空数据底座建设。</w:t>
      </w:r>
      <w:r>
        <w:rPr>
          <w:rFonts w:hint="default" w:ascii="Times New Roman" w:hAnsi="Times New Roman" w:eastAsia="方正仿宋简体" w:cs="方正仿宋简体"/>
          <w:b w:val="0"/>
          <w:bCs w:val="0"/>
          <w:color w:val="000000"/>
          <w:kern w:val="2"/>
          <w:sz w:val="32"/>
          <w:szCs w:val="32"/>
          <w:lang w:val="en-US" w:eastAsia="zh-CN" w:bidi="ar-SA"/>
        </w:rPr>
        <w:t>建立全要素、全流程、全覆盖的数字化管理体系，实现数据流与业务流融合。加强工业企业“一张底图”和规划产业用地“一张蓝图”建设，推进规划资源、产业、国资、统计、税务、大数据等部门数据动态汇集、信息共享，强化多部门协同管理。</w:t>
      </w:r>
    </w:p>
    <w:p w14:paraId="2EF8CEBE">
      <w:pPr>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52.推进数字化平台模块建设。</w:t>
      </w:r>
      <w:r>
        <w:rPr>
          <w:rFonts w:hint="default" w:ascii="Times New Roman" w:hAnsi="Times New Roman" w:eastAsia="方正仿宋简体" w:cs="方正仿宋简体"/>
          <w:b w:val="0"/>
          <w:bCs w:val="0"/>
          <w:color w:val="000000"/>
          <w:kern w:val="2"/>
          <w:sz w:val="32"/>
          <w:szCs w:val="32"/>
          <w:lang w:val="en-US" w:eastAsia="zh-CN" w:bidi="ar-SA"/>
        </w:rPr>
        <w:t>推进产业用地规划优化、智能选址、项目招商、用地审批、供后监管、综合评估、盘活计划、分类处置、跟踪监测等数字化功能模块建设，加强管理应用，实现共建共享。</w:t>
      </w:r>
    </w:p>
    <w:p w14:paraId="72F0091F">
      <w:pPr>
        <w:tabs>
          <w:tab w:val="left" w:pos="642"/>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（十九）开展产业用地价格信息监测</w:t>
      </w:r>
    </w:p>
    <w:p w14:paraId="77694701">
      <w:pPr>
        <w:tabs>
          <w:tab w:val="left" w:pos="64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53.建立产业用地价格监测平台。</w:t>
      </w:r>
      <w:r>
        <w:rPr>
          <w:rFonts w:hint="default" w:ascii="Times New Roman" w:hAnsi="Times New Roman" w:eastAsia="方正仿宋简体" w:cs="方正仿宋简体"/>
          <w:b w:val="0"/>
          <w:bCs w:val="0"/>
          <w:color w:val="000000"/>
          <w:kern w:val="2"/>
          <w:sz w:val="32"/>
          <w:szCs w:val="32"/>
          <w:lang w:val="en-US" w:eastAsia="zh-CN" w:bidi="ar-SA"/>
        </w:rPr>
        <w:t>市规划资源局牵头建立本市产业用地价格监测平台，对产业用地一级市场、二级市场价格以及产业用地收储（收回）价格进行重点监测。</w:t>
      </w:r>
    </w:p>
    <w:p w14:paraId="761A7A9A">
      <w:pPr>
        <w:tabs>
          <w:tab w:val="left" w:pos="64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54.加强评估价格跟踪体系建设。</w:t>
      </w:r>
      <w:r>
        <w:rPr>
          <w:rFonts w:hint="default" w:ascii="Times New Roman" w:hAnsi="Times New Roman" w:eastAsia="方正仿宋简体" w:cs="方正仿宋简体"/>
          <w:b w:val="0"/>
          <w:bCs w:val="0"/>
          <w:color w:val="000000"/>
          <w:kern w:val="2"/>
          <w:sz w:val="32"/>
          <w:szCs w:val="32"/>
          <w:lang w:val="en-US" w:eastAsia="zh-CN" w:bidi="ar-SA"/>
        </w:rPr>
        <w:t>区规划资源部门组织开展产业用地综合价值评估项目的空间落图、数据入库，并接入市级监测平台。相关土地评估成果按程序报主管部门备案。</w:t>
      </w:r>
    </w:p>
    <w:p w14:paraId="3CD7B69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20" w:firstLineChars="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六、附则</w:t>
      </w:r>
    </w:p>
    <w:p w14:paraId="465EC306">
      <w:pPr>
        <w:tabs>
          <w:tab w:val="left" w:pos="642"/>
        </w:tabs>
        <w:bidi w:val="0"/>
        <w:ind w:firstLine="643" w:firstLineChars="200"/>
        <w:jc w:val="left"/>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（二十）建立条款更新机制</w:t>
      </w:r>
    </w:p>
    <w:p w14:paraId="6CC5F109">
      <w:pPr>
        <w:numPr>
          <w:ilvl w:val="0"/>
          <w:numId w:val="0"/>
        </w:numPr>
        <w:tabs>
          <w:tab w:val="left" w:pos="642"/>
        </w:tabs>
        <w:bidi w:val="0"/>
        <w:ind w:firstLine="643" w:firstLineChars="200"/>
        <w:jc w:val="left"/>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55.建立多渠道建议收集和政策更新机制。</w:t>
      </w:r>
      <w:r>
        <w:rPr>
          <w:rFonts w:hint="default" w:ascii="Times New Roman" w:hAnsi="Times New Roman" w:eastAsia="方正仿宋简体" w:cs="方正仿宋简体"/>
          <w:b w:val="0"/>
          <w:bCs w:val="0"/>
          <w:color w:val="000000"/>
          <w:kern w:val="2"/>
          <w:sz w:val="32"/>
          <w:szCs w:val="32"/>
          <w:lang w:val="en-US" w:eastAsia="zh-CN" w:bidi="ar-SA"/>
        </w:rPr>
        <w:t>结合产业发展实际，加强沟通交流、使用反馈和动态评估，市规划资源局适时对《指导意见（</w:t>
      </w:r>
      <w:r>
        <w:rPr>
          <w:rFonts w:hint="default" w:ascii="Times New Roman" w:hAnsi="Times New Roman" w:eastAsia="方正仿宋简体" w:cs="Times New Roman"/>
          <w:b w:val="0"/>
          <w:bCs w:val="0"/>
          <w:color w:val="000000"/>
          <w:kern w:val="2"/>
          <w:sz w:val="32"/>
          <w:szCs w:val="32"/>
          <w:lang w:val="en-US" w:eastAsia="zh-CN" w:bidi="ar-SA"/>
        </w:rPr>
        <w:t>2025</w:t>
      </w:r>
      <w:r>
        <w:rPr>
          <w:rFonts w:hint="default" w:ascii="Times New Roman" w:hAnsi="Times New Roman" w:eastAsia="方正仿宋简体" w:cs="方正仿宋简体"/>
          <w:b w:val="0"/>
          <w:bCs w:val="0"/>
          <w:color w:val="000000"/>
          <w:kern w:val="2"/>
          <w:sz w:val="32"/>
          <w:szCs w:val="32"/>
          <w:lang w:val="en-US" w:eastAsia="zh-CN" w:bidi="ar-SA"/>
        </w:rPr>
        <w:t>版）》进行动态修订，以推动政策的迭代升级、系统集成，及时在市规划资源局和政府公共门户网站发布公告。建立常态化、体系化的产业用地创新转型发展的优秀案例库和宣传推介机制，体现示范引领作用。</w:t>
      </w:r>
    </w:p>
    <w:p w14:paraId="1E41C044">
      <w:pPr>
        <w:numPr>
          <w:ilvl w:val="0"/>
          <w:numId w:val="0"/>
        </w:numPr>
        <w:tabs>
          <w:tab w:val="left" w:pos="642"/>
        </w:tabs>
        <w:bidi w:val="0"/>
        <w:ind w:firstLine="640"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kern w:val="2"/>
          <w:sz w:val="32"/>
          <w:szCs w:val="32"/>
          <w:lang w:val="en-US" w:eastAsia="zh-CN" w:bidi="ar-SA"/>
        </w:rPr>
        <w:t>本指导意见自印发之日施行。此前政策规定与本指导意见不一致的，以本指导意见为准。</w:t>
      </w:r>
    </w:p>
    <w:p w14:paraId="67E03FEA">
      <w:pPr>
        <w:rPr>
          <w:rFonts w:ascii="Times New Roman" w:hAnsi="Times New Roman" w:eastAsia="宋体" w:cs="Times New Roman"/>
        </w:rPr>
      </w:pPr>
    </w:p>
    <w:p w14:paraId="1E4DA64B">
      <w:pPr>
        <w:rPr>
          <w:rFonts w:ascii="Times New Roman" w:hAnsi="Times New Roman" w:eastAsia="宋体" w:cs="Times New Roman"/>
        </w:rPr>
      </w:pPr>
    </w:p>
    <w:p w14:paraId="138FBC22">
      <w:pPr>
        <w:rPr>
          <w:rFonts w:ascii="Times New Roman" w:hAnsi="Times New Roman" w:eastAsia="宋体" w:cs="Times New Roman"/>
        </w:rPr>
      </w:pPr>
    </w:p>
    <w:p w14:paraId="5AEDF18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eastAsia="zh-CN"/>
        </w:rPr>
      </w:pPr>
      <w:r>
        <w:rPr>
          <w:rFonts w:hint="eastAsia" w:ascii="Times New Roman" w:hAnsi="Times New Roman" w:eastAsia="方正小标宋简体" w:cs="方正小标宋简体"/>
          <w:sz w:val="44"/>
          <w:szCs w:val="44"/>
        </w:rPr>
        <w:t>关于印发《上海市脑机接口未来产业培育</w:t>
      </w:r>
    </w:p>
    <w:p w14:paraId="27641F9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行动方案（2025-2030年）》的通知</w:t>
      </w:r>
    </w:p>
    <w:p w14:paraId="0803C02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343AEC4F">
      <w:pPr>
        <w:bidi w:val="0"/>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rPr>
        <w:t>各有关区人民政府，市政府有关委、办、局，各有关单位：</w:t>
      </w:r>
    </w:p>
    <w:p w14:paraId="66FEE47E">
      <w:pPr>
        <w:bidi w:val="0"/>
        <w:ind w:firstLine="640" w:firstLineChars="200"/>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rPr>
        <w:t>经市政府同意，现将《上海市脑机接口未来产业培育行动方案</w:t>
      </w:r>
      <w:r>
        <w:rPr>
          <w:rFonts w:hint="default" w:ascii="Times New Roman" w:hAnsi="Times New Roman" w:eastAsia="方正仿宋简体" w:cs="Times New Roman"/>
          <w:b w:val="0"/>
          <w:bCs w:val="0"/>
          <w:color w:val="000000"/>
          <w:sz w:val="32"/>
          <w:szCs w:val="32"/>
        </w:rPr>
        <w:t>（2025-2030年）</w:t>
      </w:r>
      <w:r>
        <w:rPr>
          <w:rFonts w:hint="eastAsia" w:ascii="Times New Roman" w:hAnsi="Times New Roman" w:eastAsia="方正仿宋简体" w:cs="方正仿宋简体"/>
          <w:b w:val="0"/>
          <w:bCs w:val="0"/>
          <w:color w:val="000000"/>
          <w:sz w:val="32"/>
          <w:szCs w:val="32"/>
        </w:rPr>
        <w:t>》印发给你们，请认真推进落实。</w:t>
      </w:r>
    </w:p>
    <w:p w14:paraId="252ECC5D">
      <w:pPr>
        <w:bidi w:val="0"/>
        <w:ind w:firstLine="640" w:firstLineChars="200"/>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rPr>
        <w:t>特此通知。</w:t>
      </w:r>
    </w:p>
    <w:p w14:paraId="5B29F64D">
      <w:pPr>
        <w:bidi w:val="0"/>
        <w:rPr>
          <w:rFonts w:hint="eastAsia" w:ascii="Times New Roman" w:hAnsi="Times New Roman" w:eastAsia="方正仿宋简体" w:cs="方正仿宋简体"/>
          <w:sz w:val="32"/>
          <w:szCs w:val="32"/>
          <w:lang w:val="en-US" w:eastAsia="zh-CN"/>
        </w:rPr>
      </w:pPr>
    </w:p>
    <w:p w14:paraId="7BCB8CFE">
      <w:pPr>
        <w:bidi w:val="0"/>
        <w:rPr>
          <w:rFonts w:hint="eastAsia" w:ascii="Times New Roman" w:hAnsi="Times New Roman" w:eastAsia="宋体" w:cs="Times New Roman"/>
          <w:lang w:val="en-US" w:eastAsia="zh-CN"/>
        </w:rPr>
      </w:pPr>
    </w:p>
    <w:p w14:paraId="0CDCACE9">
      <w:pPr>
        <w:tabs>
          <w:tab w:val="left" w:pos="2348"/>
        </w:tabs>
        <w:bidi w:val="0"/>
        <w:jc w:val="right"/>
        <w:rPr>
          <w:rFonts w:hint="eastAsia" w:ascii="Times New Roman" w:hAnsi="Times New Roman" w:eastAsia="方正仿宋简体" w:cs="宋体"/>
          <w:sz w:val="24"/>
          <w:szCs w:val="24"/>
          <w:lang w:eastAsia="zh-CN"/>
        </w:rPr>
      </w:pPr>
      <w:r>
        <w:rPr>
          <w:rFonts w:hint="eastAsia" w:ascii="Times New Roman" w:hAnsi="Times New Roman" w:eastAsia="宋体" w:cs="Times New Roman"/>
          <w:lang w:val="en-US" w:eastAsia="zh-CN"/>
        </w:rPr>
        <w:tab/>
      </w:r>
      <w:r>
        <w:rPr>
          <w:rFonts w:hint="eastAsia" w:ascii="Times New Roman" w:hAnsi="Times New Roman" w:eastAsia="方正仿宋简体" w:cs="方正仿宋简体"/>
          <w:b w:val="0"/>
          <w:bCs w:val="0"/>
          <w:color w:val="000000"/>
          <w:sz w:val="32"/>
          <w:szCs w:val="32"/>
        </w:rPr>
        <w:t>上海市科学技术委员会</w:t>
      </w:r>
    </w:p>
    <w:p w14:paraId="533AB060">
      <w:pPr>
        <w:tabs>
          <w:tab w:val="left" w:pos="2348"/>
        </w:tabs>
        <w:bidi w:val="0"/>
        <w:jc w:val="right"/>
        <w:rPr>
          <w:rFonts w:ascii="Times New Roman" w:hAnsi="Times New Roman" w:eastAsia="方正仿宋_GB2312" w:cs="方正仿宋_GB2312"/>
          <w:b w:val="0"/>
          <w:bCs w:val="0"/>
          <w:color w:val="000000"/>
          <w:sz w:val="31"/>
          <w:szCs w:val="31"/>
        </w:rPr>
      </w:pPr>
      <w:r>
        <w:rPr>
          <w:rFonts w:hint="default" w:ascii="Times New Roman" w:hAnsi="Times New Roman" w:eastAsia="方正仿宋简体" w:cs="Times New Roman"/>
          <w:b w:val="0"/>
          <w:bCs w:val="0"/>
          <w:color w:val="000000"/>
          <w:sz w:val="32"/>
          <w:szCs w:val="32"/>
        </w:rPr>
        <w:t>2025年1月10日</w:t>
      </w:r>
    </w:p>
    <w:p w14:paraId="760BCDF9">
      <w:pPr>
        <w:tabs>
          <w:tab w:val="left" w:pos="2348"/>
        </w:tabs>
        <w:bidi w:val="0"/>
        <w:jc w:val="right"/>
        <w:rPr>
          <w:rFonts w:hint="eastAsia" w:ascii="Times New Roman" w:hAnsi="Times New Roman" w:eastAsia="方正仿宋简体" w:cs="方正仿宋简体"/>
          <w:b w:val="0"/>
          <w:bCs w:val="0"/>
          <w:color w:val="000000"/>
          <w:sz w:val="32"/>
          <w:szCs w:val="32"/>
        </w:rPr>
      </w:pPr>
    </w:p>
    <w:p w14:paraId="4D74CA5E">
      <w:pPr>
        <w:tabs>
          <w:tab w:val="left" w:pos="2348"/>
        </w:tabs>
        <w:bidi w:val="0"/>
        <w:jc w:val="right"/>
        <w:rPr>
          <w:rFonts w:hint="eastAsia" w:ascii="Times New Roman" w:hAnsi="Times New Roman" w:eastAsia="方正仿宋简体" w:cs="方正仿宋简体"/>
          <w:b w:val="0"/>
          <w:bCs w:val="0"/>
          <w:color w:val="000000"/>
          <w:sz w:val="32"/>
          <w:szCs w:val="32"/>
        </w:rPr>
      </w:pPr>
    </w:p>
    <w:p w14:paraId="4F2B88E4">
      <w:pPr>
        <w:tabs>
          <w:tab w:val="left" w:pos="2348"/>
        </w:tabs>
        <w:bidi w:val="0"/>
        <w:jc w:val="right"/>
        <w:rPr>
          <w:rFonts w:hint="eastAsia" w:ascii="Times New Roman" w:hAnsi="Times New Roman" w:eastAsia="方正仿宋简体" w:cs="方正仿宋简体"/>
          <w:b w:val="0"/>
          <w:bCs w:val="0"/>
          <w:color w:val="000000"/>
          <w:sz w:val="32"/>
          <w:szCs w:val="32"/>
        </w:rPr>
      </w:pPr>
    </w:p>
    <w:p w14:paraId="2E0CE702">
      <w:pPr>
        <w:tabs>
          <w:tab w:val="left" w:pos="2348"/>
        </w:tabs>
        <w:bidi w:val="0"/>
        <w:jc w:val="right"/>
        <w:rPr>
          <w:rFonts w:hint="eastAsia" w:ascii="Times New Roman" w:hAnsi="Times New Roman" w:eastAsia="方正仿宋简体" w:cs="方正仿宋简体"/>
          <w:b w:val="0"/>
          <w:bCs w:val="0"/>
          <w:color w:val="000000"/>
          <w:sz w:val="32"/>
          <w:szCs w:val="32"/>
        </w:rPr>
      </w:pPr>
    </w:p>
    <w:p w14:paraId="214C8B84">
      <w:pPr>
        <w:tabs>
          <w:tab w:val="left" w:pos="2348"/>
        </w:tabs>
        <w:bidi w:val="0"/>
        <w:jc w:val="right"/>
        <w:rPr>
          <w:rFonts w:hint="eastAsia" w:ascii="Times New Roman" w:hAnsi="Times New Roman" w:eastAsia="方正仿宋简体" w:cs="方正仿宋简体"/>
          <w:b w:val="0"/>
          <w:bCs w:val="0"/>
          <w:color w:val="000000"/>
          <w:sz w:val="32"/>
          <w:szCs w:val="32"/>
        </w:rPr>
      </w:pPr>
    </w:p>
    <w:p w14:paraId="1E702494">
      <w:pPr>
        <w:tabs>
          <w:tab w:val="left" w:pos="2348"/>
        </w:tabs>
        <w:bidi w:val="0"/>
        <w:jc w:val="both"/>
        <w:rPr>
          <w:rFonts w:hint="eastAsia" w:ascii="Times New Roman" w:hAnsi="Times New Roman" w:eastAsia="方正仿宋简体" w:cs="方正仿宋简体"/>
          <w:b w:val="0"/>
          <w:bCs w:val="0"/>
          <w:color w:val="000000"/>
          <w:sz w:val="32"/>
          <w:szCs w:val="32"/>
        </w:rPr>
      </w:pPr>
    </w:p>
    <w:p w14:paraId="42E3AE3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上海市脑机接口未来产业培育行动方案（2025-2030年）</w:t>
      </w:r>
    </w:p>
    <w:p w14:paraId="2CD1758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4F67725B">
      <w:pPr>
        <w:keepNext w:val="0"/>
        <w:keepLines w:val="0"/>
        <w:pageBreakBefore w:val="0"/>
        <w:widowControl w:val="0"/>
        <w:kinsoku/>
        <w:wordWrap/>
        <w:overflowPunct/>
        <w:topLinePunct w:val="0"/>
        <w:autoSpaceDE/>
        <w:autoSpaceDN/>
        <w:bidi w:val="0"/>
        <w:adjustRightInd/>
        <w:snapToGrid w:val="0"/>
        <w:spacing w:line="570" w:lineRule="exact"/>
        <w:ind w:firstLine="620"/>
        <w:jc w:val="left"/>
        <w:textAlignment w:val="auto"/>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脑机接口是通过神经工程手段实现大脑与外部设备信息交互的交叉前沿技术，在医疗、康养、教育、娱乐等领域有着广阔的应用前景，已成为全球各国科技竞逐的重要赛道。为加快颠覆性技术突破，抢抓脑机接口的发展机遇，培育未来产业，特制定本行动方案。</w:t>
      </w:r>
    </w:p>
    <w:p w14:paraId="32EE146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sz w:val="32"/>
          <w:szCs w:val="32"/>
        </w:rPr>
      </w:pPr>
      <w:r>
        <w:rPr>
          <w:rFonts w:hint="eastAsia" w:ascii="Times New Roman" w:hAnsi="Times New Roman" w:eastAsia="方正黑体简体" w:cs="方正黑体简体"/>
          <w:b w:val="0"/>
          <w:bCs/>
          <w:kern w:val="2"/>
          <w:sz w:val="32"/>
          <w:szCs w:val="32"/>
          <w:lang w:val="en-US" w:eastAsia="zh-CN" w:bidi="ar-SA"/>
        </w:rPr>
        <w:t>一、</w:t>
      </w:r>
      <w:r>
        <w:rPr>
          <w:rFonts w:hint="eastAsia" w:ascii="Times New Roman" w:hAnsi="Times New Roman" w:eastAsia="方正黑体简体" w:cs="方正黑体简体"/>
          <w:b w:val="0"/>
          <w:bCs/>
          <w:sz w:val="32"/>
          <w:szCs w:val="32"/>
        </w:rPr>
        <w:t>主要目标</w:t>
      </w:r>
    </w:p>
    <w:p w14:paraId="1C2FFB5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立足优势，多路并行、分策推进。以医疗级场景为核心，以战略产品为导向，推动脑机接口与具身智能等人工智能前沿技术的融合，加快侵入式、半侵入式脑机接口技术与产品的落地应用。鼓励非侵入式脑机接口技术在康复训练、教育娱乐、智能生活、生产制造等领域的应用。</w:t>
      </w:r>
      <w:r>
        <w:rPr>
          <w:rFonts w:hint="default" w:ascii="Times New Roman" w:hAnsi="Times New Roman" w:eastAsia="方正仿宋简体" w:cs="Times New Roman"/>
          <w:b w:val="0"/>
          <w:bCs w:val="0"/>
          <w:color w:val="000000"/>
          <w:kern w:val="2"/>
          <w:sz w:val="32"/>
          <w:szCs w:val="32"/>
          <w:lang w:val="en-US" w:eastAsia="zh-CN" w:bidi="ar-SA"/>
        </w:rPr>
        <w:t>2027</w:t>
      </w:r>
      <w:r>
        <w:rPr>
          <w:rFonts w:hint="eastAsia" w:ascii="Times New Roman" w:hAnsi="Times New Roman" w:eastAsia="方正仿宋简体" w:cs="方正仿宋简体"/>
          <w:b w:val="0"/>
          <w:bCs w:val="0"/>
          <w:color w:val="000000"/>
          <w:kern w:val="2"/>
          <w:sz w:val="32"/>
          <w:szCs w:val="32"/>
          <w:lang w:val="en-US" w:eastAsia="zh-CN" w:bidi="ar-SA"/>
        </w:rPr>
        <w:t>年前，实现高质量脑控，半侵入式脑机接口产品在国内率先实现临床应用，侵入式脑机接口研发取得突破，脑机接口创新生态初步构建。推动</w:t>
      </w:r>
      <w:r>
        <w:rPr>
          <w:rFonts w:hint="default" w:ascii="Times New Roman" w:hAnsi="Times New Roman" w:eastAsia="方正仿宋简体" w:cs="Times New Roman"/>
          <w:b w:val="0"/>
          <w:bCs w:val="0"/>
          <w:color w:val="000000"/>
          <w:kern w:val="2"/>
          <w:sz w:val="32"/>
          <w:szCs w:val="32"/>
          <w:lang w:val="en-US" w:eastAsia="zh-CN" w:bidi="ar-SA"/>
        </w:rPr>
        <w:t>5</w:t>
      </w:r>
      <w:r>
        <w:rPr>
          <w:rFonts w:hint="eastAsia" w:ascii="Times New Roman" w:hAnsi="Times New Roman" w:eastAsia="方正仿宋简体" w:cs="方正仿宋简体"/>
          <w:b w:val="0"/>
          <w:bCs w:val="0"/>
          <w:color w:val="000000"/>
          <w:kern w:val="2"/>
          <w:sz w:val="32"/>
          <w:szCs w:val="32"/>
          <w:lang w:val="en-US" w:eastAsia="zh-CN" w:bidi="ar-SA"/>
        </w:rPr>
        <w:t>款以上侵入式、半侵入式脑机接口产品完成医疗器械型式检验，完成临床试验，面向失语、瘫痪等患者，实现部分语言和运动功能恢复。非侵入式脑机接口形成一批新业务、新应用、新模式、新业态，打造形成医疗级康复产品与消费级爆款应用。引育</w:t>
      </w:r>
      <w:r>
        <w:rPr>
          <w:rFonts w:hint="default" w:ascii="Times New Roman" w:hAnsi="Times New Roman" w:eastAsia="方正仿宋简体" w:cs="Times New Roman"/>
          <w:b w:val="0"/>
          <w:bCs w:val="0"/>
          <w:color w:val="000000"/>
          <w:kern w:val="2"/>
          <w:sz w:val="32"/>
          <w:szCs w:val="32"/>
          <w:lang w:val="en-US" w:eastAsia="zh-CN" w:bidi="ar-SA"/>
        </w:rPr>
        <w:t>5</w:t>
      </w:r>
      <w:r>
        <w:rPr>
          <w:rFonts w:hint="eastAsia" w:ascii="Times New Roman" w:hAnsi="Times New Roman" w:eastAsia="方正仿宋简体" w:cs="方正仿宋简体"/>
          <w:b w:val="0"/>
          <w:bCs w:val="0"/>
          <w:color w:val="000000"/>
          <w:kern w:val="2"/>
          <w:sz w:val="32"/>
          <w:szCs w:val="32"/>
          <w:lang w:val="en-US" w:eastAsia="zh-CN" w:bidi="ar-SA"/>
        </w:rPr>
        <w:t>家以上具有脑机接口核心技术与产品研发能力的自主创新企业、</w:t>
      </w:r>
      <w:r>
        <w:rPr>
          <w:rFonts w:hint="eastAsia" w:ascii="Times New Roman" w:hAnsi="Times New Roman" w:eastAsia="方正仿宋简体" w:cs="Times New Roman"/>
          <w:b w:val="0"/>
          <w:bCs w:val="0"/>
          <w:color w:val="000000"/>
          <w:kern w:val="2"/>
          <w:sz w:val="32"/>
          <w:szCs w:val="32"/>
          <w:lang w:val="en-US" w:eastAsia="zh-CN" w:bidi="ar-SA"/>
        </w:rPr>
        <w:t>10</w:t>
      </w:r>
      <w:r>
        <w:rPr>
          <w:rFonts w:hint="eastAsia" w:ascii="Times New Roman" w:hAnsi="Times New Roman" w:eastAsia="方正仿宋简体" w:cs="方正仿宋简体"/>
          <w:b w:val="0"/>
          <w:bCs w:val="0"/>
          <w:color w:val="000000"/>
          <w:kern w:val="2"/>
          <w:sz w:val="32"/>
          <w:szCs w:val="32"/>
          <w:lang w:val="en-US" w:eastAsia="zh-CN" w:bidi="ar-SA"/>
        </w:rPr>
        <w:t>家以上产业链骨干企业。形成脑机接口产品与检测评价标准规范。</w:t>
      </w:r>
      <w:r>
        <w:rPr>
          <w:rFonts w:hint="eastAsia" w:ascii="Times New Roman" w:hAnsi="Times New Roman" w:eastAsia="方正仿宋简体" w:cs="Times New Roman"/>
          <w:b w:val="0"/>
          <w:bCs w:val="0"/>
          <w:color w:val="000000"/>
          <w:kern w:val="2"/>
          <w:sz w:val="32"/>
          <w:szCs w:val="32"/>
          <w:lang w:val="en-US" w:eastAsia="zh-CN" w:bidi="ar-SA"/>
        </w:rPr>
        <w:t>2030</w:t>
      </w:r>
      <w:r>
        <w:rPr>
          <w:rFonts w:hint="eastAsia" w:ascii="Times New Roman" w:hAnsi="Times New Roman" w:eastAsia="方正仿宋简体" w:cs="方正仿宋简体"/>
          <w:b w:val="0"/>
          <w:bCs w:val="0"/>
          <w:color w:val="000000"/>
          <w:kern w:val="2"/>
          <w:sz w:val="32"/>
          <w:szCs w:val="32"/>
          <w:lang w:val="en-US" w:eastAsia="zh-CN" w:bidi="ar-SA"/>
        </w:rPr>
        <w:t>年前，实现高质量控脑，脑机接口产品全面实现临床应用，打造全球脑机接口产品创新高地，产业链核心环节实现自主可控。系列侵入式、半侵入式脑机接口产品进入医疗器械注册审批阶段，帮助失明患者，部分恢复视觉能力；帮助瘫痪患者，部分恢复全身的触觉感知与运动能力；为难治性癫痫、重度抑郁症等脑疾病，提供新型治疗手段。脑机接口上游产业链基本实现国产化，实现脑机接口与人工智能、虚拟现实融合发展。打造国家级脑机接口产业发展集聚区，多家脑机接口企业形成全球影响力，脑机接口产业发展成为战略性新兴产业中坚力量。</w:t>
      </w:r>
    </w:p>
    <w:p w14:paraId="2C2CE20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二、加速脑机接口产品化</w:t>
      </w:r>
    </w:p>
    <w:p w14:paraId="6F2DD51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（一）领军企业培育行动</w:t>
      </w:r>
    </w:p>
    <w:p w14:paraId="2339D4B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1.支持重大产品研发。</w:t>
      </w:r>
      <w:r>
        <w:rPr>
          <w:rFonts w:hint="eastAsia" w:ascii="Times New Roman" w:hAnsi="Times New Roman" w:eastAsia="方正仿宋简体" w:cs="方正仿宋简体"/>
          <w:b w:val="0"/>
          <w:bCs w:val="0"/>
          <w:color w:val="000000"/>
          <w:kern w:val="2"/>
          <w:sz w:val="32"/>
          <w:szCs w:val="32"/>
          <w:lang w:val="en-US" w:eastAsia="zh-CN" w:bidi="ar-SA"/>
        </w:rPr>
        <w:t>支持各类创新主体联合医疗机构，研发运动控制、言语合成、神经疾病治疗、视觉重建等侵入式、半侵入式脑机接口产品。推动相关产品在医疗机构开展临床试验，支持脑机接口产品进入国家和我市创新医疗器械特别审查程序，指导医疗器械注册工作。面向康复、教育、娱乐等领域，鼓励企业开展非侵入式脑机接口产品研发与产业化。（责任部门：市科委、市经济信息化委、市发展改革委、市卫生健康委、市药品监管局）</w:t>
      </w:r>
    </w:p>
    <w:p w14:paraId="65F37C2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2.加快软件算法和关键材料零部件研制。</w:t>
      </w:r>
      <w:r>
        <w:rPr>
          <w:rFonts w:hint="eastAsia" w:ascii="Times New Roman" w:hAnsi="Times New Roman" w:eastAsia="方正仿宋简体" w:cs="方正仿宋简体"/>
          <w:b w:val="0"/>
          <w:bCs w:val="0"/>
          <w:color w:val="000000"/>
          <w:kern w:val="2"/>
          <w:sz w:val="32"/>
          <w:szCs w:val="32"/>
          <w:lang w:val="en-US" w:eastAsia="zh-CN" w:bidi="ar-SA"/>
        </w:rPr>
        <w:t>培育本地脑机接口产业链主体，积极吸引产业链上游优势企业，重点支持微型、强生物相容性、高通量柔性电极及关键材料研发，推动低功耗神经信号采集及刺激芯片研制，加速医疗级植入式电池、植入式硅胶、馈通的研发，突破高密度封装工艺技术。构建软件算法与底层系统平台，支持脑机接口企业，运用运动、视觉、语言、高级情感与认知等任务范式的脑电信号数据，结合机器学习、深度学习等技术，研发面向特定任务的脑电解码与调控算法。（责任部门：市科委、市经济信息化委、市发展改革委）</w:t>
      </w:r>
    </w:p>
    <w:p w14:paraId="08DD95E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3.协同开展核心外围设备自主研发。</w:t>
      </w:r>
      <w:r>
        <w:rPr>
          <w:rFonts w:hint="eastAsia" w:ascii="Times New Roman" w:hAnsi="Times New Roman" w:eastAsia="方正仿宋简体" w:cs="方正仿宋简体"/>
          <w:b w:val="0"/>
          <w:bCs w:val="0"/>
          <w:color w:val="000000"/>
          <w:kern w:val="2"/>
          <w:sz w:val="32"/>
          <w:szCs w:val="32"/>
          <w:lang w:val="en-US" w:eastAsia="zh-CN" w:bidi="ar-SA"/>
        </w:rPr>
        <w:t>基于我市人工智能、机器人等产业基础，加速具备精准植入靶标、自动植入路径规划、微创、快速且高通量的柔性电极植入机器人开发。加快脑控康复用人形机器人/外骨骼、机械臂、义肢假体等外围设备研发，实现精准无缝控制，部分用户体验接近自然运动。（责任部门：市科委、市经济信息化委、市发展改革委）</w:t>
      </w:r>
    </w:p>
    <w:p w14:paraId="273DD04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4.开展前沿与颠覆性技术研究。</w:t>
      </w:r>
      <w:r>
        <w:rPr>
          <w:rFonts w:hint="eastAsia" w:ascii="Times New Roman" w:hAnsi="Times New Roman" w:eastAsia="方正仿宋简体" w:cs="方正仿宋简体"/>
          <w:b w:val="0"/>
          <w:bCs w:val="0"/>
          <w:color w:val="000000"/>
          <w:kern w:val="2"/>
          <w:sz w:val="32"/>
          <w:szCs w:val="32"/>
          <w:lang w:val="en-US" w:eastAsia="zh-CN" w:bidi="ar-SA"/>
        </w:rPr>
        <w:t>推动高校、科研院所在脑机接口超柔性电极、超低功耗芯片、位点脑区、解码调控算法等方面形成新技术突破，探索脑脊接口（</w:t>
      </w:r>
      <w:r>
        <w:rPr>
          <w:rFonts w:hint="default" w:ascii="Times New Roman" w:hAnsi="Times New Roman" w:eastAsia="方正仿宋简体" w:cs="Times New Roman"/>
          <w:b w:val="0"/>
          <w:bCs w:val="0"/>
          <w:color w:val="000000"/>
          <w:kern w:val="2"/>
          <w:sz w:val="32"/>
          <w:szCs w:val="32"/>
          <w:lang w:val="en-US" w:eastAsia="zh-CN" w:bidi="ar-SA"/>
        </w:rPr>
        <w:t>BSI</w:t>
      </w:r>
      <w:r>
        <w:rPr>
          <w:rFonts w:hint="eastAsia" w:ascii="Times New Roman" w:hAnsi="Times New Roman" w:eastAsia="方正仿宋简体" w:cs="方正仿宋简体"/>
          <w:b w:val="0"/>
          <w:bCs w:val="0"/>
          <w:color w:val="000000"/>
          <w:kern w:val="2"/>
          <w:sz w:val="32"/>
          <w:szCs w:val="32"/>
          <w:lang w:val="en-US" w:eastAsia="zh-CN" w:bidi="ar-SA"/>
        </w:rPr>
        <w:t>）、介入式脑机接口、基于光学或超声的新型脑机接口等新赛道。（责任部门：市科委）</w:t>
      </w:r>
    </w:p>
    <w:p w14:paraId="1E790C2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三、构建共性技术研发服务平台</w:t>
      </w:r>
    </w:p>
    <w:p w14:paraId="6E51AB7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5.建设微纳加工平台。</w:t>
      </w:r>
      <w:r>
        <w:rPr>
          <w:rFonts w:hint="eastAsia" w:ascii="Times New Roman" w:hAnsi="Times New Roman" w:eastAsia="方正仿宋简体" w:cs="方正仿宋简体"/>
          <w:b w:val="0"/>
          <w:bCs w:val="0"/>
          <w:color w:val="000000"/>
          <w:kern w:val="2"/>
          <w:sz w:val="32"/>
          <w:szCs w:val="32"/>
          <w:lang w:val="en-US" w:eastAsia="zh-CN" w:bidi="ar-SA"/>
        </w:rPr>
        <w:t>建设符合良好生产规范（</w:t>
      </w:r>
      <w:r>
        <w:rPr>
          <w:rFonts w:hint="default" w:ascii="Times New Roman" w:hAnsi="Times New Roman" w:eastAsia="方正仿宋简体" w:cs="Times New Roman"/>
          <w:b w:val="0"/>
          <w:bCs w:val="0"/>
          <w:color w:val="000000"/>
          <w:kern w:val="2"/>
          <w:sz w:val="32"/>
          <w:szCs w:val="32"/>
          <w:lang w:val="en-US" w:eastAsia="zh-CN" w:bidi="ar-SA"/>
        </w:rPr>
        <w:t>GMP</w:t>
      </w:r>
      <w:r>
        <w:rPr>
          <w:rFonts w:hint="eastAsia" w:ascii="Times New Roman" w:hAnsi="Times New Roman" w:eastAsia="方正仿宋简体" w:cs="方正仿宋简体"/>
          <w:b w:val="0"/>
          <w:bCs w:val="0"/>
          <w:color w:val="000000"/>
          <w:kern w:val="2"/>
          <w:sz w:val="32"/>
          <w:szCs w:val="32"/>
          <w:lang w:val="en-US" w:eastAsia="zh-CN" w:bidi="ar-SA"/>
        </w:rPr>
        <w:t>）标准的脑机接口微纳加工平台，探索导电性能卓越、生物相容性高且长期稳定的脑机接口电极新型材料，面向脑机接口企业与科研单位，提供柔性电极工艺研发与加工制造服务。（责任部门：市科委）</w:t>
      </w:r>
    </w:p>
    <w:p w14:paraId="6814209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6.建设动物实验平台。</w:t>
      </w:r>
      <w:r>
        <w:rPr>
          <w:rFonts w:hint="eastAsia" w:ascii="Times New Roman" w:hAnsi="Times New Roman" w:eastAsia="方正仿宋简体" w:cs="方正仿宋简体"/>
          <w:b w:val="0"/>
          <w:bCs w:val="0"/>
          <w:color w:val="000000"/>
          <w:kern w:val="2"/>
          <w:sz w:val="32"/>
          <w:szCs w:val="32"/>
          <w:lang w:val="en-US" w:eastAsia="zh-CN" w:bidi="ar-SA"/>
        </w:rPr>
        <w:t>鼓励具有良好实验室规范（</w:t>
      </w:r>
      <w:r>
        <w:rPr>
          <w:rFonts w:hint="default" w:ascii="Times New Roman" w:hAnsi="Times New Roman" w:eastAsia="方正仿宋简体" w:cs="Times New Roman"/>
          <w:b w:val="0"/>
          <w:bCs w:val="0"/>
          <w:color w:val="000000"/>
          <w:kern w:val="2"/>
          <w:sz w:val="32"/>
          <w:szCs w:val="32"/>
          <w:lang w:val="en-US" w:eastAsia="zh-CN" w:bidi="ar-SA"/>
        </w:rPr>
        <w:t>GLP</w:t>
      </w:r>
      <w:r>
        <w:rPr>
          <w:rFonts w:hint="eastAsia" w:ascii="Times New Roman" w:hAnsi="Times New Roman" w:eastAsia="方正仿宋简体" w:cs="方正仿宋简体"/>
          <w:b w:val="0"/>
          <w:bCs w:val="0"/>
          <w:color w:val="000000"/>
          <w:kern w:val="2"/>
          <w:sz w:val="32"/>
          <w:szCs w:val="32"/>
          <w:lang w:val="en-US" w:eastAsia="zh-CN" w:bidi="ar-SA"/>
        </w:rPr>
        <w:t>）资质的单位，构建涵盖非人灵长类等不同种类动物的脑机接口动物实验平台，加快概念验证。面向脑机接口技术研究、器件研发、产品研制等不同阶段需求，提供脑机接口电极材料研究与测试、脑电信号采集与特定任务解码算法有效性验证、脑机接口产品临床前研究等第三方服务。（责任部门：市科委）</w:t>
      </w:r>
    </w:p>
    <w:p w14:paraId="49F8072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7.构建数据服务平台。</w:t>
      </w:r>
      <w:r>
        <w:rPr>
          <w:rFonts w:hint="eastAsia" w:ascii="Times New Roman" w:hAnsi="Times New Roman" w:eastAsia="方正仿宋简体" w:cs="方正仿宋简体"/>
          <w:b w:val="0"/>
          <w:bCs w:val="0"/>
          <w:color w:val="000000"/>
          <w:kern w:val="2"/>
          <w:sz w:val="32"/>
          <w:szCs w:val="32"/>
          <w:lang w:val="en-US" w:eastAsia="zh-CN" w:bidi="ar-SA"/>
        </w:rPr>
        <w:t>针对运动、视觉、语言、高级认知与情感等不同任务范式，制定脑神经信号数据采集标准规范，进行数据清洗与标注，构建不少于</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例病例的高质量脑数据开放数据集，支撑神经信号处理底层算法研发以及神经科学的研究。（责任部门：市科委、市卫生健康委）</w:t>
      </w:r>
    </w:p>
    <w:p w14:paraId="2765887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8.布局重点实验室。</w:t>
      </w:r>
      <w:r>
        <w:rPr>
          <w:rFonts w:hint="eastAsia" w:ascii="Times New Roman" w:hAnsi="Times New Roman" w:eastAsia="方正仿宋简体" w:cs="方正仿宋简体"/>
          <w:b w:val="0"/>
          <w:bCs w:val="0"/>
          <w:color w:val="000000"/>
          <w:kern w:val="2"/>
          <w:sz w:val="32"/>
          <w:szCs w:val="32"/>
          <w:lang w:val="en-US" w:eastAsia="zh-CN" w:bidi="ar-SA"/>
        </w:rPr>
        <w:t>布局上海市脑机接口重点实验室，组织持续性的高水平研究工作，推动脑机接口领域基础研究、前沿技术研究和科技成果转化贯通发展，积极引进国际人才，培养优秀创新人才，开展高水平合作交流。（责任部门：市科委）</w:t>
      </w:r>
    </w:p>
    <w:p w14:paraId="613A859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四、推动临床试验与应用示范</w:t>
      </w:r>
    </w:p>
    <w:p w14:paraId="0EDBFC4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9.完善脑机接口科技伦理审查机制。</w:t>
      </w:r>
      <w:r>
        <w:rPr>
          <w:rFonts w:hint="eastAsia" w:ascii="Times New Roman" w:hAnsi="Times New Roman" w:eastAsia="方正仿宋简体" w:cs="方正仿宋简体"/>
          <w:b w:val="0"/>
          <w:bCs w:val="0"/>
          <w:color w:val="000000"/>
          <w:kern w:val="2"/>
          <w:sz w:val="32"/>
          <w:szCs w:val="32"/>
          <w:lang w:val="en-US" w:eastAsia="zh-CN" w:bidi="ar-SA"/>
        </w:rPr>
        <w:t>建立脑机接口科技伦理审查专家复核工作机制，指导医疗机构开展脑机接口科技伦理审查，引导脑机接口研究合规开展、未来产业健康有序发展。（责任部门：市卫生健康委、市科委）</w:t>
      </w:r>
    </w:p>
    <w:p w14:paraId="5812A73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10.推动脑机接口临床试验。</w:t>
      </w:r>
      <w:r>
        <w:rPr>
          <w:rFonts w:hint="eastAsia" w:ascii="Times New Roman" w:hAnsi="Times New Roman" w:eastAsia="方正仿宋简体" w:cs="方正仿宋简体"/>
          <w:b w:val="0"/>
          <w:bCs w:val="0"/>
          <w:color w:val="000000"/>
          <w:kern w:val="2"/>
          <w:sz w:val="32"/>
          <w:szCs w:val="32"/>
          <w:lang w:val="en-US" w:eastAsia="zh-CN" w:bidi="ar-SA"/>
        </w:rPr>
        <w:t>支持医疗机构，建设脑机接口临床试验基地，建立脑机接口临床评价体系，明确临床评价的适应症、入选和排除标准、终点指标等关键要素，制定脑机接口临床试验伦理标准操作规范和相关管理制度，建立脑机接口临床研究病房，面向脊髓损伤、脑卒中、渐冻症等运动障碍患者与失明患者，建立临床试验预备队列，支持企业开展脑机接口产品临床试验。（责任部门：市卫生健康委、市科委）</w:t>
      </w:r>
    </w:p>
    <w:p w14:paraId="2DB2244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11.促进脑机接口应用示范。</w:t>
      </w:r>
      <w:r>
        <w:rPr>
          <w:rFonts w:hint="eastAsia" w:ascii="Times New Roman" w:hAnsi="Times New Roman" w:eastAsia="方正仿宋简体" w:cs="方正仿宋简体"/>
          <w:b w:val="0"/>
          <w:bCs w:val="0"/>
          <w:color w:val="000000"/>
          <w:kern w:val="2"/>
          <w:sz w:val="32"/>
          <w:szCs w:val="32"/>
          <w:lang w:val="en-US" w:eastAsia="zh-CN" w:bidi="ar-SA"/>
        </w:rPr>
        <w:t>支持康养、教育、娱乐等领域企业，积极挖掘脑机接口应用需求，联合脑机接口企业，推动养老康复、教育体育、工业安全、文化娱乐领域的创新应用。（责任部门：市经济信息化委、市科委、市发展改革委、市卫生健康委）</w:t>
      </w:r>
    </w:p>
    <w:p w14:paraId="32DED6C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五、健全产品标准与检测体系</w:t>
      </w:r>
    </w:p>
    <w:p w14:paraId="170CED5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12.制定标准规范。</w:t>
      </w:r>
      <w:r>
        <w:rPr>
          <w:rFonts w:hint="default" w:ascii="Times New Roman" w:hAnsi="Times New Roman" w:eastAsia="方正仿宋简体" w:cs="方正仿宋简体"/>
          <w:b w:val="0"/>
          <w:bCs w:val="0"/>
          <w:color w:val="000000"/>
          <w:kern w:val="2"/>
          <w:sz w:val="32"/>
          <w:szCs w:val="32"/>
          <w:lang w:val="en-US" w:eastAsia="zh-CN" w:bidi="ar-SA"/>
        </w:rPr>
        <w:t>推动脑机接口标准化及标准化组织建设，鼓励脑机接口企业积极参与标准化工作，针对脑机接口系统关键需求和性能指标，开展标准研究和测试验证等工作，推动脑机接口产品的医疗器械基础标准、方法标准制定。（责任部门：市药品监管局、市科委）</w:t>
      </w:r>
    </w:p>
    <w:p w14:paraId="1F7F909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13.构建检测体系。</w:t>
      </w:r>
      <w:r>
        <w:rPr>
          <w:rFonts w:hint="default" w:ascii="Times New Roman" w:hAnsi="Times New Roman" w:eastAsia="方正仿宋简体" w:cs="方正仿宋简体"/>
          <w:b w:val="0"/>
          <w:bCs w:val="0"/>
          <w:color w:val="000000"/>
          <w:kern w:val="2"/>
          <w:sz w:val="32"/>
          <w:szCs w:val="32"/>
          <w:lang w:val="en-US" w:eastAsia="zh-CN" w:bidi="ar-SA"/>
        </w:rPr>
        <w:t>鼓励医疗器械检验机构与企业、高校、科研院所，建立脑机接口产品检测联合实验室，推动脑机接口检测技术研究、检测工具研发、检测平台搭建，提升检测能力与服务质效。（责任部门：市药品监管局、市科委）</w:t>
      </w:r>
    </w:p>
    <w:p w14:paraId="303468F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14.提升审评审批效率。</w:t>
      </w:r>
      <w:r>
        <w:rPr>
          <w:rFonts w:hint="default" w:ascii="Times New Roman" w:hAnsi="Times New Roman" w:eastAsia="方正仿宋简体" w:cs="方正仿宋简体"/>
          <w:b w:val="0"/>
          <w:bCs w:val="0"/>
          <w:color w:val="000000"/>
          <w:kern w:val="2"/>
          <w:sz w:val="32"/>
          <w:szCs w:val="32"/>
          <w:lang w:val="en-US" w:eastAsia="zh-CN" w:bidi="ar-SA"/>
        </w:rPr>
        <w:t>积极开展脑机接口监管科学研究。对进入国家创新医疗器械特别审查程序的第三类医疗器械，落实专人专班辅导机制；在临床试验、注册申报等关键环节，争取国家注册审评支持；在检验检测、现场核查等环节，开展跨前服务。加快第二类医疗器械审评速度。（责任部门：市药品监管局、国家药品监管局医疗器械技术审评检查长三角分中心、市科委）</w:t>
      </w:r>
    </w:p>
    <w:p w14:paraId="655F11A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六、培育产业创新生态</w:t>
      </w:r>
    </w:p>
    <w:p w14:paraId="02864A2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15.促进国际人才引进与技术成果转化。</w:t>
      </w:r>
      <w:r>
        <w:rPr>
          <w:rFonts w:hint="default" w:ascii="Times New Roman" w:hAnsi="Times New Roman" w:eastAsia="方正仿宋简体" w:cs="方正仿宋简体"/>
          <w:b w:val="0"/>
          <w:bCs w:val="0"/>
          <w:color w:val="000000"/>
          <w:kern w:val="2"/>
          <w:sz w:val="32"/>
          <w:szCs w:val="32"/>
          <w:lang w:val="en-US" w:eastAsia="zh-CN" w:bidi="ar-SA"/>
        </w:rPr>
        <w:t>依托高水平大学、科研机构，加大力度引进脑机接口颠覆性技术国际顶尖人才，开展脑机接口相关科研成果转化，鼓励科研岗位人员参与企业研发和创业孵化。（责任部门：市科委、市教委）</w:t>
      </w:r>
    </w:p>
    <w:p w14:paraId="58CA60B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16.建设专业孵化器与产业集聚区</w:t>
      </w:r>
      <w:r>
        <w:rPr>
          <w:rFonts w:hint="default" w:ascii="Times New Roman" w:hAnsi="Times New Roman" w:eastAsia="方正仿宋简体" w:cs="方正仿宋简体"/>
          <w:b w:val="0"/>
          <w:bCs w:val="0"/>
          <w:color w:val="000000"/>
          <w:kern w:val="2"/>
          <w:sz w:val="32"/>
          <w:szCs w:val="32"/>
          <w:lang w:val="en-US" w:eastAsia="zh-CN" w:bidi="ar-SA"/>
        </w:rPr>
        <w:t>。积极开展市区协同，鼓励有条件的区，建设脑机接口专业孵化器和概念验证平台，通过物理空间、概念验证、投融资、合作对接等专业服务，加速脑机接口创新技术的商业化过程。同时，吸引国内外优质脑机接口企业在沪设立各类总部、研发中心、生产基地等，支持脑机接口领域产业链企业创新发展，建设产业集聚区。（责任部门：市科委、市经济信息化委、相关区）</w:t>
      </w:r>
    </w:p>
    <w:p w14:paraId="50F4322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17.建立脑机接口产业创新战略联盟。</w:t>
      </w:r>
      <w:r>
        <w:rPr>
          <w:rFonts w:hint="default" w:ascii="Times New Roman" w:hAnsi="Times New Roman" w:eastAsia="方正仿宋简体" w:cs="方正仿宋简体"/>
          <w:b w:val="0"/>
          <w:bCs w:val="0"/>
          <w:color w:val="000000"/>
          <w:kern w:val="2"/>
          <w:sz w:val="32"/>
          <w:szCs w:val="32"/>
          <w:lang w:val="en-US" w:eastAsia="zh-CN" w:bidi="ar-SA"/>
        </w:rPr>
        <w:t>引导企业、高校、科研院所、医疗机构等建立产业创新战略联盟，加快产业链体系化突破，发布侵入式/半侵入式脑机接口典型应用案例、非侵入式脑机接口创新产品推荐目录，组织开展脑机接口创新应用大赛，加速脑机接口重大产品落地应用。（责任部门：市科委、市经济信息化委）</w:t>
      </w:r>
    </w:p>
    <w:p w14:paraId="5C95AAD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kern w:val="2"/>
          <w:sz w:val="32"/>
          <w:szCs w:val="32"/>
          <w:lang w:val="en-US" w:eastAsia="zh-CN" w:bidi="ar-SA"/>
        </w:rPr>
        <w:t>依托战略科学家、领军企业家、投资人，构建脑机接口未来产业“发现—甄别—培育”机制，通过全方位、多角度、系统性研判全球技术演进趋势，动态发现和有效甄别脑机接口领域颠覆性技术、标志性产品，挖掘潜在市场规模大、产业带动性强的产业化方向。建立健全项目经理人主导的全生命周期推进机制，形成“技术攻关、概念验证、产品孵化、资源赋能、政策支撑、产业放大”的全链条联动、全过程创新和全产业链布局。引导金融资本加大对脑机接口前沿技术研究的投入力度，加速脑机接口产品迭代，助力脑机接口企业上市融资。引导医疗器械领域企业，通过战略投资，推动脑机接口创新型企业持续创新发展。支持脑机接口产品纳入医疗保险收费目录。</w:t>
      </w:r>
    </w:p>
    <w:p w14:paraId="3BA101C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p>
    <w:p w14:paraId="50E49ADD">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eastAsia="zh-CN"/>
        </w:rPr>
      </w:pPr>
      <w:r>
        <w:rPr>
          <w:rFonts w:hint="eastAsia" w:ascii="Times New Roman" w:hAnsi="Times New Roman" w:eastAsia="方正小标宋简体" w:cs="方正小标宋简体"/>
          <w:sz w:val="44"/>
          <w:szCs w:val="44"/>
        </w:rPr>
        <w:t>关于印发《青浦区低空经济产业高质量发展</w:t>
      </w:r>
    </w:p>
    <w:p w14:paraId="15DE14F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行动方案（2024—2027年</w:t>
      </w:r>
      <w:r>
        <w:rPr>
          <w:rFonts w:hint="eastAsia" w:ascii="Times New Roman" w:hAnsi="Times New Roman" w:eastAsia="方正小标宋简体" w:cs="方正小标宋简体"/>
          <w:sz w:val="44"/>
          <w:szCs w:val="44"/>
          <w:lang w:eastAsia="zh-CN"/>
        </w:rPr>
        <w:t>）</w:t>
      </w:r>
      <w:r>
        <w:rPr>
          <w:rFonts w:hint="eastAsia" w:ascii="Times New Roman" w:hAnsi="Times New Roman" w:eastAsia="方正小标宋简体" w:cs="方正小标宋简体"/>
          <w:sz w:val="44"/>
          <w:szCs w:val="44"/>
        </w:rPr>
        <w:t>》的通知</w:t>
      </w:r>
    </w:p>
    <w:p w14:paraId="6D6E806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11F70FF5">
      <w:pPr>
        <w:bidi w:val="0"/>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rPr>
        <w:t>各镇人民政府、街道办事处，区政府各委、办、局，各有关单位：</w:t>
      </w:r>
    </w:p>
    <w:p w14:paraId="04F67670">
      <w:pPr>
        <w:bidi w:val="0"/>
        <w:ind w:firstLine="640" w:firstLineChars="200"/>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rPr>
        <w:t>经区政府同意，现将《青浦区低空经济产业高质量发展行动方案（</w:t>
      </w:r>
      <w:r>
        <w:rPr>
          <w:rFonts w:hint="default" w:ascii="Times New Roman" w:hAnsi="Times New Roman" w:eastAsia="方正仿宋简体" w:cs="Times New Roman"/>
          <w:b w:val="0"/>
          <w:bCs w:val="0"/>
          <w:color w:val="000000"/>
          <w:sz w:val="32"/>
          <w:szCs w:val="32"/>
        </w:rPr>
        <w:t>2024—2027</w:t>
      </w:r>
      <w:r>
        <w:rPr>
          <w:rFonts w:hint="eastAsia" w:ascii="Times New Roman" w:hAnsi="Times New Roman" w:eastAsia="方正仿宋简体" w:cs="方正仿宋简体"/>
          <w:b w:val="0"/>
          <w:bCs w:val="0"/>
          <w:color w:val="000000"/>
          <w:sz w:val="32"/>
          <w:szCs w:val="32"/>
        </w:rPr>
        <w:t>年）》印发给你们，请认真参照执行。</w:t>
      </w:r>
    </w:p>
    <w:p w14:paraId="7EB5DE95">
      <w:pPr>
        <w:bidi w:val="0"/>
        <w:rPr>
          <w:rFonts w:hint="eastAsia" w:ascii="Times New Roman" w:hAnsi="Times New Roman" w:eastAsia="方正仿宋简体" w:cs="方正仿宋简体"/>
          <w:sz w:val="32"/>
          <w:szCs w:val="32"/>
          <w:lang w:val="en-US" w:eastAsia="zh-CN"/>
        </w:rPr>
      </w:pPr>
    </w:p>
    <w:p w14:paraId="6BED588E">
      <w:pPr>
        <w:bidi w:val="0"/>
        <w:rPr>
          <w:rFonts w:hint="eastAsia" w:ascii="Times New Roman" w:hAnsi="Times New Roman" w:eastAsia="宋体" w:cs="Times New Roman"/>
          <w:lang w:val="en-US" w:eastAsia="zh-CN"/>
        </w:rPr>
      </w:pPr>
    </w:p>
    <w:p w14:paraId="3204B3EC">
      <w:pPr>
        <w:tabs>
          <w:tab w:val="left" w:pos="2348"/>
        </w:tabs>
        <w:bidi w:val="0"/>
        <w:jc w:val="right"/>
        <w:rPr>
          <w:rFonts w:hint="eastAsia" w:ascii="Times New Roman" w:hAnsi="Times New Roman" w:eastAsia="方正仿宋简体" w:cs="方正仿宋_GB2312"/>
          <w:b w:val="0"/>
          <w:bCs w:val="0"/>
          <w:color w:val="000000"/>
          <w:sz w:val="31"/>
          <w:szCs w:val="31"/>
          <w:lang w:eastAsia="zh-CN"/>
        </w:rPr>
      </w:pPr>
      <w:r>
        <w:rPr>
          <w:rFonts w:hint="eastAsia" w:ascii="Times New Roman" w:hAnsi="Times New Roman" w:eastAsia="宋体" w:cs="Times New Roman"/>
          <w:lang w:val="en-US" w:eastAsia="zh-CN"/>
        </w:rPr>
        <w:tab/>
      </w:r>
      <w:r>
        <w:rPr>
          <w:rFonts w:hint="eastAsia" w:ascii="Times New Roman" w:hAnsi="Times New Roman" w:eastAsia="方正仿宋简体" w:cs="方正仿宋简体"/>
          <w:b w:val="0"/>
          <w:bCs w:val="0"/>
          <w:color w:val="000000"/>
          <w:sz w:val="32"/>
          <w:szCs w:val="32"/>
        </w:rPr>
        <w:t>上海市青浦区人民政府办公室</w:t>
      </w:r>
    </w:p>
    <w:p w14:paraId="66723DC2">
      <w:pPr>
        <w:tabs>
          <w:tab w:val="left" w:pos="2348"/>
        </w:tabs>
        <w:bidi w:val="0"/>
        <w:jc w:val="center"/>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Times New Roman"/>
          <w:b w:val="0"/>
          <w:bCs w:val="0"/>
          <w:color w:val="000000"/>
          <w:sz w:val="32"/>
          <w:szCs w:val="32"/>
          <w:lang w:val="en-US" w:eastAsia="zh-CN"/>
        </w:rPr>
        <w:t xml:space="preserve">                              </w:t>
      </w:r>
      <w:r>
        <w:rPr>
          <w:rFonts w:hint="default" w:ascii="Times New Roman" w:hAnsi="Times New Roman" w:eastAsia="方正仿宋简体" w:cs="Times New Roman"/>
          <w:b w:val="0"/>
          <w:bCs w:val="0"/>
          <w:color w:val="000000"/>
          <w:sz w:val="32"/>
          <w:szCs w:val="32"/>
        </w:rPr>
        <w:t>202</w:t>
      </w:r>
      <w:r>
        <w:rPr>
          <w:rFonts w:hint="eastAsia" w:ascii="Times New Roman" w:hAnsi="Times New Roman" w:eastAsia="方正仿宋简体" w:cs="Times New Roman"/>
          <w:b w:val="0"/>
          <w:bCs w:val="0"/>
          <w:color w:val="000000"/>
          <w:sz w:val="32"/>
          <w:szCs w:val="32"/>
          <w:lang w:val="en-US" w:eastAsia="zh-CN"/>
        </w:rPr>
        <w:t>4</w:t>
      </w:r>
      <w:r>
        <w:rPr>
          <w:rFonts w:hint="eastAsia"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1</w:t>
      </w:r>
      <w:r>
        <w:rPr>
          <w:rFonts w:hint="eastAsia"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rPr>
        <w:t>月</w:t>
      </w:r>
      <w:r>
        <w:rPr>
          <w:rFonts w:hint="eastAsia" w:ascii="Times New Roman" w:hAnsi="Times New Roman" w:eastAsia="方正仿宋简体" w:cs="Times New Roman"/>
          <w:b w:val="0"/>
          <w:bCs w:val="0"/>
          <w:color w:val="000000"/>
          <w:sz w:val="32"/>
          <w:szCs w:val="32"/>
          <w:lang w:val="en-US" w:eastAsia="zh-CN"/>
        </w:rPr>
        <w:t>31</w:t>
      </w:r>
      <w:r>
        <w:rPr>
          <w:rFonts w:hint="eastAsia" w:ascii="Times New Roman" w:hAnsi="Times New Roman" w:eastAsia="方正仿宋简体" w:cs="方正仿宋简体"/>
          <w:b w:val="0"/>
          <w:bCs w:val="0"/>
          <w:color w:val="000000"/>
          <w:sz w:val="32"/>
          <w:szCs w:val="32"/>
        </w:rPr>
        <w:t>日</w:t>
      </w:r>
    </w:p>
    <w:p w14:paraId="409831D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青浦区低空经济产业高质量发展行动方案（2024—2027年）</w:t>
      </w:r>
    </w:p>
    <w:p w14:paraId="339446A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268789AF">
      <w:pPr>
        <w:keepNext w:val="0"/>
        <w:keepLines w:val="0"/>
        <w:pageBreakBefore w:val="0"/>
        <w:widowControl w:val="0"/>
        <w:kinsoku/>
        <w:wordWrap/>
        <w:overflowPunct/>
        <w:topLinePunct w:val="0"/>
        <w:autoSpaceDE/>
        <w:autoSpaceDN/>
        <w:bidi w:val="0"/>
        <w:adjustRightInd/>
        <w:snapToGrid w:val="0"/>
        <w:spacing w:line="570" w:lineRule="exact"/>
        <w:ind w:firstLine="620"/>
        <w:jc w:val="left"/>
        <w:textAlignment w:val="auto"/>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为深入贯彻落实国家及上海市关于低空经济发展的决策部署，推进新型工业化，培育新质生产力，抢抓低空经济产业密集创新和高速增长的战略机遇，推动青浦区低空经济产业高质量发展，结合青浦区低空经济产业现状和发展优势，制定本行动方案。</w:t>
      </w:r>
    </w:p>
    <w:p w14:paraId="0E9FA7A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sz w:val="32"/>
          <w:szCs w:val="32"/>
        </w:rPr>
      </w:pPr>
      <w:r>
        <w:rPr>
          <w:rFonts w:hint="eastAsia" w:ascii="Times New Roman" w:hAnsi="Times New Roman" w:eastAsia="方正黑体简体" w:cs="方正黑体简体"/>
          <w:b w:val="0"/>
          <w:bCs/>
          <w:kern w:val="2"/>
          <w:sz w:val="32"/>
          <w:szCs w:val="32"/>
          <w:lang w:val="en-US" w:eastAsia="zh-CN" w:bidi="ar-SA"/>
        </w:rPr>
        <w:t>一、</w:t>
      </w:r>
      <w:r>
        <w:rPr>
          <w:rFonts w:hint="eastAsia" w:ascii="Times New Roman" w:hAnsi="Times New Roman" w:eastAsia="方正黑体简体" w:cs="方正黑体简体"/>
          <w:b w:val="0"/>
          <w:bCs/>
          <w:sz w:val="32"/>
          <w:szCs w:val="32"/>
        </w:rPr>
        <w:t>主要目标</w:t>
      </w:r>
    </w:p>
    <w:p w14:paraId="0E12A40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到</w:t>
      </w:r>
      <w:r>
        <w:rPr>
          <w:rFonts w:hint="default" w:ascii="Times New Roman" w:hAnsi="Times New Roman" w:eastAsia="方正仿宋简体" w:cs="Times New Roman"/>
          <w:b w:val="0"/>
          <w:bCs w:val="0"/>
          <w:color w:val="000000"/>
          <w:kern w:val="2"/>
          <w:sz w:val="32"/>
          <w:szCs w:val="32"/>
          <w:lang w:val="en-US" w:eastAsia="zh-CN" w:bidi="ar-SA"/>
        </w:rPr>
        <w:t>2027</w:t>
      </w:r>
      <w:r>
        <w:rPr>
          <w:rFonts w:hint="eastAsia" w:ascii="Times New Roman" w:hAnsi="Times New Roman" w:eastAsia="方正仿宋简体" w:cs="方正仿宋简体"/>
          <w:b w:val="0"/>
          <w:bCs w:val="0"/>
          <w:color w:val="000000"/>
          <w:kern w:val="2"/>
          <w:sz w:val="32"/>
          <w:szCs w:val="32"/>
          <w:lang w:val="en-US" w:eastAsia="zh-CN" w:bidi="ar-SA"/>
        </w:rPr>
        <w:t>年，建立以工业级无人机、电动垂直起降航空器（</w:t>
      </w:r>
      <w:r>
        <w:rPr>
          <w:rFonts w:hint="default" w:ascii="Times New Roman" w:hAnsi="Times New Roman" w:eastAsia="方正仿宋简体" w:cs="Times New Roman"/>
          <w:b w:val="0"/>
          <w:bCs w:val="0"/>
          <w:color w:val="000000"/>
          <w:kern w:val="2"/>
          <w:sz w:val="32"/>
          <w:szCs w:val="32"/>
          <w:lang w:val="en-US" w:eastAsia="zh-CN" w:bidi="ar-SA"/>
        </w:rPr>
        <w:t>eVTOL</w:t>
      </w:r>
      <w:r>
        <w:rPr>
          <w:rFonts w:hint="eastAsia" w:ascii="Times New Roman" w:hAnsi="Times New Roman" w:eastAsia="方正仿宋简体" w:cs="方正仿宋简体"/>
          <w:b w:val="0"/>
          <w:bCs w:val="0"/>
          <w:color w:val="000000"/>
          <w:kern w:val="2"/>
          <w:sz w:val="32"/>
          <w:szCs w:val="32"/>
          <w:lang w:val="en-US" w:eastAsia="zh-CN" w:bidi="ar-SA"/>
        </w:rPr>
        <w:t>）和新能源及先进通航飞机等低空新型航空器的研发制造、总部经济、适航审定、商业应用为发展核心的产业集聚区，推动形成低空研发和生产相转化、制造和服务相融合、应用和产业相促进的发展格局，发展成为智慧城市空中交通先导区、长三角低空经济产业高地和低空经济运营推进区，打造有影响力的低空经济产业综合承载区。</w:t>
      </w:r>
    </w:p>
    <w:p w14:paraId="03F2B478">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val="0"/>
          <w:kern w:val="2"/>
          <w:sz w:val="32"/>
          <w:szCs w:val="32"/>
          <w:lang w:val="en-US" w:eastAsia="zh-CN" w:bidi="ar-SA"/>
        </w:rPr>
        <w:t>——领军企业持续壮大。</w:t>
      </w:r>
      <w:r>
        <w:rPr>
          <w:rFonts w:hint="eastAsia" w:ascii="Times New Roman" w:hAnsi="Times New Roman" w:eastAsia="方正仿宋简体" w:cs="方正仿宋简体"/>
          <w:b w:val="0"/>
          <w:bCs w:val="0"/>
          <w:color w:val="000000"/>
          <w:kern w:val="2"/>
          <w:sz w:val="32"/>
          <w:szCs w:val="32"/>
          <w:lang w:val="en-US" w:eastAsia="zh-CN" w:bidi="ar-SA"/>
        </w:rPr>
        <w:t>建设“</w:t>
      </w:r>
      <w:r>
        <w:rPr>
          <w:rFonts w:hint="default" w:ascii="Times New Roman" w:hAnsi="Times New Roman" w:eastAsia="方正仿宋简体" w:cs="Times New Roman"/>
          <w:b w:val="0"/>
          <w:bCs w:val="0"/>
          <w:color w:val="000000"/>
          <w:kern w:val="2"/>
          <w:sz w:val="32"/>
          <w:szCs w:val="32"/>
          <w:lang w:val="en-US" w:eastAsia="zh-CN" w:bidi="ar-SA"/>
        </w:rPr>
        <w:t>1+4</w:t>
      </w:r>
      <w:r>
        <w:rPr>
          <w:rFonts w:hint="eastAsia" w:ascii="Times New Roman" w:hAnsi="Times New Roman" w:eastAsia="方正仿宋简体" w:cs="方正仿宋简体"/>
          <w:b w:val="0"/>
          <w:bCs w:val="0"/>
          <w:color w:val="000000"/>
          <w:kern w:val="2"/>
          <w:sz w:val="32"/>
          <w:szCs w:val="32"/>
          <w:lang w:val="en-US" w:eastAsia="zh-CN" w:bidi="ar-SA"/>
        </w:rPr>
        <w:t>”低空经济特色产业园。引育</w:t>
      </w:r>
      <w:r>
        <w:rPr>
          <w:rFonts w:hint="default" w:ascii="Times New Roman" w:hAnsi="Times New Roman" w:eastAsia="方正仿宋简体" w:cs="Times New Roman"/>
          <w:b w:val="0"/>
          <w:bCs w:val="0"/>
          <w:color w:val="000000"/>
          <w:kern w:val="2"/>
          <w:sz w:val="32"/>
          <w:szCs w:val="32"/>
          <w:lang w:val="en-US" w:eastAsia="zh-CN" w:bidi="ar-SA"/>
        </w:rPr>
        <w:t>5</w:t>
      </w:r>
      <w:r>
        <w:rPr>
          <w:rFonts w:hint="eastAsia" w:ascii="Times New Roman" w:hAnsi="Times New Roman" w:eastAsia="方正仿宋简体" w:cs="方正仿宋简体"/>
          <w:b w:val="0"/>
          <w:bCs w:val="0"/>
          <w:color w:val="000000"/>
          <w:kern w:val="2"/>
          <w:sz w:val="32"/>
          <w:szCs w:val="32"/>
          <w:lang w:val="en-US" w:eastAsia="zh-CN" w:bidi="ar-SA"/>
        </w:rPr>
        <w:t>家以上工业级无人机、</w:t>
      </w:r>
      <w:r>
        <w:rPr>
          <w:rFonts w:hint="default" w:ascii="Times New Roman" w:hAnsi="Times New Roman" w:eastAsia="方正仿宋简体" w:cs="Times New Roman"/>
          <w:b w:val="0"/>
          <w:bCs w:val="0"/>
          <w:color w:val="000000"/>
          <w:kern w:val="2"/>
          <w:sz w:val="32"/>
          <w:szCs w:val="32"/>
          <w:lang w:val="en-US" w:eastAsia="zh-CN" w:bidi="ar-SA"/>
        </w:rPr>
        <w:t>eVTOL</w:t>
      </w:r>
      <w:r>
        <w:rPr>
          <w:rFonts w:hint="eastAsia" w:ascii="Times New Roman" w:hAnsi="Times New Roman" w:eastAsia="方正仿宋简体" w:cs="方正仿宋简体"/>
          <w:b w:val="0"/>
          <w:bCs w:val="0"/>
          <w:color w:val="000000"/>
          <w:kern w:val="2"/>
          <w:sz w:val="32"/>
          <w:szCs w:val="32"/>
          <w:lang w:val="en-US" w:eastAsia="zh-CN" w:bidi="ar-SA"/>
        </w:rPr>
        <w:t>、新能源及先进通航飞机研发制造、运营服务及关键配套产业的领军企业落地发展。引导</w:t>
      </w:r>
      <w:r>
        <w:rPr>
          <w:rFonts w:hint="default" w:ascii="Times New Roman" w:hAnsi="Times New Roman" w:eastAsia="方正仿宋简体" w:cs="Times New Roman"/>
          <w:b w:val="0"/>
          <w:bCs w:val="0"/>
          <w:color w:val="000000"/>
          <w:kern w:val="2"/>
          <w:sz w:val="32"/>
          <w:szCs w:val="32"/>
          <w:lang w:val="en-US" w:eastAsia="zh-CN" w:bidi="ar-SA"/>
        </w:rPr>
        <w:t>50</w:t>
      </w:r>
      <w:r>
        <w:rPr>
          <w:rFonts w:hint="eastAsia" w:ascii="Times New Roman" w:hAnsi="Times New Roman" w:eastAsia="方正仿宋简体" w:cs="方正仿宋简体"/>
          <w:b w:val="0"/>
          <w:bCs w:val="0"/>
          <w:color w:val="000000"/>
          <w:kern w:val="2"/>
          <w:sz w:val="32"/>
          <w:szCs w:val="32"/>
          <w:lang w:val="en-US" w:eastAsia="zh-CN" w:bidi="ar-SA"/>
        </w:rPr>
        <w:t>个以上低空产业链项目在青浦落地，打造系列标志性产品，产业汇聚成链，低空经济上下游产业链累计投资超</w:t>
      </w:r>
      <w:r>
        <w:rPr>
          <w:rFonts w:hint="default" w:ascii="Times New Roman" w:hAnsi="Times New Roman" w:eastAsia="方正仿宋简体" w:cs="Times New Roman"/>
          <w:b w:val="0"/>
          <w:bCs w:val="0"/>
          <w:color w:val="000000"/>
          <w:kern w:val="2"/>
          <w:sz w:val="32"/>
          <w:szCs w:val="32"/>
          <w:lang w:val="en-US" w:eastAsia="zh-CN" w:bidi="ar-SA"/>
        </w:rPr>
        <w:t>60</w:t>
      </w:r>
      <w:r>
        <w:rPr>
          <w:rFonts w:hint="eastAsia" w:ascii="Times New Roman" w:hAnsi="Times New Roman" w:eastAsia="方正仿宋简体" w:cs="方正仿宋简体"/>
          <w:b w:val="0"/>
          <w:bCs w:val="0"/>
          <w:color w:val="000000"/>
          <w:kern w:val="2"/>
          <w:sz w:val="32"/>
          <w:szCs w:val="32"/>
          <w:lang w:val="en-US" w:eastAsia="zh-CN" w:bidi="ar-SA"/>
        </w:rPr>
        <w:t>亿元。</w:t>
      </w:r>
    </w:p>
    <w:p w14:paraId="39CD9DE2">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val="0"/>
          <w:kern w:val="2"/>
          <w:sz w:val="32"/>
          <w:szCs w:val="32"/>
          <w:lang w:val="en-US" w:eastAsia="zh-CN" w:bidi="ar-SA"/>
        </w:rPr>
        <w:t>——产业能级大幅跃升。</w:t>
      </w:r>
      <w:r>
        <w:rPr>
          <w:rFonts w:hint="eastAsia" w:ascii="Times New Roman" w:hAnsi="Times New Roman" w:eastAsia="方正仿宋简体" w:cs="方正仿宋简体"/>
          <w:b w:val="0"/>
          <w:bCs w:val="0"/>
          <w:color w:val="000000"/>
          <w:kern w:val="2"/>
          <w:sz w:val="32"/>
          <w:szCs w:val="32"/>
          <w:lang w:val="en-US" w:eastAsia="zh-CN" w:bidi="ar-SA"/>
        </w:rPr>
        <w:t>重点构建以低空研发、制造、测试产业和总部经济产业为核心，以低空飞行产业和低空保障产业为支撑，以低空创新服务业和低空文旅商贸业为特色的产业格局，加快产业集聚发展，产业规模达</w:t>
      </w:r>
      <w:r>
        <w:rPr>
          <w:rFonts w:hint="default" w:ascii="Times New Roman" w:hAnsi="Times New Roman" w:eastAsia="方正仿宋简体" w:cs="Times New Roman"/>
          <w:b w:val="0"/>
          <w:bCs w:val="0"/>
          <w:color w:val="000000"/>
          <w:kern w:val="2"/>
          <w:sz w:val="32"/>
          <w:szCs w:val="32"/>
          <w:lang w:val="en-US" w:eastAsia="zh-CN" w:bidi="ar-SA"/>
        </w:rPr>
        <w:t>200</w:t>
      </w:r>
      <w:r>
        <w:rPr>
          <w:rFonts w:hint="eastAsia" w:ascii="Times New Roman" w:hAnsi="Times New Roman" w:eastAsia="方正仿宋简体" w:cs="方正仿宋简体"/>
          <w:b w:val="0"/>
          <w:bCs w:val="0"/>
          <w:color w:val="000000"/>
          <w:kern w:val="2"/>
          <w:sz w:val="32"/>
          <w:szCs w:val="32"/>
          <w:lang w:val="en-US" w:eastAsia="zh-CN" w:bidi="ar-SA"/>
        </w:rPr>
        <w:t>亿元以上。</w:t>
      </w:r>
    </w:p>
    <w:p w14:paraId="3D32D866">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val="0"/>
          <w:kern w:val="2"/>
          <w:sz w:val="32"/>
          <w:szCs w:val="32"/>
          <w:lang w:val="en-US" w:eastAsia="zh-CN" w:bidi="ar-SA"/>
        </w:rPr>
        <w:t>——基础设施基本完善。</w:t>
      </w:r>
      <w:r>
        <w:rPr>
          <w:rFonts w:hint="eastAsia" w:ascii="Times New Roman" w:hAnsi="Times New Roman" w:eastAsia="方正仿宋简体" w:cs="方正仿宋简体"/>
          <w:b w:val="0"/>
          <w:bCs w:val="0"/>
          <w:color w:val="000000"/>
          <w:kern w:val="2"/>
          <w:sz w:val="32"/>
          <w:szCs w:val="32"/>
          <w:lang w:val="en-US" w:eastAsia="zh-CN" w:bidi="ar-SA"/>
        </w:rPr>
        <w:t>在长三角区域开通跨省域航线，为建设成为全国低空省际通航城市夯实基础。网格化布局</w:t>
      </w:r>
      <w:r>
        <w:rPr>
          <w:rFonts w:hint="default" w:ascii="Times New Roman" w:hAnsi="Times New Roman" w:eastAsia="方正仿宋简体" w:cs="Times New Roman"/>
          <w:b w:val="0"/>
          <w:bCs w:val="0"/>
          <w:color w:val="000000"/>
          <w:kern w:val="2"/>
          <w:sz w:val="32"/>
          <w:szCs w:val="32"/>
          <w:lang w:val="en-US" w:eastAsia="zh-CN" w:bidi="ar-SA"/>
        </w:rPr>
        <w:t>50</w:t>
      </w:r>
      <w:r>
        <w:rPr>
          <w:rFonts w:hint="eastAsia" w:ascii="Times New Roman" w:hAnsi="Times New Roman" w:eastAsia="方正仿宋简体" w:cs="方正仿宋简体"/>
          <w:b w:val="0"/>
          <w:bCs w:val="0"/>
          <w:color w:val="000000"/>
          <w:kern w:val="2"/>
          <w:sz w:val="32"/>
          <w:szCs w:val="32"/>
          <w:lang w:val="en-US" w:eastAsia="zh-CN" w:bidi="ar-SA"/>
        </w:rPr>
        <w:t>个以上分布式起降场、起降点等起降设施以及通信、导航、能源、气象等新型设施，构建安全高效、互联互通的地面基础设施网络。</w:t>
      </w:r>
    </w:p>
    <w:p w14:paraId="3AB691EE">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val="0"/>
          <w:kern w:val="2"/>
          <w:sz w:val="32"/>
          <w:szCs w:val="32"/>
          <w:lang w:val="en-US" w:eastAsia="zh-CN" w:bidi="ar-SA"/>
        </w:rPr>
        <w:t>——应用场景丰富多元。</w:t>
      </w:r>
      <w:r>
        <w:rPr>
          <w:rFonts w:hint="eastAsia" w:ascii="Times New Roman" w:hAnsi="Times New Roman" w:eastAsia="方正仿宋简体" w:cs="方正仿宋简体"/>
          <w:b w:val="0"/>
          <w:bCs w:val="0"/>
          <w:color w:val="000000"/>
          <w:kern w:val="2"/>
          <w:sz w:val="32"/>
          <w:szCs w:val="32"/>
          <w:lang w:val="en-US" w:eastAsia="zh-CN" w:bidi="ar-SA"/>
        </w:rPr>
        <w:t>实现物流运输、应急救援、载人交通、低空文旅、智慧城市等新兴领域的“</w:t>
      </w:r>
      <w:r>
        <w:rPr>
          <w:rFonts w:hint="eastAsia" w:ascii="Times New Roman" w:hAnsi="Times New Roman" w:eastAsia="方正仿宋简体" w:cs="Times New Roman"/>
          <w:b w:val="0"/>
          <w:bCs w:val="0"/>
          <w:color w:val="000000"/>
          <w:kern w:val="2"/>
          <w:sz w:val="32"/>
          <w:szCs w:val="32"/>
          <w:lang w:val="en-US" w:eastAsia="zh-CN" w:bidi="ar-SA"/>
        </w:rPr>
        <w:t>100+</w:t>
      </w:r>
      <w:r>
        <w:rPr>
          <w:rFonts w:hint="eastAsia" w:ascii="Times New Roman" w:hAnsi="Times New Roman" w:eastAsia="方正仿宋简体" w:cs="方正仿宋简体"/>
          <w:b w:val="0"/>
          <w:bCs w:val="0"/>
          <w:color w:val="000000"/>
          <w:kern w:val="2"/>
          <w:sz w:val="32"/>
          <w:szCs w:val="32"/>
          <w:lang w:val="en-US" w:eastAsia="zh-CN" w:bidi="ar-SA"/>
        </w:rPr>
        <w:t>”低空飞行服务应用，形成商业模式。鼓励本区企业在长三角生态绿色一体化发展示范区乃至全国范围开展商业应用。</w:t>
      </w:r>
    </w:p>
    <w:p w14:paraId="60975BE8">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val="0"/>
          <w:kern w:val="2"/>
          <w:sz w:val="32"/>
          <w:szCs w:val="32"/>
          <w:lang w:val="en-US" w:eastAsia="zh-CN" w:bidi="ar-SA"/>
        </w:rPr>
        <w:t>——创新能力显著提升。</w:t>
      </w:r>
      <w:r>
        <w:rPr>
          <w:rFonts w:hint="eastAsia" w:ascii="Times New Roman" w:hAnsi="Times New Roman" w:eastAsia="方正仿宋简体" w:cs="方正仿宋简体"/>
          <w:b w:val="0"/>
          <w:bCs w:val="0"/>
          <w:color w:val="000000"/>
          <w:kern w:val="2"/>
          <w:sz w:val="32"/>
          <w:szCs w:val="32"/>
          <w:lang w:val="en-US" w:eastAsia="zh-CN" w:bidi="ar-SA"/>
        </w:rPr>
        <w:t>布局建设一批市级创新平台，新增市级及以上创新平台</w:t>
      </w:r>
      <w:r>
        <w:rPr>
          <w:rFonts w:hint="default" w:ascii="Times New Roman" w:hAnsi="Times New Roman" w:eastAsia="方正仿宋简体" w:cs="Times New Roman"/>
          <w:b w:val="0"/>
          <w:bCs w:val="0"/>
          <w:color w:val="000000"/>
          <w:kern w:val="2"/>
          <w:sz w:val="32"/>
          <w:szCs w:val="32"/>
          <w:lang w:val="en-US" w:eastAsia="zh-CN" w:bidi="ar-SA"/>
        </w:rPr>
        <w:t>5</w:t>
      </w:r>
      <w:r>
        <w:rPr>
          <w:rFonts w:hint="eastAsia" w:ascii="Times New Roman" w:hAnsi="Times New Roman" w:eastAsia="方正仿宋简体" w:cs="方正仿宋简体"/>
          <w:b w:val="0"/>
          <w:bCs w:val="0"/>
          <w:color w:val="000000"/>
          <w:kern w:val="2"/>
          <w:sz w:val="32"/>
          <w:szCs w:val="32"/>
          <w:lang w:val="en-US" w:eastAsia="zh-CN" w:bidi="ar-SA"/>
        </w:rPr>
        <w:t>家。推动建立检验检测中心、飞行培训中心等相关机构，持续提升低空飞行服务综合保障效能。</w:t>
      </w:r>
    </w:p>
    <w:p w14:paraId="5D292DB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二、重点任务</w:t>
      </w:r>
    </w:p>
    <w:p w14:paraId="0FC85A8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（一）领军企业培育行动</w:t>
      </w:r>
    </w:p>
    <w:p w14:paraId="570680A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1.</w:t>
      </w:r>
      <w:r>
        <w:rPr>
          <w:rFonts w:hint="eastAsia" w:ascii="Times New Roman" w:hAnsi="Times New Roman" w:eastAsia="方正仿宋简体" w:cs="方正仿宋简体"/>
          <w:b/>
          <w:bCs w:val="0"/>
          <w:kern w:val="2"/>
          <w:sz w:val="32"/>
          <w:szCs w:val="32"/>
          <w:lang w:val="en-US" w:eastAsia="zh-CN" w:bidi="ar-SA"/>
        </w:rPr>
        <w:t>培育整机研发制造领军企业。</w:t>
      </w:r>
      <w:r>
        <w:rPr>
          <w:rFonts w:hint="eastAsia" w:ascii="Times New Roman" w:hAnsi="Times New Roman" w:eastAsia="方正仿宋简体" w:cs="方正仿宋简体"/>
          <w:b w:val="0"/>
          <w:bCs w:val="0"/>
          <w:color w:val="000000"/>
          <w:kern w:val="2"/>
          <w:sz w:val="32"/>
          <w:szCs w:val="32"/>
          <w:lang w:val="en-US" w:eastAsia="zh-CN" w:bidi="ar-SA"/>
        </w:rPr>
        <w:t>引育一批工业级无人机、</w:t>
      </w:r>
      <w:r>
        <w:rPr>
          <w:rFonts w:hint="default" w:ascii="Times New Roman" w:hAnsi="Times New Roman" w:eastAsia="方正仿宋简体" w:cs="Times New Roman"/>
          <w:b w:val="0"/>
          <w:bCs w:val="0"/>
          <w:color w:val="000000"/>
          <w:kern w:val="2"/>
          <w:sz w:val="32"/>
          <w:szCs w:val="32"/>
          <w:lang w:val="en-US" w:eastAsia="zh-CN" w:bidi="ar-SA"/>
        </w:rPr>
        <w:t>eVTOL</w:t>
      </w:r>
      <w:r>
        <w:rPr>
          <w:rFonts w:hint="eastAsia" w:ascii="Times New Roman" w:hAnsi="Times New Roman" w:eastAsia="方正仿宋简体" w:cs="方正仿宋简体"/>
          <w:b w:val="0"/>
          <w:bCs w:val="0"/>
          <w:color w:val="000000"/>
          <w:kern w:val="2"/>
          <w:sz w:val="32"/>
          <w:szCs w:val="32"/>
          <w:lang w:val="en-US" w:eastAsia="zh-CN" w:bidi="ar-SA"/>
        </w:rPr>
        <w:t>和新能源及先进通航飞机领军企业。重点研制中远程大载重低空物流无人机，支持研制</w:t>
      </w:r>
      <w:r>
        <w:rPr>
          <w:rFonts w:hint="default" w:ascii="Times New Roman" w:hAnsi="Times New Roman" w:eastAsia="方正仿宋简体" w:cs="Times New Roman"/>
          <w:b w:val="0"/>
          <w:bCs w:val="0"/>
          <w:color w:val="000000"/>
          <w:kern w:val="2"/>
          <w:sz w:val="32"/>
          <w:szCs w:val="32"/>
          <w:lang w:val="en-US" w:eastAsia="zh-CN" w:bidi="ar-SA"/>
        </w:rPr>
        <w:t>4-6</w:t>
      </w:r>
      <w:r>
        <w:rPr>
          <w:rFonts w:hint="eastAsia" w:ascii="Times New Roman" w:hAnsi="Times New Roman" w:eastAsia="方正仿宋简体" w:cs="方正仿宋简体"/>
          <w:b w:val="0"/>
          <w:bCs w:val="0"/>
          <w:color w:val="000000"/>
          <w:kern w:val="2"/>
          <w:sz w:val="32"/>
          <w:szCs w:val="32"/>
          <w:lang w:val="en-US" w:eastAsia="zh-CN" w:bidi="ar-SA"/>
        </w:rPr>
        <w:t>座载人</w:t>
      </w:r>
      <w:r>
        <w:rPr>
          <w:rFonts w:hint="default" w:ascii="Times New Roman" w:hAnsi="Times New Roman" w:eastAsia="方正仿宋简体" w:cs="Times New Roman"/>
          <w:b w:val="0"/>
          <w:bCs w:val="0"/>
          <w:color w:val="000000"/>
          <w:kern w:val="2"/>
          <w:sz w:val="32"/>
          <w:szCs w:val="32"/>
          <w:lang w:val="en-US" w:eastAsia="zh-CN" w:bidi="ar-SA"/>
        </w:rPr>
        <w:t>eVTOL</w:t>
      </w:r>
      <w:r>
        <w:rPr>
          <w:rFonts w:hint="eastAsia" w:ascii="Times New Roman" w:hAnsi="Times New Roman" w:eastAsia="方正仿宋简体" w:cs="方正仿宋简体"/>
          <w:b w:val="0"/>
          <w:bCs w:val="0"/>
          <w:color w:val="000000"/>
          <w:kern w:val="2"/>
          <w:sz w:val="32"/>
          <w:szCs w:val="32"/>
          <w:lang w:val="en-US" w:eastAsia="zh-CN" w:bidi="ar-SA"/>
        </w:rPr>
        <w:t>、</w:t>
      </w:r>
      <w:r>
        <w:rPr>
          <w:rFonts w:hint="default" w:ascii="Times New Roman" w:hAnsi="Times New Roman" w:eastAsia="方正仿宋简体" w:cs="Times New Roman"/>
          <w:b w:val="0"/>
          <w:bCs w:val="0"/>
          <w:color w:val="000000"/>
          <w:kern w:val="2"/>
          <w:sz w:val="32"/>
          <w:szCs w:val="32"/>
          <w:lang w:val="en-US" w:eastAsia="zh-CN" w:bidi="ar-SA"/>
        </w:rPr>
        <w:t>19</w:t>
      </w:r>
      <w:r>
        <w:rPr>
          <w:rFonts w:hint="eastAsia" w:ascii="Times New Roman" w:hAnsi="Times New Roman" w:eastAsia="方正仿宋简体" w:cs="方正仿宋简体"/>
          <w:b w:val="0"/>
          <w:bCs w:val="0"/>
          <w:color w:val="000000"/>
          <w:kern w:val="2"/>
          <w:sz w:val="32"/>
          <w:szCs w:val="32"/>
          <w:lang w:val="en-US" w:eastAsia="zh-CN" w:bidi="ar-SA"/>
        </w:rPr>
        <w:t>座及以下新能源及先进通航飞机等机型，推动产业链上下游企业协同发展。（区经委、区发改委、华新镇、白鹤镇、练塘镇、青浦工业园区、西虹桥公司、新城公司）</w:t>
      </w:r>
    </w:p>
    <w:p w14:paraId="51324A2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val="0"/>
          <w:kern w:val="2"/>
          <w:sz w:val="32"/>
          <w:szCs w:val="32"/>
          <w:lang w:val="en-US" w:eastAsia="zh-CN" w:bidi="ar-SA"/>
        </w:rPr>
        <w:t>2.培育关键配套领军企业。</w:t>
      </w:r>
      <w:r>
        <w:rPr>
          <w:rFonts w:hint="eastAsia" w:ascii="Times New Roman" w:hAnsi="Times New Roman" w:eastAsia="方正仿宋简体" w:cs="方正仿宋简体"/>
          <w:b w:val="0"/>
          <w:bCs w:val="0"/>
          <w:color w:val="000000"/>
          <w:kern w:val="2"/>
          <w:sz w:val="32"/>
          <w:szCs w:val="32"/>
          <w:lang w:val="en-US" w:eastAsia="zh-CN" w:bidi="ar-SA"/>
        </w:rPr>
        <w:t>壮大一批低空领域研发测试、零部件配套、分系统开发领域竞争力强、成长性好的专精特新企业和单项冠军企业，支持企业做大做强。加强原材料、元器件/零部件、三电系统、飞控系统、氢能动力、任务载荷等关键配套产业布局。鼓励青浦存量企业做强做大，并支持企业参与低空经济新赛道。（区经委、区发改委、区科委、白鹤镇、练塘镇、青浦工业园区、新城公司）</w:t>
      </w:r>
    </w:p>
    <w:p w14:paraId="2AD8B92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3.培育低空运营服务领军企业。</w:t>
      </w:r>
      <w:r>
        <w:rPr>
          <w:rFonts w:hint="eastAsia" w:ascii="Times New Roman" w:hAnsi="Times New Roman" w:eastAsia="方正仿宋简体" w:cs="方正仿宋简体"/>
          <w:b w:val="0"/>
          <w:bCs w:val="0"/>
          <w:color w:val="000000"/>
          <w:kern w:val="2"/>
          <w:sz w:val="32"/>
          <w:szCs w:val="32"/>
          <w:lang w:val="en-US" w:eastAsia="zh-CN" w:bidi="ar-SA"/>
        </w:rPr>
        <w:t>培育一批低空运营服务领军企业，以商业应用为导向，支持企业申请民用无人驾驶航空器运营合格证及通用航空经营许可。加快建设低空飞行运营服务体系，支持发展航空销售及贸易，加强供需联动，促进低空研发制造业与运营服务业融合发展。（区经委、区发改委、区商务委、区建管委、徐泾镇、西虹桥公司）</w:t>
      </w:r>
    </w:p>
    <w:p w14:paraId="744F2E0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（二）产业能级跃升行动</w:t>
      </w:r>
    </w:p>
    <w:p w14:paraId="025C4CB9">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4.打造低空经济特色园区。</w:t>
      </w:r>
      <w:r>
        <w:rPr>
          <w:rFonts w:hint="eastAsia" w:ascii="Times New Roman" w:hAnsi="Times New Roman" w:eastAsia="方正仿宋简体" w:cs="方正仿宋简体"/>
          <w:b w:val="0"/>
          <w:bCs w:val="0"/>
          <w:color w:val="000000"/>
          <w:kern w:val="2"/>
          <w:sz w:val="32"/>
          <w:szCs w:val="32"/>
          <w:lang w:val="en-US" w:eastAsia="zh-CN" w:bidi="ar-SA"/>
        </w:rPr>
        <w:t>加大低空经济特色园区的培育建设力度，打造覆盖技术研发、生产制造、运营保障等多元业态、差异化发展的</w:t>
      </w:r>
      <w:r>
        <w:rPr>
          <w:rFonts w:hint="default" w:ascii="Times New Roman" w:hAnsi="Times New Roman" w:eastAsia="方正仿宋简体" w:cs="方正仿宋简体"/>
          <w:b w:val="0"/>
          <w:bCs w:val="0"/>
          <w:color w:val="000000"/>
          <w:kern w:val="2"/>
          <w:sz w:val="32"/>
          <w:szCs w:val="32"/>
          <w:lang w:val="en-US" w:eastAsia="zh-CN" w:bidi="ar-SA"/>
        </w:rPr>
        <w:t>“</w:t>
      </w:r>
      <w:r>
        <w:rPr>
          <w:rFonts w:hint="default" w:ascii="Times New Roman" w:hAnsi="Times New Roman" w:eastAsia="方正仿宋简体" w:cs="Times New Roman"/>
          <w:b w:val="0"/>
          <w:bCs w:val="0"/>
          <w:color w:val="000000"/>
          <w:kern w:val="2"/>
          <w:sz w:val="32"/>
          <w:szCs w:val="32"/>
          <w:lang w:val="en-US" w:eastAsia="zh-CN" w:bidi="ar-SA"/>
        </w:rPr>
        <w:t>1+4</w:t>
      </w:r>
      <w:r>
        <w:rPr>
          <w:rFonts w:hint="default" w:ascii="Times New Roman" w:hAnsi="Times New Roman" w:eastAsia="方正仿宋简体" w:cs="方正仿宋简体"/>
          <w:b w:val="0"/>
          <w:bCs w:val="0"/>
          <w:color w:val="000000"/>
          <w:kern w:val="2"/>
          <w:sz w:val="32"/>
          <w:szCs w:val="32"/>
          <w:lang w:val="en-US" w:eastAsia="zh-CN" w:bidi="ar-SA"/>
        </w:rPr>
        <w:t>”</w:t>
      </w:r>
      <w:r>
        <w:rPr>
          <w:rFonts w:hint="eastAsia" w:ascii="Times New Roman" w:hAnsi="Times New Roman" w:eastAsia="方正仿宋简体" w:cs="方正仿宋简体"/>
          <w:b w:val="0"/>
          <w:bCs w:val="0"/>
          <w:color w:val="000000"/>
          <w:kern w:val="2"/>
          <w:sz w:val="32"/>
          <w:szCs w:val="32"/>
          <w:lang w:val="en-US" w:eastAsia="zh-CN" w:bidi="ar-SA"/>
        </w:rPr>
        <w:t>低空经济产业园区。</w:t>
      </w:r>
      <w:r>
        <w:rPr>
          <w:rFonts w:hint="default" w:ascii="Times New Roman" w:hAnsi="Times New Roman" w:eastAsia="方正仿宋简体" w:cs="方正仿宋简体"/>
          <w:b w:val="0"/>
          <w:bCs w:val="0"/>
          <w:color w:val="000000"/>
          <w:kern w:val="2"/>
          <w:sz w:val="32"/>
          <w:szCs w:val="32"/>
          <w:lang w:val="en-US" w:eastAsia="zh-CN" w:bidi="ar-SA"/>
        </w:rPr>
        <w:t>“</w:t>
      </w:r>
      <w:r>
        <w:rPr>
          <w:rFonts w:hint="default" w:ascii="Times New Roman" w:hAnsi="Times New Roman" w:eastAsia="方正仿宋简体" w:cs="Times New Roman"/>
          <w:b w:val="0"/>
          <w:bCs w:val="0"/>
          <w:color w:val="000000"/>
          <w:kern w:val="2"/>
          <w:sz w:val="32"/>
          <w:szCs w:val="32"/>
          <w:lang w:val="en-US" w:eastAsia="zh-CN" w:bidi="ar-SA"/>
        </w:rPr>
        <w:t>1</w:t>
      </w:r>
      <w:r>
        <w:rPr>
          <w:rFonts w:hint="default" w:ascii="Times New Roman" w:hAnsi="Times New Roman" w:eastAsia="方正仿宋简体" w:cs="方正仿宋简体"/>
          <w:b w:val="0"/>
          <w:bCs w:val="0"/>
          <w:color w:val="000000"/>
          <w:kern w:val="2"/>
          <w:sz w:val="32"/>
          <w:szCs w:val="32"/>
          <w:lang w:val="en-US" w:eastAsia="zh-CN" w:bidi="ar-SA"/>
        </w:rPr>
        <w:t>”</w:t>
      </w:r>
      <w:r>
        <w:rPr>
          <w:rFonts w:hint="eastAsia" w:ascii="Times New Roman" w:hAnsi="Times New Roman" w:eastAsia="方正仿宋简体" w:cs="方正仿宋简体"/>
          <w:b w:val="0"/>
          <w:bCs w:val="0"/>
          <w:color w:val="000000"/>
          <w:kern w:val="2"/>
          <w:sz w:val="32"/>
          <w:szCs w:val="32"/>
          <w:lang w:val="en-US" w:eastAsia="zh-CN" w:bidi="ar-SA"/>
        </w:rPr>
        <w:t>指总部集聚区：在青浦西虹桥区域，全力打造总部经济产业园，集聚北斗西虹桥基地创新要素，构建低空智联基地。“</w:t>
      </w:r>
      <w:r>
        <w:rPr>
          <w:rFonts w:hint="eastAsia" w:ascii="Times New Roman" w:hAnsi="Times New Roman" w:eastAsia="方正仿宋简体" w:cs="Times New Roman"/>
          <w:b w:val="0"/>
          <w:bCs w:val="0"/>
          <w:color w:val="000000"/>
          <w:kern w:val="2"/>
          <w:sz w:val="32"/>
          <w:szCs w:val="32"/>
          <w:lang w:val="en-US" w:eastAsia="zh-CN" w:bidi="ar-SA"/>
        </w:rPr>
        <w:t>4”</w:t>
      </w:r>
      <w:r>
        <w:rPr>
          <w:rFonts w:hint="eastAsia" w:ascii="Times New Roman" w:hAnsi="Times New Roman" w:eastAsia="方正仿宋简体" w:cs="方正仿宋简体"/>
          <w:b w:val="0"/>
          <w:bCs w:val="0"/>
          <w:color w:val="000000"/>
          <w:kern w:val="2"/>
          <w:sz w:val="32"/>
          <w:szCs w:val="32"/>
          <w:lang w:val="en-US" w:eastAsia="zh-CN" w:bidi="ar-SA"/>
        </w:rPr>
        <w:t>指</w:t>
      </w:r>
      <w:r>
        <w:rPr>
          <w:rFonts w:hint="eastAsia" w:ascii="Times New Roman" w:hAnsi="Times New Roman" w:eastAsia="方正仿宋简体" w:cs="Times New Roman"/>
          <w:b w:val="0"/>
          <w:bCs w:val="0"/>
          <w:color w:val="000000"/>
          <w:kern w:val="2"/>
          <w:sz w:val="32"/>
          <w:szCs w:val="32"/>
          <w:lang w:val="en-US" w:eastAsia="zh-CN" w:bidi="ar-SA"/>
        </w:rPr>
        <w:t>4</w:t>
      </w:r>
      <w:r>
        <w:rPr>
          <w:rFonts w:hint="eastAsia" w:ascii="Times New Roman" w:hAnsi="Times New Roman" w:eastAsia="方正仿宋简体" w:cs="方正仿宋简体"/>
          <w:b w:val="0"/>
          <w:bCs w:val="0"/>
          <w:color w:val="000000"/>
          <w:kern w:val="2"/>
          <w:sz w:val="32"/>
          <w:szCs w:val="32"/>
          <w:lang w:val="en-US" w:eastAsia="zh-CN" w:bidi="ar-SA"/>
        </w:rPr>
        <w:t>个产业拓展区：在青浦工业园区区域，依托现有智能制造、新材料、新能源等产业基础，全力打造集研发测试、制造维修于一体的低空经济产业集聚园；在白鹤镇区域，重点打造基于电动垂直起降飞行器智造、运营及测试的低空制造产业园；在练塘镇区域，重点发展多元化低空制造产业园，包括工业级无人机、电动垂直起降飞行器、浮空器、直升机等，建设低空飞行器试飞测试基地；在华新镇区域，基于现有物流产业集群，发展低空物流装备产业。（区经委、区发改委、区商务委、区建管委、区规划资源局、华新镇、白鹤镇、练塘镇、青浦工业园区、西虹桥公司）</w:t>
      </w:r>
    </w:p>
    <w:p w14:paraId="28592959">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5.搭建产业协同创新平台。</w:t>
      </w:r>
      <w:r>
        <w:rPr>
          <w:rFonts w:hint="eastAsia" w:ascii="Times New Roman" w:hAnsi="Times New Roman" w:eastAsia="方正仿宋简体" w:cs="方正仿宋简体"/>
          <w:b w:val="0"/>
          <w:bCs w:val="0"/>
          <w:color w:val="000000"/>
          <w:kern w:val="2"/>
          <w:sz w:val="32"/>
          <w:szCs w:val="32"/>
          <w:lang w:val="en-US" w:eastAsia="zh-CN" w:bidi="ar-SA"/>
        </w:rPr>
        <w:t>建立产业链协同发展机制，推动低空产业链内部各环节深度融合，支持整机企业与零部件企业加强协作，提升产业链韧性和安全水平。推动北斗导航等优势产业与低空经济产业融合发展，支持新一代信息技术、新能源动力、人工智能等领域优势龙头企业提供系统集成解决方案。鼓励领军企业对接科研院校，加强产学研合作和技术创新，积极打造国家级、市级创新联合体、重点实验室等，推动低空经济领域研发及科技创新成果应用。（区经委、区科委、区数据局、青浦工业园区、西虹桥公司）</w:t>
      </w:r>
    </w:p>
    <w:p w14:paraId="456203E3">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6.构建对外联动发展格局。</w:t>
      </w:r>
      <w:r>
        <w:rPr>
          <w:rFonts w:hint="eastAsia" w:ascii="Times New Roman" w:hAnsi="Times New Roman" w:eastAsia="方正仿宋简体" w:cs="方正仿宋简体"/>
          <w:b w:val="0"/>
          <w:bCs w:val="0"/>
          <w:color w:val="000000"/>
          <w:kern w:val="2"/>
          <w:sz w:val="32"/>
          <w:szCs w:val="32"/>
          <w:lang w:val="en-US" w:eastAsia="zh-CN" w:bidi="ar-SA"/>
        </w:rPr>
        <w:t>加强对外联动和创新合作，打造互补发展、共商共赢的低空经济发展格局。支持产业链上下游企业合作开拓国内外市场，输出系统解决方案。鼓励跨国公司、国外科研机构等在青浦区建设前沿技术研发中心，支持相关企业在海外布局开展研发设计、飞行验证和适航取证，扩大国际市场优势。立足长三角区域，加强与全国各地区协同和资源共享。（区经委、区发改委、区科委）</w:t>
      </w:r>
    </w:p>
    <w:p w14:paraId="5E19CDD1">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7.举办低空经济展会论坛。</w:t>
      </w:r>
      <w:r>
        <w:rPr>
          <w:rFonts w:hint="eastAsia" w:ascii="Times New Roman" w:hAnsi="Times New Roman" w:eastAsia="方正仿宋简体" w:cs="方正仿宋简体"/>
          <w:b w:val="0"/>
          <w:bCs w:val="0"/>
          <w:color w:val="000000"/>
          <w:kern w:val="2"/>
          <w:sz w:val="32"/>
          <w:szCs w:val="32"/>
          <w:lang w:val="en-US" w:eastAsia="zh-CN" w:bidi="ar-SA"/>
        </w:rPr>
        <w:t>依托国家会展中心，策划举办低空产业展会和论坛，加快汇聚龙头企业、国内外知名行业组织、科研机构、投融资机构等。邀请行业领袖、专家学者就低空经济发展趋势、技术创新、政策环境等提供智库支持，推动融合交流合作，推介青浦低空产业发展成效。（区商务委、区发改委、区经委、区科委、西虹桥公司）</w:t>
      </w:r>
    </w:p>
    <w:p w14:paraId="7E9D1576">
      <w:pPr>
        <w:bidi w:val="0"/>
        <w:ind w:firstLine="643" w:firstLineChars="200"/>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8.完善低空经济功能平台。</w:t>
      </w:r>
      <w:r>
        <w:rPr>
          <w:rFonts w:hint="eastAsia" w:ascii="Times New Roman" w:hAnsi="Times New Roman" w:eastAsia="方正仿宋简体" w:cs="方正仿宋简体"/>
          <w:b w:val="0"/>
          <w:bCs w:val="0"/>
          <w:color w:val="000000"/>
          <w:kern w:val="2"/>
          <w:sz w:val="32"/>
          <w:szCs w:val="32"/>
          <w:lang w:val="en-US" w:eastAsia="zh-CN" w:bidi="ar-SA"/>
        </w:rPr>
        <w:t>围绕低空经济发展，积极布局技术研发中心、检验检测中心、标准研究中心等一批专业服务中心和功能平台，加快建设低空飞行检测、低空智联网测试、无人机安全性仿真等适航保障体系。支持科研院所、协会组织及企业参与制定地方标准、行业标准、国家标准。（区经委、区建管委、区发改委、区市场监管局、西虹桥公司）</w:t>
      </w:r>
    </w:p>
    <w:p w14:paraId="3FD4F58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（三）基础设施建设行动</w:t>
      </w:r>
    </w:p>
    <w:p w14:paraId="6E30545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9.规划布局起降及保障设施。</w:t>
      </w:r>
      <w:r>
        <w:rPr>
          <w:rFonts w:hint="eastAsia" w:ascii="Times New Roman" w:hAnsi="Times New Roman" w:eastAsia="方正仿宋简体" w:cs="方正仿宋简体"/>
          <w:b w:val="0"/>
          <w:bCs w:val="0"/>
          <w:color w:val="000000"/>
          <w:kern w:val="2"/>
          <w:sz w:val="32"/>
          <w:szCs w:val="32"/>
          <w:lang w:val="en-US" w:eastAsia="zh-CN" w:bidi="ar-SA"/>
        </w:rPr>
        <w:t>结合低空航路航线划设、产业发展、场景应用等实际需求，积极配合市级部门开展通用机场规划研究，参与起降设施规划方案制定，适时启动区内“设施网”的规划和建设，构建多场景、多层次的起降点网络，实现通航飞机与无人机的兼顾使用。有序推进机库、导航通信设施、气象设施、能源设施、航材维修保障平台等地面保障设施。（区规划资源局、区建管委、区发改委、区经委、区气象局）</w:t>
      </w:r>
    </w:p>
    <w:p w14:paraId="30AA0D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10.探索建设航路及服务机制。</w:t>
      </w:r>
      <w:r>
        <w:rPr>
          <w:rFonts w:hint="eastAsia" w:ascii="Times New Roman" w:hAnsi="Times New Roman" w:eastAsia="方正仿宋简体" w:cs="方正仿宋简体"/>
          <w:b w:val="0"/>
          <w:bCs w:val="0"/>
          <w:color w:val="000000"/>
          <w:kern w:val="2"/>
          <w:sz w:val="32"/>
          <w:szCs w:val="32"/>
          <w:lang w:val="en-US" w:eastAsia="zh-CN" w:bidi="ar-SA"/>
        </w:rPr>
        <w:t>积极配合上海市开展低空航路航线划设研究工作，完善全区“航路网”布局，统筹利用城市和区域低空空域资源。探索建立区低空飞行服务站，为低空用户提供飞行活动计划申请、航行情报等“一站式”服务，实现“服务网”全覆盖。（区建管委、区发改委、区经委、区规划资源局、区公安分局）</w:t>
      </w:r>
    </w:p>
    <w:p w14:paraId="62A4FED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11.统筹融合通信及感知网络。</w:t>
      </w:r>
      <w:r>
        <w:rPr>
          <w:rFonts w:hint="eastAsia" w:ascii="Times New Roman" w:hAnsi="Times New Roman" w:eastAsia="方正仿宋简体" w:cs="方正仿宋简体"/>
          <w:b w:val="0"/>
          <w:bCs w:val="0"/>
          <w:color w:val="000000"/>
          <w:kern w:val="2"/>
          <w:sz w:val="32"/>
          <w:szCs w:val="32"/>
          <w:lang w:val="en-US" w:eastAsia="zh-CN" w:bidi="ar-SA"/>
        </w:rPr>
        <w:t>加强“空联网”建设，加快新一代信息技术、北斗导航、卫星互联网、雷达等技术融合，以应用场景需求为牵引，务实有序推进满足本地区低空飞行器应用需求的低空智联网建设，推动实现低空飞行数据互联互通，提升低空感知与通信服务能力。（区经委、区发改委、区数据局、区公安分局）</w:t>
      </w:r>
    </w:p>
    <w:p w14:paraId="6E77180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（四）应用场景拓展行动</w:t>
      </w:r>
    </w:p>
    <w:p w14:paraId="07910E7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12.构建低空工业物流新体系。</w:t>
      </w:r>
      <w:r>
        <w:rPr>
          <w:rFonts w:hint="eastAsia" w:ascii="Times New Roman" w:hAnsi="Times New Roman" w:eastAsia="方正仿宋简体" w:cs="方正仿宋简体"/>
          <w:b w:val="0"/>
          <w:bCs w:val="0"/>
          <w:color w:val="000000"/>
          <w:kern w:val="2"/>
          <w:sz w:val="32"/>
          <w:szCs w:val="32"/>
          <w:lang w:val="en-US" w:eastAsia="zh-CN" w:bidi="ar-SA"/>
        </w:rPr>
        <w:t>以市场需求为牵引，发挥快递物流企业集聚优势，以工业级无人机为发展核心，开展物流</w:t>
      </w:r>
      <w:r>
        <w:rPr>
          <w:rFonts w:hint="default" w:ascii="Times New Roman" w:hAnsi="Times New Roman" w:eastAsia="方正仿宋简体" w:cs="Times New Roman"/>
          <w:b w:val="0"/>
          <w:bCs w:val="0"/>
          <w:color w:val="000000"/>
          <w:kern w:val="2"/>
          <w:sz w:val="32"/>
          <w:szCs w:val="32"/>
          <w:lang w:val="en-US" w:eastAsia="zh-CN" w:bidi="ar-SA"/>
        </w:rPr>
        <w:t>B2B</w:t>
      </w:r>
      <w:r>
        <w:rPr>
          <w:rFonts w:hint="eastAsia" w:ascii="Times New Roman" w:hAnsi="Times New Roman" w:eastAsia="方正仿宋简体" w:cs="方正仿宋简体"/>
          <w:b w:val="0"/>
          <w:bCs w:val="0"/>
          <w:color w:val="000000"/>
          <w:kern w:val="2"/>
          <w:sz w:val="32"/>
          <w:szCs w:val="32"/>
          <w:lang w:val="en-US" w:eastAsia="zh-CN" w:bidi="ar-SA"/>
        </w:rPr>
        <w:t>无人机货运试点，建设多层次低空物流枢纽体系，打造低空物流先行区，并逐步开展跨区、省际及长三角区域物流运输。探索发展低空物流配送场景，因地制宜有序开展高附加值快递等领域低空无人机寄递商业应用。（区商务委、区建管委、区经委、区规划资源局、青浦海关、华新镇、青浦工业园区）</w:t>
      </w:r>
    </w:p>
    <w:p w14:paraId="608F6F5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13.发展城市空中交通新业态。</w:t>
      </w:r>
      <w:r>
        <w:rPr>
          <w:rFonts w:hint="eastAsia" w:ascii="Times New Roman" w:hAnsi="Times New Roman" w:eastAsia="方正仿宋简体" w:cs="方正仿宋简体"/>
          <w:b w:val="0"/>
          <w:bCs w:val="0"/>
          <w:color w:val="000000"/>
          <w:kern w:val="2"/>
          <w:sz w:val="32"/>
          <w:szCs w:val="32"/>
          <w:lang w:val="en-US" w:eastAsia="zh-CN" w:bidi="ar-SA"/>
        </w:rPr>
        <w:t>积极申报国家智慧空中交通试点城区，鼓励企业在青浦新城范围内开展城市低空场景应用，引导企业在虹桥枢纽、沪苏湖铁路练塘站等站点与其他商务区之间开展商业接驳，推动企业开展长三角城市空中交通示范，为大众提供城内城际快捷出行方案。（区建管委、区商务委、区规划资源局、区文旅局、区新城发展办、朱家角镇、练塘镇、金泽镇、青浦工业园区、西虹桥公司）</w:t>
      </w:r>
    </w:p>
    <w:p w14:paraId="1C2166C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14.培育低空文旅消费新动能。</w:t>
      </w:r>
      <w:r>
        <w:rPr>
          <w:rFonts w:hint="eastAsia" w:ascii="Times New Roman" w:hAnsi="Times New Roman" w:eastAsia="方正仿宋简体" w:cs="方正仿宋简体"/>
          <w:b w:val="0"/>
          <w:bCs w:val="0"/>
          <w:color w:val="000000"/>
          <w:kern w:val="2"/>
          <w:sz w:val="32"/>
          <w:szCs w:val="32"/>
          <w:lang w:val="en-US" w:eastAsia="zh-CN" w:bidi="ar-SA"/>
        </w:rPr>
        <w:t>引导支持发展各类低空经济新兴消费项目，开发和推广景区低空观光、旅游体验等多元化低空旅游产品，打造长三角旅游精品航线。实现低空飞行与文化旅游、飞行培训、科普研学、节庆赛事的融合发展，培育航空文化旅游消费市场。（区文旅局、区科委、区公安分局、区体育局、区文旅公司）</w:t>
      </w:r>
    </w:p>
    <w:p w14:paraId="32A0A72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15.赋能低空智慧城市新发展。</w:t>
      </w:r>
      <w:r>
        <w:rPr>
          <w:rFonts w:hint="eastAsia" w:ascii="Times New Roman" w:hAnsi="Times New Roman" w:eastAsia="方正仿宋简体" w:cs="方正仿宋简体"/>
          <w:b w:val="0"/>
          <w:bCs w:val="0"/>
          <w:color w:val="000000"/>
          <w:kern w:val="2"/>
          <w:sz w:val="32"/>
          <w:szCs w:val="32"/>
          <w:lang w:val="en-US" w:eastAsia="zh-CN" w:bidi="ar-SA"/>
        </w:rPr>
        <w:t>深化低空综合平台应用，完善低空飞行器指挥调度体系。支持企业参与应急救援、智慧巡检、城市测绘、智慧农业等领域的应用。推动低空飞行器在公共服务领域服务应用，常态化组织相关单位加强供需对接，拓展应用场景，探索形成可持续的商业模式和成熟的服务方案。（区经委、区农业农村委、区建管委、区卫健委、区公安分局、区规划资源局、区水务局、区应急局、区数据局、区气象局、区城运中心）</w:t>
      </w:r>
    </w:p>
    <w:p w14:paraId="5E2315B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（五）支撑体系建设行动</w:t>
      </w:r>
    </w:p>
    <w:p w14:paraId="15A4A30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16.夯实人才队伍基础。</w:t>
      </w:r>
      <w:r>
        <w:rPr>
          <w:rFonts w:hint="eastAsia" w:ascii="Times New Roman" w:hAnsi="Times New Roman" w:eastAsia="方正仿宋简体" w:cs="方正仿宋简体"/>
          <w:b w:val="0"/>
          <w:bCs w:val="0"/>
          <w:color w:val="000000"/>
          <w:kern w:val="2"/>
          <w:sz w:val="32"/>
          <w:szCs w:val="32"/>
          <w:lang w:val="en-US" w:eastAsia="zh-CN" w:bidi="ar-SA"/>
        </w:rPr>
        <w:t>建立健全低空经济人才引育机制，对符合条件的人才给予高层次人才购房补贴、青年人才租房补贴等政策支持，在落户、安居、子女入学、医疗等方面给予重点保障，并探索形成飞行培训等方面的专项支持举措。围绕研发设计、适航审定、飞行管理、运营服务、检验检测等领域人才需求，规划建设专业科研院所，支持本区中高职院校和培训机构开设新专业。鼓励企业定向人才委培，提供实训场景。通过政产学研用联动，引入和培育一批低空领域行业领军人才等各层次专业人才及科技创新团队，强化人才队伍支撑。（区人才局、区经委、区科委、区人社局、区教育局）</w:t>
      </w:r>
    </w:p>
    <w:p w14:paraId="42F4576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val="0"/>
          <w:kern w:val="2"/>
          <w:sz w:val="32"/>
          <w:szCs w:val="32"/>
          <w:lang w:val="en-US" w:eastAsia="zh-CN" w:bidi="ar-SA"/>
        </w:rPr>
        <w:t>17.强化金融服务支撑。</w:t>
      </w:r>
      <w:r>
        <w:rPr>
          <w:rFonts w:hint="eastAsia" w:ascii="Times New Roman" w:hAnsi="Times New Roman" w:eastAsia="方正仿宋简体" w:cs="方正仿宋简体"/>
          <w:b w:val="0"/>
          <w:bCs w:val="0"/>
          <w:color w:val="000000"/>
          <w:kern w:val="2"/>
          <w:sz w:val="32"/>
          <w:szCs w:val="32"/>
          <w:lang w:val="en-US" w:eastAsia="zh-CN" w:bidi="ar-SA"/>
        </w:rPr>
        <w:t>完善低空经济金融服务体系，引导区级产业创投基金向低空经济产业倾斜，打造专业高效的投融资对接平台。支持头部企业和项目做大做强，扶持低空经济中小型企业健康发展，鼓励本区金融机构积极开展低空金融、低空保险等业务，多渠道助力企业和项目创新发展。（区发改委、区国资委、区财政局、青浦工业园区、西虹桥公司、青发集团）</w:t>
      </w:r>
    </w:p>
    <w:p w14:paraId="6FCB31E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三、保障措施</w:t>
      </w:r>
    </w:p>
    <w:p w14:paraId="1A79FFD4">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加强统筹协调，成立青浦区低空经济产业高质量发展工作专班，加强对全区低空经济产业发展的统筹协调，细化落实各相关单位职责分工，推进低空经济重大项目建设，督导工作任务有效落实。加大政策支持，制订青浦区低空经济产业高质量发展专项扶持政策，有效配套保障低空产业重点任务，优化专项资金、办公场所、建设用地等要素资源支持，打造具有竞争力的低空经济产业发展政策体系。提升安全保障，强化安全风险管理，建立健全低空飞行测试及应用的风险防范机制，制定应急预案，开展应急演练，提升城市空中交通安全保障能力，安全有序推进低空产业集聚发展。</w:t>
      </w:r>
    </w:p>
    <w:p w14:paraId="1086416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4E97AD7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关于印发《黄浦区关于优化和加强投资促进工作 推动文旅服务业高质量发展实施办法》</w:t>
      </w:r>
    </w:p>
    <w:p w14:paraId="3ACE458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的通知</w:t>
      </w:r>
    </w:p>
    <w:p w14:paraId="79E1C3F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4110E5B4">
      <w:pPr>
        <w:bidi w:val="0"/>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各有关单位：</w:t>
      </w:r>
    </w:p>
    <w:p w14:paraId="1D193920">
      <w:pPr>
        <w:bidi w:val="0"/>
        <w:ind w:firstLine="640" w:firstLineChars="200"/>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现将《黄浦区关于优化和加强投资促进工作 推动文旅服务业高质量发展的实施办法》印发给你们，请遵照执行。</w:t>
      </w:r>
    </w:p>
    <w:p w14:paraId="56BB0CF8">
      <w:pPr>
        <w:bidi w:val="0"/>
        <w:ind w:firstLine="640" w:firstLineChars="200"/>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rPr>
        <w:t>特此通知。</w:t>
      </w:r>
    </w:p>
    <w:p w14:paraId="7EC219CC">
      <w:pPr>
        <w:bidi w:val="0"/>
        <w:rPr>
          <w:rFonts w:hint="eastAsia" w:ascii="Times New Roman" w:hAnsi="Times New Roman" w:eastAsia="方正仿宋简体" w:cs="方正仿宋简体"/>
          <w:b w:val="0"/>
          <w:bCs w:val="0"/>
          <w:color w:val="000000"/>
          <w:sz w:val="32"/>
          <w:szCs w:val="32"/>
          <w:lang w:val="en-US" w:eastAsia="zh-CN"/>
        </w:rPr>
      </w:pPr>
    </w:p>
    <w:p w14:paraId="43B0A94C">
      <w:pPr>
        <w:bidi w:val="0"/>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黄浦区文化和旅游局               黄浦区发展和改革委员会</w:t>
      </w:r>
    </w:p>
    <w:p w14:paraId="15DF6478">
      <w:pPr>
        <w:tabs>
          <w:tab w:val="left" w:pos="2348"/>
        </w:tabs>
        <w:bidi w:val="0"/>
        <w:jc w:val="center"/>
        <w:rPr>
          <w:rFonts w:hint="eastAsia" w:ascii="Times New Roman" w:hAnsi="Times New Roman" w:eastAsia="方正仿宋简体" w:cs="方正仿宋简体"/>
          <w:b w:val="0"/>
          <w:bCs w:val="0"/>
          <w:color w:val="000000"/>
          <w:sz w:val="32"/>
          <w:szCs w:val="32"/>
          <w:lang w:val="en-US" w:eastAsia="zh-CN"/>
        </w:rPr>
      </w:pPr>
    </w:p>
    <w:p w14:paraId="1E1F7C08">
      <w:pPr>
        <w:tabs>
          <w:tab w:val="left" w:pos="2348"/>
        </w:tabs>
        <w:bidi w:val="0"/>
        <w:jc w:val="center"/>
        <w:rPr>
          <w:rFonts w:hint="eastAsia" w:ascii="Times New Roman" w:hAnsi="Times New Roman" w:eastAsia="方正仿宋简体" w:cs="方正仿宋简体"/>
          <w:b w:val="0"/>
          <w:bCs w:val="0"/>
          <w:color w:val="000000"/>
          <w:sz w:val="32"/>
          <w:szCs w:val="32"/>
          <w:lang w:val="en-US" w:eastAsia="zh-CN"/>
        </w:rPr>
      </w:pPr>
    </w:p>
    <w:p w14:paraId="5CFEE8EF">
      <w:pPr>
        <w:tabs>
          <w:tab w:val="left" w:pos="2348"/>
        </w:tabs>
        <w:bidi w:val="0"/>
        <w:jc w:val="center"/>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黄浦区投资促进办公室</w:t>
      </w:r>
    </w:p>
    <w:p w14:paraId="5096E454">
      <w:pPr>
        <w:tabs>
          <w:tab w:val="left" w:pos="2348"/>
        </w:tabs>
        <w:bidi w:val="0"/>
        <w:jc w:val="center"/>
        <w:rPr>
          <w:rFonts w:hint="eastAsia"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w:t>
      </w:r>
      <w:r>
        <w:rPr>
          <w:rFonts w:hint="eastAsia" w:ascii="Times New Roman" w:hAnsi="Times New Roman" w:eastAsia="方正仿宋简体" w:cs="Times New Roman"/>
          <w:b w:val="0"/>
          <w:bCs w:val="0"/>
          <w:color w:val="000000"/>
          <w:sz w:val="32"/>
          <w:szCs w:val="32"/>
          <w:lang w:val="en-US" w:eastAsia="zh-CN"/>
        </w:rPr>
        <w:t>4</w:t>
      </w:r>
      <w:r>
        <w:rPr>
          <w:rFonts w:hint="default" w:ascii="Times New Roman" w:hAnsi="Times New Roman" w:eastAsia="方正仿宋简体" w:cs="Times New Roman"/>
          <w:b w:val="0"/>
          <w:bCs w:val="0"/>
          <w:color w:val="000000"/>
          <w:sz w:val="32"/>
          <w:szCs w:val="32"/>
        </w:rPr>
        <w:t xml:space="preserve"> </w:t>
      </w:r>
      <w:r>
        <w:rPr>
          <w:rFonts w:hint="eastAsia"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 xml:space="preserve"> 1</w:t>
      </w:r>
      <w:r>
        <w:rPr>
          <w:rFonts w:hint="eastAsia" w:ascii="Times New Roman" w:hAnsi="Times New Roman" w:eastAsia="方正仿宋简体" w:cs="Times New Roman"/>
          <w:b w:val="0"/>
          <w:bCs w:val="0"/>
          <w:color w:val="000000"/>
          <w:sz w:val="32"/>
          <w:szCs w:val="32"/>
          <w:lang w:val="en-US" w:eastAsia="zh-CN"/>
        </w:rPr>
        <w:t>1</w:t>
      </w:r>
      <w:r>
        <w:rPr>
          <w:rFonts w:hint="default" w:ascii="Times New Roman" w:hAnsi="Times New Roman" w:eastAsia="方正仿宋简体" w:cs="Times New Roman"/>
          <w:b w:val="0"/>
          <w:bCs w:val="0"/>
          <w:color w:val="000000"/>
          <w:sz w:val="32"/>
          <w:szCs w:val="32"/>
        </w:rPr>
        <w:t xml:space="preserve"> </w:t>
      </w:r>
      <w:r>
        <w:rPr>
          <w:rFonts w:hint="eastAsia" w:ascii="Times New Roman" w:hAnsi="Times New Roman" w:eastAsia="方正仿宋简体" w:cs="方正仿宋简体"/>
          <w:b w:val="0"/>
          <w:bCs w:val="0"/>
          <w:color w:val="000000"/>
          <w:sz w:val="32"/>
          <w:szCs w:val="32"/>
        </w:rPr>
        <w:t>月</w:t>
      </w:r>
      <w:r>
        <w:rPr>
          <w:rFonts w:hint="default" w:ascii="Times New Roman" w:hAnsi="Times New Roman" w:eastAsia="方正仿宋简体" w:cs="Times New Roman"/>
          <w:b w:val="0"/>
          <w:bCs w:val="0"/>
          <w:color w:val="000000"/>
          <w:sz w:val="32"/>
          <w:szCs w:val="32"/>
        </w:rPr>
        <w:t xml:space="preserve"> </w:t>
      </w:r>
      <w:r>
        <w:rPr>
          <w:rFonts w:hint="eastAsia" w:ascii="Times New Roman" w:hAnsi="Times New Roman" w:eastAsia="方正仿宋简体" w:cs="Times New Roman"/>
          <w:b w:val="0"/>
          <w:bCs w:val="0"/>
          <w:color w:val="000000"/>
          <w:sz w:val="32"/>
          <w:szCs w:val="32"/>
          <w:lang w:val="en-US" w:eastAsia="zh-CN"/>
        </w:rPr>
        <w:t>29</w:t>
      </w:r>
      <w:r>
        <w:rPr>
          <w:rFonts w:hint="eastAsia" w:ascii="Times New Roman" w:hAnsi="Times New Roman" w:eastAsia="方正仿宋简体" w:cs="方正仿宋简体"/>
          <w:b w:val="0"/>
          <w:bCs w:val="0"/>
          <w:color w:val="000000"/>
          <w:sz w:val="32"/>
          <w:szCs w:val="32"/>
        </w:rPr>
        <w:t>日</w:t>
      </w:r>
    </w:p>
    <w:p w14:paraId="0382C83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 xml:space="preserve">黄浦区关于优化和加强投资促进工作 </w:t>
      </w:r>
    </w:p>
    <w:p w14:paraId="532ED1A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推动文旅服务业高质量发展实施办法</w:t>
      </w:r>
    </w:p>
    <w:p w14:paraId="1273D11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35EB899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为贯彻落实《关于加快本市文化创意产业创新发展的若干意见》、《关于促进上海旅游高品质发展加快建成世界著名旅游城市的若干意见》等文件精神，推进《黄浦区关于优化和加强投资促进工作 加快培育新质生产力 推动产业高质量发展的指导意见》政策落地，引育更多具有引领性、创新性、前瞻性的优质企业、优质项目，健全现代文化产业体系和旅游产业体系，推动各类文旅市场主体发展壮大，培育新型文旅新业态和文旅消费模式，因地制宜发展新质生产力体制机制，健全促进实体经济和数字经济深度融合制度。以更高水平的政策供给和服务，推动市场主体长期健康发展，促进黄浦区文化和旅游产业高质量发展，倾力打造习近平文化思想最佳实践地核心示范区，制定本办法。</w:t>
      </w:r>
    </w:p>
    <w:p w14:paraId="361FF0F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一、适用范围</w:t>
      </w:r>
    </w:p>
    <w:p w14:paraId="3D687BA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kern w:val="2"/>
          <w:sz w:val="32"/>
          <w:szCs w:val="32"/>
          <w:lang w:val="en-US" w:eastAsia="zh-CN" w:bidi="ar-SA"/>
        </w:rPr>
        <w:t>本政策适用于在黄浦区的企业及其他机构。相关主体须有健全的财务管理制度，会计核算规范，资产及经营状况良好、财务状况良好、无违法和严重失信行为。</w:t>
      </w:r>
    </w:p>
    <w:p w14:paraId="22DF985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二、主要举措</w:t>
      </w:r>
    </w:p>
    <w:p w14:paraId="737B5D4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（一）促进文旅产业能级提升</w:t>
      </w:r>
    </w:p>
    <w:p w14:paraId="5BA5454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1.</w:t>
      </w:r>
      <w:r>
        <w:rPr>
          <w:rFonts w:hint="eastAsia" w:ascii="Times New Roman" w:hAnsi="Times New Roman" w:eastAsia="方正仿宋简体" w:cs="方正仿宋简体"/>
          <w:b/>
          <w:bCs/>
          <w:color w:val="000000"/>
          <w:kern w:val="2"/>
          <w:sz w:val="32"/>
          <w:szCs w:val="32"/>
          <w:lang w:val="en-US" w:eastAsia="zh-CN" w:bidi="ar-SA"/>
        </w:rPr>
        <w:t>强化企业引领带动效应。</w:t>
      </w:r>
      <w:r>
        <w:rPr>
          <w:rFonts w:hint="eastAsia" w:ascii="Times New Roman" w:hAnsi="Times New Roman" w:eastAsia="方正仿宋简体" w:cs="方正仿宋简体"/>
          <w:b w:val="0"/>
          <w:bCs w:val="0"/>
          <w:color w:val="000000"/>
          <w:kern w:val="2"/>
          <w:sz w:val="32"/>
          <w:szCs w:val="32"/>
          <w:lang w:val="en-US" w:eastAsia="zh-CN" w:bidi="ar-SA"/>
        </w:rPr>
        <w:t>支持企业在文旅产业链上发挥示范引领作用，促进上下游企业集聚，提升区域相应文旅产业能级和规模。经综合评估，给予最高不超过</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52DD084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2.</w:t>
      </w:r>
      <w:r>
        <w:rPr>
          <w:rFonts w:hint="eastAsia" w:ascii="Times New Roman" w:hAnsi="Times New Roman" w:eastAsia="方正仿宋简体" w:cs="方正仿宋简体"/>
          <w:b/>
          <w:bCs/>
          <w:color w:val="000000"/>
          <w:kern w:val="2"/>
          <w:sz w:val="32"/>
          <w:szCs w:val="32"/>
          <w:lang w:val="en-US" w:eastAsia="zh-CN" w:bidi="ar-SA"/>
        </w:rPr>
        <w:t>支持文旅企业做大做强。</w:t>
      </w:r>
      <w:r>
        <w:rPr>
          <w:rFonts w:hint="eastAsia" w:ascii="Times New Roman" w:hAnsi="Times New Roman" w:eastAsia="方正仿宋简体" w:cs="方正仿宋简体"/>
          <w:b w:val="0"/>
          <w:bCs w:val="0"/>
          <w:color w:val="000000"/>
          <w:kern w:val="2"/>
          <w:sz w:val="32"/>
          <w:szCs w:val="32"/>
          <w:lang w:val="en-US" w:eastAsia="zh-CN" w:bidi="ar-SA"/>
        </w:rPr>
        <w:t>支持企业进行国际国内市场拓展，扩大企业经营规模和交易规模，实现企业社会效益和经济效益有效增长。经综合评估，给予不超过</w:t>
      </w:r>
      <w:r>
        <w:rPr>
          <w:rFonts w:hint="default" w:ascii="Times New Roman" w:hAnsi="Times New Roman" w:eastAsia="方正仿宋简体" w:cs="Times New Roman"/>
          <w:b w:val="0"/>
          <w:bCs w:val="0"/>
          <w:color w:val="000000"/>
          <w:kern w:val="2"/>
          <w:sz w:val="32"/>
          <w:szCs w:val="32"/>
          <w:lang w:val="en-US" w:eastAsia="zh-CN" w:bidi="ar-SA"/>
        </w:rPr>
        <w:t>5000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396721E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3.</w:t>
      </w:r>
      <w:r>
        <w:rPr>
          <w:rFonts w:hint="eastAsia" w:ascii="Times New Roman" w:hAnsi="Times New Roman" w:eastAsia="方正仿宋简体" w:cs="方正仿宋简体"/>
          <w:b/>
          <w:bCs/>
          <w:color w:val="000000"/>
          <w:kern w:val="2"/>
          <w:sz w:val="32"/>
          <w:szCs w:val="32"/>
          <w:lang w:val="en-US" w:eastAsia="zh-CN" w:bidi="ar-SA"/>
        </w:rPr>
        <w:t>文旅企业品牌化发展。</w:t>
      </w:r>
      <w:r>
        <w:rPr>
          <w:rFonts w:hint="eastAsia" w:ascii="Times New Roman" w:hAnsi="Times New Roman" w:eastAsia="方正仿宋简体" w:cs="方正仿宋简体"/>
          <w:b w:val="0"/>
          <w:bCs w:val="0"/>
          <w:color w:val="000000"/>
          <w:kern w:val="2"/>
          <w:sz w:val="32"/>
          <w:szCs w:val="32"/>
          <w:lang w:val="en-US" w:eastAsia="zh-CN" w:bidi="ar-SA"/>
        </w:rPr>
        <w:t>支持企业提升品牌形象和品牌价值，参与行业标准制定，提高企业品牌知名度和美誉度。经综合评估，给予不超过</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430DCB7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4.</w:t>
      </w:r>
      <w:r>
        <w:rPr>
          <w:rFonts w:hint="eastAsia" w:ascii="Times New Roman" w:hAnsi="Times New Roman" w:eastAsia="方正仿宋简体" w:cs="方正仿宋简体"/>
          <w:b/>
          <w:bCs/>
          <w:color w:val="000000"/>
          <w:kern w:val="2"/>
          <w:sz w:val="32"/>
          <w:szCs w:val="32"/>
          <w:lang w:val="en-US" w:eastAsia="zh-CN" w:bidi="ar-SA"/>
        </w:rPr>
        <w:t>支持文旅新质生产力发展。</w:t>
      </w:r>
      <w:r>
        <w:rPr>
          <w:rFonts w:hint="eastAsia" w:ascii="Times New Roman" w:hAnsi="Times New Roman" w:eastAsia="方正仿宋简体" w:cs="方正仿宋简体"/>
          <w:b w:val="0"/>
          <w:bCs w:val="0"/>
          <w:color w:val="000000"/>
          <w:kern w:val="2"/>
          <w:sz w:val="32"/>
          <w:szCs w:val="32"/>
          <w:lang w:val="en-US" w:eastAsia="zh-CN" w:bidi="ar-SA"/>
        </w:rPr>
        <w:t>支持企业以科技为支撑，创新为驱动，以文化创意为核心内容，实现企业文化产品和服务质量的有效提升。经综合评估，给予不超过</w:t>
      </w:r>
      <w:r>
        <w:rPr>
          <w:rFonts w:hint="default" w:ascii="Times New Roman" w:hAnsi="Times New Roman" w:eastAsia="方正仿宋简体" w:cs="Times New Roman"/>
          <w:b w:val="0"/>
          <w:bCs w:val="0"/>
          <w:color w:val="000000"/>
          <w:kern w:val="2"/>
          <w:sz w:val="32"/>
          <w:szCs w:val="32"/>
          <w:lang w:val="en-US" w:eastAsia="zh-CN" w:bidi="ar-SA"/>
        </w:rPr>
        <w:t>2000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09431F2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5.</w:t>
      </w:r>
      <w:r>
        <w:rPr>
          <w:rFonts w:hint="eastAsia" w:ascii="Times New Roman" w:hAnsi="Times New Roman" w:eastAsia="方正仿宋简体" w:cs="方正仿宋简体"/>
          <w:b/>
          <w:bCs/>
          <w:color w:val="000000"/>
          <w:kern w:val="2"/>
          <w:sz w:val="32"/>
          <w:szCs w:val="32"/>
          <w:lang w:val="en-US" w:eastAsia="zh-CN" w:bidi="ar-SA"/>
        </w:rPr>
        <w:t>鼓励文旅领域社会组织发挥作用。</w:t>
      </w:r>
      <w:r>
        <w:rPr>
          <w:rFonts w:hint="eastAsia" w:ascii="Times New Roman" w:hAnsi="Times New Roman" w:eastAsia="方正仿宋简体" w:cs="方正仿宋简体"/>
          <w:b w:val="0"/>
          <w:bCs w:val="0"/>
          <w:color w:val="000000"/>
          <w:kern w:val="2"/>
          <w:sz w:val="32"/>
          <w:szCs w:val="32"/>
          <w:lang w:val="en-US" w:eastAsia="zh-CN" w:bidi="ar-SA"/>
        </w:rPr>
        <w:t>支持国内外文旅领域知名社会组织发挥行业促进和桥梁纽带作用，开展各类具有影响力的行业活动和服务。经综合评估，给予不超过</w:t>
      </w:r>
      <w:r>
        <w:rPr>
          <w:rFonts w:hint="default" w:ascii="Times New Roman" w:hAnsi="Times New Roman" w:eastAsia="方正仿宋简体" w:cs="Times New Roman"/>
          <w:b w:val="0"/>
          <w:bCs w:val="0"/>
          <w:color w:val="000000"/>
          <w:kern w:val="2"/>
          <w:sz w:val="32"/>
          <w:szCs w:val="32"/>
          <w:lang w:val="en-US" w:eastAsia="zh-CN" w:bidi="ar-SA"/>
        </w:rPr>
        <w:t>200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78D2793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（二）激发文旅产业发展动能</w:t>
      </w:r>
    </w:p>
    <w:p w14:paraId="2B11DB4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6.</w:t>
      </w:r>
      <w:r>
        <w:rPr>
          <w:rFonts w:hint="eastAsia" w:ascii="Times New Roman" w:hAnsi="Times New Roman" w:eastAsia="方正仿宋简体" w:cs="方正仿宋简体"/>
          <w:b/>
          <w:bCs/>
          <w:color w:val="000000"/>
          <w:kern w:val="2"/>
          <w:sz w:val="32"/>
          <w:szCs w:val="32"/>
          <w:lang w:val="en-US" w:eastAsia="zh-CN" w:bidi="ar-SA"/>
        </w:rPr>
        <w:t>支持数字文旅产业发展。</w:t>
      </w:r>
      <w:r>
        <w:rPr>
          <w:rFonts w:hint="eastAsia" w:ascii="Times New Roman" w:hAnsi="Times New Roman" w:eastAsia="方正仿宋简体" w:cs="方正仿宋简体"/>
          <w:b w:val="0"/>
          <w:bCs w:val="0"/>
          <w:color w:val="000000"/>
          <w:kern w:val="2"/>
          <w:sz w:val="32"/>
          <w:szCs w:val="32"/>
          <w:lang w:val="en-US" w:eastAsia="zh-CN" w:bidi="ar-SA"/>
        </w:rPr>
        <w:t>支持企业创新推出数字文旅项目，赋能传统文旅领域，提升传统文旅场馆、行业资源的利用效率和价值。经综合评估，给予不超过</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716EA04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7.</w:t>
      </w:r>
      <w:r>
        <w:rPr>
          <w:rFonts w:hint="eastAsia" w:ascii="Times New Roman" w:hAnsi="Times New Roman" w:eastAsia="方正仿宋简体" w:cs="方正仿宋简体"/>
          <w:b/>
          <w:bCs/>
          <w:color w:val="000000"/>
          <w:kern w:val="2"/>
          <w:sz w:val="32"/>
          <w:szCs w:val="32"/>
          <w:lang w:val="en-US" w:eastAsia="zh-CN" w:bidi="ar-SA"/>
        </w:rPr>
        <w:t>支持产业融合创新发展。</w:t>
      </w:r>
      <w:r>
        <w:rPr>
          <w:rFonts w:hint="eastAsia" w:ascii="Times New Roman" w:hAnsi="Times New Roman" w:eastAsia="方正仿宋简体" w:cs="方正仿宋简体"/>
          <w:b w:val="0"/>
          <w:bCs w:val="0"/>
          <w:color w:val="000000"/>
          <w:kern w:val="2"/>
          <w:sz w:val="32"/>
          <w:szCs w:val="32"/>
          <w:lang w:val="en-US" w:eastAsia="zh-CN" w:bidi="ar-SA"/>
        </w:rPr>
        <w:t>支持企业开展商旅文体展融合发展，创新融合方式和路径；支持企业开展文旅与金融和科技的融合发展，创新商业模式和业态。经综合评估，给于不超过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00BEE6C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8.</w:t>
      </w:r>
      <w:r>
        <w:rPr>
          <w:rFonts w:hint="eastAsia" w:ascii="Times New Roman" w:hAnsi="Times New Roman" w:eastAsia="方正仿宋简体" w:cs="方正仿宋简体"/>
          <w:b/>
          <w:bCs/>
          <w:color w:val="000000"/>
          <w:kern w:val="2"/>
          <w:sz w:val="32"/>
          <w:szCs w:val="32"/>
          <w:lang w:val="en-US" w:eastAsia="zh-CN" w:bidi="ar-SA"/>
        </w:rPr>
        <w:t>支持文旅吸引扩大消费。</w:t>
      </w:r>
      <w:r>
        <w:rPr>
          <w:rFonts w:hint="eastAsia" w:ascii="Times New Roman" w:hAnsi="Times New Roman" w:eastAsia="方正仿宋简体" w:cs="方正仿宋简体"/>
          <w:b w:val="0"/>
          <w:bCs w:val="0"/>
          <w:color w:val="000000"/>
          <w:kern w:val="2"/>
          <w:sz w:val="32"/>
          <w:szCs w:val="32"/>
          <w:lang w:val="en-US" w:eastAsia="zh-CN" w:bidi="ar-SA"/>
        </w:rPr>
        <w:t>支持企业开展高品质文艺演出、音乐节、高流量文博美术大展，有影响力的重大体育赛事，以及商旅文体展联合促销活动，有效带动其他消费增长。经综合评估，给予不超过</w:t>
      </w:r>
      <w:r>
        <w:rPr>
          <w:rFonts w:hint="default" w:ascii="Times New Roman" w:hAnsi="Times New Roman" w:eastAsia="方正仿宋简体" w:cs="Times New Roman"/>
          <w:b w:val="0"/>
          <w:bCs w:val="0"/>
          <w:color w:val="000000"/>
          <w:kern w:val="2"/>
          <w:sz w:val="32"/>
          <w:szCs w:val="32"/>
          <w:lang w:val="en-US" w:eastAsia="zh-CN" w:bidi="ar-SA"/>
        </w:rPr>
        <w:t>100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4C07684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bCs/>
          <w:color w:val="000000"/>
          <w:kern w:val="2"/>
          <w:sz w:val="32"/>
          <w:szCs w:val="32"/>
          <w:lang w:val="en-US" w:eastAsia="zh-CN" w:bidi="ar-SA"/>
        </w:rPr>
        <w:t>9.</w:t>
      </w:r>
      <w:r>
        <w:rPr>
          <w:rFonts w:hint="eastAsia" w:ascii="Times New Roman" w:hAnsi="Times New Roman" w:eastAsia="方正仿宋简体" w:cs="方正仿宋简体"/>
          <w:b/>
          <w:bCs/>
          <w:color w:val="000000"/>
          <w:kern w:val="2"/>
          <w:sz w:val="32"/>
          <w:szCs w:val="32"/>
          <w:lang w:val="en-US" w:eastAsia="zh-CN" w:bidi="ar-SA"/>
        </w:rPr>
        <w:t>支持重点产业服务平台和要素市场平台打造。</w:t>
      </w:r>
      <w:r>
        <w:rPr>
          <w:rFonts w:hint="eastAsia" w:ascii="Times New Roman" w:hAnsi="Times New Roman" w:eastAsia="方正仿宋简体" w:cs="方正仿宋简体"/>
          <w:b w:val="0"/>
          <w:bCs w:val="0"/>
          <w:color w:val="000000"/>
          <w:kern w:val="2"/>
          <w:sz w:val="32"/>
          <w:szCs w:val="32"/>
          <w:lang w:val="en-US" w:eastAsia="zh-CN" w:bidi="ar-SA"/>
        </w:rPr>
        <w:t>支持企业开展重点产业领域的产融对接、资源整合、人才培育、内容创作等服务平台建设以及知识产权、资本等要素市场平台建设，经综合评估，给予不超过</w:t>
      </w:r>
      <w:r>
        <w:rPr>
          <w:rFonts w:hint="default" w:ascii="Times New Roman" w:hAnsi="Times New Roman" w:eastAsia="方正仿宋简体" w:cs="Times New Roman"/>
          <w:b w:val="0"/>
          <w:bCs w:val="0"/>
          <w:color w:val="000000"/>
          <w:kern w:val="2"/>
          <w:sz w:val="32"/>
          <w:szCs w:val="32"/>
          <w:lang w:val="en-US" w:eastAsia="zh-CN" w:bidi="ar-SA"/>
        </w:rPr>
        <w:t>100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04A7D0F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10.</w:t>
      </w:r>
      <w:r>
        <w:rPr>
          <w:rFonts w:hint="eastAsia" w:ascii="Times New Roman" w:hAnsi="Times New Roman" w:eastAsia="方正仿宋简体" w:cs="方正仿宋简体"/>
          <w:b/>
          <w:bCs/>
          <w:color w:val="000000"/>
          <w:kern w:val="2"/>
          <w:sz w:val="32"/>
          <w:szCs w:val="32"/>
          <w:lang w:val="en-US" w:eastAsia="zh-CN" w:bidi="ar-SA"/>
        </w:rPr>
        <w:t>加大对优质文旅项目的配套资金支持。</w:t>
      </w:r>
      <w:r>
        <w:rPr>
          <w:rFonts w:hint="eastAsia" w:ascii="Times New Roman" w:hAnsi="Times New Roman" w:eastAsia="方正仿宋简体" w:cs="方正仿宋简体"/>
          <w:b w:val="0"/>
          <w:bCs w:val="0"/>
          <w:color w:val="000000"/>
          <w:kern w:val="2"/>
          <w:sz w:val="32"/>
          <w:szCs w:val="32"/>
          <w:lang w:val="en-US" w:eastAsia="zh-CN" w:bidi="ar-SA"/>
        </w:rPr>
        <w:t>支持企业积极申报国家、上海市支持的文旅产业项目。经综合评估，按照国家和市有关规定给予一定的区级配套资助。</w:t>
      </w:r>
    </w:p>
    <w:p w14:paraId="621855D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（三）支持重点文旅产业发展</w:t>
      </w:r>
    </w:p>
    <w:p w14:paraId="20047A6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11.支持旅游会展产业发展。</w:t>
      </w:r>
      <w:r>
        <w:rPr>
          <w:rFonts w:hint="eastAsia" w:ascii="Times New Roman" w:hAnsi="Times New Roman" w:eastAsia="方正仿宋简体" w:cs="方正仿宋简体"/>
          <w:b w:val="0"/>
          <w:bCs w:val="0"/>
          <w:color w:val="000000"/>
          <w:kern w:val="2"/>
          <w:sz w:val="32"/>
          <w:szCs w:val="32"/>
          <w:lang w:val="en-US" w:eastAsia="zh-CN" w:bidi="ar-SA"/>
        </w:rPr>
        <w:t>支持企业举办符合区域产业发展方向，且引领带动作用强的优质展会和会奖商旅项目；支持企业应用新媒体、新技术开展境外营销推广；支持企业参加海外旅游展览和推广活动。经综合评估，给予不超过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5CD7B3C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12.支持演艺、影视和音乐产业发展。</w:t>
      </w:r>
      <w:r>
        <w:rPr>
          <w:rFonts w:hint="eastAsia" w:ascii="Times New Roman" w:hAnsi="Times New Roman" w:eastAsia="方正仿宋简体" w:cs="方正仿宋简体"/>
          <w:b w:val="0"/>
          <w:bCs w:val="0"/>
          <w:color w:val="000000"/>
          <w:kern w:val="2"/>
          <w:sz w:val="32"/>
          <w:szCs w:val="32"/>
          <w:lang w:val="en-US" w:eastAsia="zh-CN" w:bidi="ar-SA"/>
        </w:rPr>
        <w:t>支持企业开展国内外精品演艺剧目的首演、首秀及驻场演出；支持开展首演并进行国内外巡演项目；支持有影响力的演艺项目活动实施‘出海’计划；支持开展原创剧目的孵化、制作、演出；支持与演艺活动相关的专业节展、品牌推介以及主题论坛等；支持建设专业剧场。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67271F1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支持影视产业发展。鼓励企业参加影视节展并获得主要奖项；支持企业在电视台或主要视频网络平台进行首播；鼓励企业影视项目立项；支持企业制作出品内容精良、形式创新的综艺、网剧、微短剧等作品。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万元资金支持。</w:t>
      </w:r>
    </w:p>
    <w:p w14:paraId="12D5933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支持音乐产业发展。支持企业举办国内外知名及原创音乐节、音乐赛事等音乐类活动。经综合评估，给予不超过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3FFA45E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13.支持艺术产业发展。</w:t>
      </w:r>
      <w:r>
        <w:rPr>
          <w:rFonts w:hint="eastAsia" w:ascii="Times New Roman" w:hAnsi="Times New Roman" w:eastAsia="方正仿宋简体" w:cs="方正仿宋简体"/>
          <w:b w:val="0"/>
          <w:bCs w:val="0"/>
          <w:color w:val="000000"/>
          <w:kern w:val="2"/>
          <w:sz w:val="32"/>
          <w:szCs w:val="32"/>
          <w:lang w:val="en-US" w:eastAsia="zh-CN" w:bidi="ar-SA"/>
        </w:rPr>
        <w:t>支持企业建设集艺术创作交易、展览展示、鉴定评估、艺术培训、金融服务等功能为一体的艺术产业空间综合体，并支持运营管理和功能打造；支持企业举办国内外知名及原创艺术产业活动项目。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63FF7B7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14.支持电竞产业发展。</w:t>
      </w:r>
      <w:r>
        <w:rPr>
          <w:rFonts w:hint="eastAsia" w:ascii="Times New Roman" w:hAnsi="Times New Roman" w:eastAsia="方正仿宋简体" w:cs="方正仿宋简体"/>
          <w:b w:val="0"/>
          <w:bCs w:val="0"/>
          <w:color w:val="000000"/>
          <w:kern w:val="2"/>
          <w:sz w:val="32"/>
          <w:szCs w:val="32"/>
          <w:lang w:val="en-US" w:eastAsia="zh-CN" w:bidi="ar-SA"/>
        </w:rPr>
        <w:t>鼓励电竞俱乐部参加国内外电竞职业联赛；支持企业投资建设或改建专业电竞场馆；支持企业举办国内外品牌电竞赛事活动及原创品牌电竞赛事项目。经综合评估，给予不超过</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07CB1CC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15.支持IP授权产业发展。</w:t>
      </w:r>
      <w:r>
        <w:rPr>
          <w:rFonts w:hint="eastAsia" w:ascii="Times New Roman" w:hAnsi="Times New Roman" w:eastAsia="方正仿宋简体" w:cs="方正仿宋简体"/>
          <w:b w:val="0"/>
          <w:bCs w:val="0"/>
          <w:color w:val="000000"/>
          <w:kern w:val="2"/>
          <w:sz w:val="32"/>
          <w:szCs w:val="32"/>
          <w:lang w:val="en-US" w:eastAsia="zh-CN" w:bidi="ar-SA"/>
        </w:rPr>
        <w:t>支持企业开展</w:t>
      </w:r>
      <w:r>
        <w:rPr>
          <w:rFonts w:hint="default" w:ascii="Times New Roman" w:hAnsi="Times New Roman" w:eastAsia="方正仿宋简体" w:cs="Times New Roman"/>
          <w:b w:val="0"/>
          <w:bCs w:val="0"/>
          <w:color w:val="000000"/>
          <w:kern w:val="2"/>
          <w:sz w:val="32"/>
          <w:szCs w:val="32"/>
          <w:lang w:val="en-US" w:eastAsia="zh-CN" w:bidi="ar-SA"/>
        </w:rPr>
        <w:t>IP</w:t>
      </w:r>
      <w:r>
        <w:rPr>
          <w:rFonts w:hint="eastAsia" w:ascii="Times New Roman" w:hAnsi="Times New Roman" w:eastAsia="方正仿宋简体" w:cs="方正仿宋简体"/>
          <w:b w:val="0"/>
          <w:bCs w:val="0"/>
          <w:color w:val="000000"/>
          <w:kern w:val="2"/>
          <w:sz w:val="32"/>
          <w:szCs w:val="32"/>
          <w:lang w:val="en-US" w:eastAsia="zh-CN" w:bidi="ar-SA"/>
        </w:rPr>
        <w:t>授权的多元化渠道经济变现；支持企业开展原创</w:t>
      </w:r>
      <w:r>
        <w:rPr>
          <w:rFonts w:hint="default" w:ascii="Times New Roman" w:hAnsi="Times New Roman" w:eastAsia="方正仿宋简体" w:cs="Times New Roman"/>
          <w:b w:val="0"/>
          <w:bCs w:val="0"/>
          <w:color w:val="000000"/>
          <w:kern w:val="2"/>
          <w:sz w:val="32"/>
          <w:szCs w:val="32"/>
          <w:lang w:val="en-US" w:eastAsia="zh-CN" w:bidi="ar-SA"/>
        </w:rPr>
        <w:t>IP</w:t>
      </w:r>
      <w:r>
        <w:rPr>
          <w:rFonts w:hint="eastAsia" w:ascii="Times New Roman" w:hAnsi="Times New Roman" w:eastAsia="方正仿宋简体" w:cs="方正仿宋简体"/>
          <w:b w:val="0"/>
          <w:bCs w:val="0"/>
          <w:color w:val="000000"/>
          <w:kern w:val="2"/>
          <w:sz w:val="32"/>
          <w:szCs w:val="32"/>
          <w:lang w:val="en-US" w:eastAsia="zh-CN" w:bidi="ar-SA"/>
        </w:rPr>
        <w:t>的孵化和市场推广；支持企业开展</w:t>
      </w:r>
      <w:r>
        <w:rPr>
          <w:rFonts w:hint="default" w:ascii="Times New Roman" w:hAnsi="Times New Roman" w:eastAsia="方正仿宋简体" w:cs="Times New Roman"/>
          <w:b w:val="0"/>
          <w:bCs w:val="0"/>
          <w:color w:val="000000"/>
          <w:kern w:val="2"/>
          <w:sz w:val="32"/>
          <w:szCs w:val="32"/>
          <w:lang w:val="en-US" w:eastAsia="zh-CN" w:bidi="ar-SA"/>
        </w:rPr>
        <w:t>IP</w:t>
      </w:r>
      <w:r>
        <w:rPr>
          <w:rFonts w:hint="eastAsia" w:ascii="Times New Roman" w:hAnsi="Times New Roman" w:eastAsia="方正仿宋简体" w:cs="方正仿宋简体"/>
          <w:b w:val="0"/>
          <w:bCs w:val="0"/>
          <w:color w:val="000000"/>
          <w:kern w:val="2"/>
          <w:sz w:val="32"/>
          <w:szCs w:val="32"/>
          <w:lang w:val="en-US" w:eastAsia="zh-CN" w:bidi="ar-SA"/>
        </w:rPr>
        <w:t>运营方和非物质文化遗产、老字号的合作；支持企业进行知名</w:t>
      </w:r>
      <w:r>
        <w:rPr>
          <w:rFonts w:hint="default" w:ascii="Times New Roman" w:hAnsi="Times New Roman" w:eastAsia="方正仿宋简体" w:cs="Times New Roman"/>
          <w:b w:val="0"/>
          <w:bCs w:val="0"/>
          <w:color w:val="000000"/>
          <w:kern w:val="2"/>
          <w:sz w:val="32"/>
          <w:szCs w:val="32"/>
          <w:lang w:val="en-US" w:eastAsia="zh-CN" w:bidi="ar-SA"/>
        </w:rPr>
        <w:t>IP</w:t>
      </w:r>
      <w:r>
        <w:rPr>
          <w:rFonts w:hint="eastAsia" w:ascii="Times New Roman" w:hAnsi="Times New Roman" w:eastAsia="方正仿宋简体" w:cs="方正仿宋简体"/>
          <w:b w:val="0"/>
          <w:bCs w:val="0"/>
          <w:color w:val="000000"/>
          <w:kern w:val="2"/>
          <w:sz w:val="32"/>
          <w:szCs w:val="32"/>
          <w:lang w:val="en-US" w:eastAsia="zh-CN" w:bidi="ar-SA"/>
        </w:rPr>
        <w:t>线下空间的打造和运营；支持企业借助</w:t>
      </w:r>
      <w:r>
        <w:rPr>
          <w:rFonts w:hint="default" w:ascii="Times New Roman" w:hAnsi="Times New Roman" w:eastAsia="方正仿宋简体" w:cs="Times New Roman"/>
          <w:b w:val="0"/>
          <w:bCs w:val="0"/>
          <w:color w:val="000000"/>
          <w:kern w:val="2"/>
          <w:sz w:val="32"/>
          <w:szCs w:val="32"/>
          <w:lang w:val="en-US" w:eastAsia="zh-CN" w:bidi="ar-SA"/>
        </w:rPr>
        <w:t>IP</w:t>
      </w:r>
      <w:r>
        <w:rPr>
          <w:rFonts w:hint="eastAsia" w:ascii="Times New Roman" w:hAnsi="Times New Roman" w:eastAsia="方正仿宋简体" w:cs="方正仿宋简体"/>
          <w:b w:val="0"/>
          <w:bCs w:val="0"/>
          <w:color w:val="000000"/>
          <w:kern w:val="2"/>
          <w:sz w:val="32"/>
          <w:szCs w:val="32"/>
          <w:lang w:val="en-US" w:eastAsia="zh-CN" w:bidi="ar-SA"/>
        </w:rPr>
        <w:t>授权媒介将优秀本土企业引入全球市场。经综合评估，给予不超过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267BD60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16.支持广告产业发展。</w:t>
      </w:r>
      <w:r>
        <w:rPr>
          <w:rFonts w:hint="eastAsia" w:ascii="Times New Roman" w:hAnsi="Times New Roman" w:eastAsia="方正仿宋简体" w:cs="方正仿宋简体"/>
          <w:b w:val="0"/>
          <w:bCs w:val="0"/>
          <w:color w:val="000000"/>
          <w:kern w:val="2"/>
          <w:sz w:val="32"/>
          <w:szCs w:val="32"/>
          <w:lang w:val="en-US" w:eastAsia="zh-CN" w:bidi="ar-SA"/>
        </w:rPr>
        <w:t>鼓励企业参加国内外知名广告奖项评选；支持企业举办国际和其他市级及以上的重大广告活动；鼓励企业积极探索广告经营新模式，有效创新传播渠道与营销模式；支持企业打造数字化城市户外广告地标。经综合评估，给予不超过</w:t>
      </w:r>
      <w:r>
        <w:rPr>
          <w:rFonts w:hint="default" w:ascii="Times New Roman" w:hAnsi="Times New Roman" w:eastAsia="方正仿宋简体" w:cs="Times New Roman"/>
          <w:b w:val="0"/>
          <w:bCs w:val="0"/>
          <w:color w:val="000000"/>
          <w:kern w:val="2"/>
          <w:sz w:val="32"/>
          <w:szCs w:val="32"/>
          <w:lang w:val="en-US" w:eastAsia="zh-CN" w:bidi="ar-SA"/>
        </w:rPr>
        <w:t>1000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38D684E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（四）加强文旅产业服务保障</w:t>
      </w:r>
    </w:p>
    <w:p w14:paraId="4A2A5FF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17.加强文旅人才培养和集聚。</w:t>
      </w:r>
      <w:r>
        <w:rPr>
          <w:rFonts w:hint="eastAsia" w:ascii="Times New Roman" w:hAnsi="Times New Roman" w:eastAsia="方正仿宋简体" w:cs="方正仿宋简体"/>
          <w:b w:val="0"/>
          <w:bCs w:val="0"/>
          <w:color w:val="000000"/>
          <w:kern w:val="2"/>
          <w:sz w:val="32"/>
          <w:szCs w:val="32"/>
          <w:lang w:val="en-US" w:eastAsia="zh-CN" w:bidi="ar-SA"/>
        </w:rPr>
        <w:t>支持取得显著贡献的文旅人才进一步发展；支持紧缺的专业型、管理型人才的培养、引进；鼓励企业引才，鼓励人才创业；支持开展各类文旅人才主题活动；支持开展文化艺术人才孵化项目。经综合评估，给予不超过</w:t>
      </w:r>
      <w:r>
        <w:rPr>
          <w:rFonts w:hint="default" w:ascii="Times New Roman" w:hAnsi="Times New Roman" w:eastAsia="方正仿宋简体" w:cs="Times New Roman"/>
          <w:b w:val="0"/>
          <w:bCs w:val="0"/>
          <w:color w:val="000000"/>
          <w:kern w:val="2"/>
          <w:sz w:val="32"/>
          <w:szCs w:val="32"/>
          <w:lang w:val="en-US" w:eastAsia="zh-CN" w:bidi="ar-SA"/>
        </w:rPr>
        <w:t>500</w:t>
      </w:r>
      <w:r>
        <w:rPr>
          <w:rFonts w:hint="eastAsia" w:ascii="Times New Roman" w:hAnsi="Times New Roman" w:eastAsia="方正仿宋简体" w:cs="方正仿宋简体"/>
          <w:b w:val="0"/>
          <w:bCs w:val="0"/>
          <w:color w:val="000000"/>
          <w:kern w:val="2"/>
          <w:sz w:val="32"/>
          <w:szCs w:val="32"/>
          <w:lang w:val="en-US" w:eastAsia="zh-CN" w:bidi="ar-SA"/>
        </w:rPr>
        <w:t>万元项目补贴。</w:t>
      </w:r>
    </w:p>
    <w:p w14:paraId="642C34E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18.营造优质产业发展生态。</w:t>
      </w:r>
      <w:r>
        <w:rPr>
          <w:rFonts w:hint="eastAsia" w:ascii="Times New Roman" w:hAnsi="Times New Roman" w:eastAsia="方正仿宋简体" w:cs="Times New Roman"/>
          <w:b w:val="0"/>
          <w:bCs w:val="0"/>
          <w:color w:val="000000"/>
          <w:kern w:val="2"/>
          <w:sz w:val="32"/>
          <w:szCs w:val="32"/>
          <w:lang w:val="en-US" w:eastAsia="zh-CN" w:bidi="ar-SA"/>
        </w:rPr>
        <w:t>整合区域行业优质资源，为企业提供品牌宣推、数字化转型等高品质服务；推进上海自贸试验区黄浦联动创新区改革创新举措落地，在区域内探索保税展示状态下的艺术品等先销售后直接办理集中申报手续，增强保税展示业务模式的体验感和便捷性；实施艺术机构分级分类管理，在海关信用评价基础上，对区域内艺术机构在特定时段或特定额度内的入境展览展示艺术品免予缴纳保证金。</w:t>
      </w:r>
    </w:p>
    <w:p w14:paraId="01F9F82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三、保障措施</w:t>
      </w:r>
    </w:p>
    <w:p w14:paraId="24C7732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一是设立专项资金管理机构。</w:t>
      </w:r>
      <w:r>
        <w:rPr>
          <w:rFonts w:hint="eastAsia" w:ascii="Times New Roman" w:hAnsi="Times New Roman" w:eastAsia="方正仿宋简体" w:cs="Times New Roman"/>
          <w:b w:val="0"/>
          <w:bCs w:val="0"/>
          <w:color w:val="000000"/>
          <w:kern w:val="2"/>
          <w:sz w:val="32"/>
          <w:szCs w:val="32"/>
          <w:lang w:val="en-US" w:eastAsia="zh-CN" w:bidi="ar-SA"/>
        </w:rPr>
        <w:t>明确产业资金管理职责，加强政策资金拨付管理，由区文化旅游局负责资金的筹集、分配、使用监督和评估等工作，确保资金管理的专业性和高效性。</w:t>
      </w:r>
    </w:p>
    <w:p w14:paraId="029C510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二是优化资金分配与使用机制。</w:t>
      </w:r>
      <w:r>
        <w:rPr>
          <w:rFonts w:hint="eastAsia" w:ascii="Times New Roman" w:hAnsi="Times New Roman" w:eastAsia="方正仿宋简体" w:cs="Times New Roman"/>
          <w:b w:val="0"/>
          <w:bCs w:val="0"/>
          <w:color w:val="000000"/>
          <w:kern w:val="2"/>
          <w:sz w:val="32"/>
          <w:szCs w:val="32"/>
          <w:lang w:val="en-US" w:eastAsia="zh-CN" w:bidi="ar-SA"/>
        </w:rPr>
        <w:t>建立科学的项目评估机制，探索产业生态评估认定。对申报项目进行严格评审，确保资金投向符合黄浦区文旅服务业发展方向和重点支持领域。根据项目特点和需求，灵活采取资金奖励、项目补贴、配套资助等多种支持方式，根据项目功能定位、服务方式及开展情况给予支持，提高财政资金的使用效率。</w:t>
      </w:r>
    </w:p>
    <w:p w14:paraId="0D0DDD6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三是加强资金监管与风险防范。</w:t>
      </w:r>
      <w:r>
        <w:rPr>
          <w:rFonts w:hint="eastAsia" w:ascii="Times New Roman" w:hAnsi="Times New Roman" w:eastAsia="方正仿宋简体" w:cs="Times New Roman"/>
          <w:b w:val="0"/>
          <w:bCs w:val="0"/>
          <w:color w:val="000000"/>
          <w:kern w:val="2"/>
          <w:sz w:val="32"/>
          <w:szCs w:val="32"/>
          <w:lang w:val="en-US" w:eastAsia="zh-CN" w:bidi="ar-SA"/>
        </w:rPr>
        <w:t>建立健全资金监管体系，加强风险防范，建立风险预警机制，对可能出现的风险进行预判和防范，确保资金安全。同时，加强对支持项目的跟踪管理，及时发现和解决问题。</w:t>
      </w:r>
    </w:p>
    <w:p w14:paraId="5BD1EE2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四、附则</w:t>
      </w:r>
    </w:p>
    <w:p w14:paraId="152E2ED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（一）本办法由黄浦区文化和旅游局负责解释。</w:t>
      </w:r>
    </w:p>
    <w:p w14:paraId="0A70C29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（二）本办法自2025年1月1日起施行，有效期至2027年12月31日止。</w:t>
      </w:r>
    </w:p>
    <w:p w14:paraId="25526BFA">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p>
    <w:p w14:paraId="6F595F9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普陀区加快发展生命健康产业实施意见</w:t>
      </w:r>
    </w:p>
    <w:p w14:paraId="324CC677">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437B5B7B">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为贯彻落实《“健康中国”</w:t>
      </w:r>
      <w:r>
        <w:rPr>
          <w:rFonts w:hint="default" w:ascii="Times New Roman" w:hAnsi="Times New Roman" w:eastAsia="方正仿宋简体" w:cs="Times New Roman"/>
          <w:b w:val="0"/>
          <w:bCs w:val="0"/>
          <w:color w:val="000000"/>
          <w:sz w:val="32"/>
          <w:szCs w:val="32"/>
        </w:rPr>
        <w:t>2030</w:t>
      </w:r>
      <w:r>
        <w:rPr>
          <w:rFonts w:hint="eastAsia" w:ascii="Times New Roman" w:hAnsi="Times New Roman" w:eastAsia="方正仿宋简体" w:cs="方正仿宋简体"/>
          <w:b w:val="0"/>
          <w:bCs w:val="0"/>
          <w:color w:val="000000"/>
          <w:sz w:val="32"/>
          <w:szCs w:val="32"/>
        </w:rPr>
        <w:t>规划纲要》《关于支持生物医药产业全链条创新发展的若干意见》等文件精神，按照区委、区政府工作部署，主动抢抓生命健康发展机遇，加快推动普陀区生命健康产业高质量发展，着力打造立足上海、辐射长三角、面向国际的生命健康总部基地、高端医学创新中心、医药资源配</w:t>
      </w:r>
      <w:r>
        <w:rPr>
          <w:rFonts w:hint="eastAsia" w:ascii="Times New Roman" w:hAnsi="Times New Roman" w:eastAsia="方正仿宋简体" w:cs="方正仿宋简体"/>
          <w:b w:val="0"/>
          <w:bCs w:val="0"/>
          <w:color w:val="000000"/>
          <w:sz w:val="32"/>
          <w:szCs w:val="32"/>
          <w:lang w:val="en-US" w:eastAsia="zh-CN"/>
        </w:rPr>
        <w:t>置</w:t>
      </w:r>
      <w:r>
        <w:rPr>
          <w:rFonts w:hint="eastAsia" w:ascii="Times New Roman" w:hAnsi="Times New Roman" w:eastAsia="方正仿宋简体" w:cs="方正仿宋简体"/>
          <w:b w:val="0"/>
          <w:bCs w:val="0"/>
          <w:color w:val="000000"/>
          <w:sz w:val="32"/>
          <w:szCs w:val="32"/>
        </w:rPr>
        <w:t>中心、数字医疗服务中心，结合本区实际，制定本意见。</w:t>
      </w:r>
    </w:p>
    <w:p w14:paraId="41880319">
      <w:pPr>
        <w:tabs>
          <w:tab w:val="left" w:pos="2348"/>
        </w:tabs>
        <w:bidi w:val="0"/>
        <w:ind w:firstLine="640"/>
        <w:jc w:val="left"/>
        <w:rPr>
          <w:rFonts w:hint="eastAsia" w:ascii="Times New Roman" w:hAnsi="Times New Roman" w:eastAsia="方正仿宋简体" w:cs="方正仿宋简体"/>
          <w:b w:val="0"/>
          <w:bCs w:val="0"/>
          <w:color w:val="000000"/>
          <w:sz w:val="32"/>
          <w:szCs w:val="32"/>
        </w:rPr>
      </w:pPr>
    </w:p>
    <w:p w14:paraId="74A568D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一、扶持对象</w:t>
      </w:r>
    </w:p>
    <w:p w14:paraId="2B0BFDD9">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本意见主要支持信用记录良好、符合区域产业导向的生命健康领域企业和与之相关的配套服务企业，以及经区生命健康产业相关工作部门认定后列入支持范围的生命健康产业相关项目。</w:t>
      </w:r>
    </w:p>
    <w:p w14:paraId="258F54C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二、扶持方式</w:t>
      </w:r>
    </w:p>
    <w:p w14:paraId="4DC9D43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(一)支持企业规模化发展</w:t>
      </w:r>
    </w:p>
    <w:p w14:paraId="7B6A5508">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1、鼓励优质企业发展。</w:t>
      </w:r>
      <w:r>
        <w:rPr>
          <w:rFonts w:hint="eastAsia" w:ascii="Times New Roman" w:hAnsi="Times New Roman" w:eastAsia="方正仿宋简体" w:cs="方正仿宋简体"/>
          <w:b w:val="0"/>
          <w:bCs w:val="0"/>
          <w:color w:val="000000"/>
          <w:sz w:val="32"/>
          <w:szCs w:val="32"/>
          <w:lang w:eastAsia="zh-CN"/>
        </w:rPr>
        <w:t>对区域产业发展具有明显带动和支撑作用的优质企业，经认定，给予最高不超过</w:t>
      </w:r>
      <w:r>
        <w:rPr>
          <w:rFonts w:hint="default" w:ascii="Times New Roman" w:hAnsi="Times New Roman" w:eastAsia="方正仿宋简体" w:cs="Times New Roman"/>
          <w:b w:val="0"/>
          <w:bCs w:val="0"/>
          <w:color w:val="000000"/>
          <w:sz w:val="32"/>
          <w:szCs w:val="32"/>
          <w:lang w:eastAsia="zh-CN"/>
        </w:rPr>
        <w:t>800</w:t>
      </w:r>
      <w:r>
        <w:rPr>
          <w:rFonts w:hint="eastAsia" w:ascii="Times New Roman" w:hAnsi="Times New Roman" w:eastAsia="方正仿宋简体" w:cs="方正仿宋简体"/>
          <w:b w:val="0"/>
          <w:bCs w:val="0"/>
          <w:color w:val="000000"/>
          <w:sz w:val="32"/>
          <w:szCs w:val="32"/>
          <w:lang w:eastAsia="zh-CN"/>
        </w:rPr>
        <w:t>万元资助，分三年拨付。</w:t>
      </w:r>
    </w:p>
    <w:p w14:paraId="51DA2588">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2、鼓励研发创新型企业集聚。</w:t>
      </w:r>
      <w:r>
        <w:rPr>
          <w:rFonts w:hint="eastAsia" w:ascii="Times New Roman" w:hAnsi="Times New Roman" w:eastAsia="方正仿宋简体" w:cs="方正仿宋简体"/>
          <w:b w:val="0"/>
          <w:bCs w:val="0"/>
          <w:color w:val="000000"/>
          <w:sz w:val="32"/>
          <w:szCs w:val="32"/>
          <w:lang w:eastAsia="zh-CN"/>
        </w:rPr>
        <w:t>对新引进的研发服务外包</w:t>
      </w:r>
      <w:r>
        <w:rPr>
          <w:rFonts w:hint="default" w:ascii="Times New Roman" w:hAnsi="Times New Roman" w:eastAsia="方正仿宋简体" w:cs="Times New Roman"/>
          <w:b w:val="0"/>
          <w:bCs w:val="0"/>
          <w:color w:val="000000"/>
          <w:sz w:val="32"/>
          <w:szCs w:val="32"/>
          <w:lang w:eastAsia="zh-CN"/>
        </w:rPr>
        <w:t>(CRO)</w:t>
      </w:r>
      <w:r>
        <w:rPr>
          <w:rFonts w:hint="eastAsia" w:ascii="Times New Roman" w:hAnsi="Times New Roman" w:eastAsia="方正仿宋简体" w:cs="方正仿宋简体"/>
          <w:b w:val="0"/>
          <w:bCs w:val="0"/>
          <w:color w:val="000000"/>
          <w:sz w:val="32"/>
          <w:szCs w:val="32"/>
          <w:lang w:eastAsia="zh-CN"/>
        </w:rPr>
        <w:t>、研发生产外包</w:t>
      </w:r>
      <w:r>
        <w:rPr>
          <w:rFonts w:hint="default" w:ascii="Times New Roman" w:hAnsi="Times New Roman" w:eastAsia="方正仿宋简体" w:cs="Times New Roman"/>
          <w:b w:val="0"/>
          <w:bCs w:val="0"/>
          <w:color w:val="000000"/>
          <w:sz w:val="32"/>
          <w:szCs w:val="32"/>
          <w:lang w:eastAsia="zh-CN"/>
        </w:rPr>
        <w:t>(CMO、CDMO)</w:t>
      </w:r>
      <w:r>
        <w:rPr>
          <w:rFonts w:hint="eastAsia" w:ascii="Times New Roman" w:hAnsi="Times New Roman" w:eastAsia="方正仿宋简体" w:cs="方正仿宋简体"/>
          <w:b w:val="0"/>
          <w:bCs w:val="0"/>
          <w:color w:val="000000"/>
          <w:sz w:val="32"/>
          <w:szCs w:val="32"/>
          <w:lang w:eastAsia="zh-CN"/>
        </w:rPr>
        <w:t>等研发创新型重点企业，经认定，按照引进后两年创新研发费用的</w:t>
      </w:r>
      <w:r>
        <w:rPr>
          <w:rFonts w:hint="default" w:ascii="Times New Roman" w:hAnsi="Times New Roman" w:eastAsia="方正仿宋简体" w:cs="Times New Roman"/>
          <w:b w:val="0"/>
          <w:bCs w:val="0"/>
          <w:color w:val="000000"/>
          <w:sz w:val="32"/>
          <w:szCs w:val="32"/>
          <w:lang w:eastAsia="zh-CN"/>
        </w:rPr>
        <w:t>30%</w:t>
      </w:r>
      <w:r>
        <w:rPr>
          <w:rFonts w:hint="eastAsia" w:ascii="Times New Roman" w:hAnsi="Times New Roman" w:eastAsia="方正仿宋简体" w:cs="方正仿宋简体"/>
          <w:b w:val="0"/>
          <w:bCs w:val="0"/>
          <w:color w:val="000000"/>
          <w:sz w:val="32"/>
          <w:szCs w:val="32"/>
          <w:lang w:eastAsia="zh-CN"/>
        </w:rPr>
        <w:t>，给予一次性最高不超过</w:t>
      </w:r>
      <w:r>
        <w:rPr>
          <w:rFonts w:hint="default" w:ascii="Times New Roman" w:hAnsi="Times New Roman" w:eastAsia="方正仿宋简体" w:cs="Times New Roman"/>
          <w:b w:val="0"/>
          <w:bCs w:val="0"/>
          <w:color w:val="000000"/>
          <w:sz w:val="32"/>
          <w:szCs w:val="32"/>
          <w:lang w:eastAsia="zh-CN"/>
        </w:rPr>
        <w:t>500</w:t>
      </w:r>
      <w:r>
        <w:rPr>
          <w:rFonts w:hint="eastAsia" w:ascii="Times New Roman" w:hAnsi="Times New Roman" w:eastAsia="方正仿宋简体" w:cs="方正仿宋简体"/>
          <w:b w:val="0"/>
          <w:bCs w:val="0"/>
          <w:color w:val="000000"/>
          <w:sz w:val="32"/>
          <w:szCs w:val="32"/>
          <w:lang w:eastAsia="zh-CN"/>
        </w:rPr>
        <w:t>万元支持。</w:t>
      </w:r>
    </w:p>
    <w:p w14:paraId="5EA8C819">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3、支持企业规模化发展。</w:t>
      </w:r>
      <w:r>
        <w:rPr>
          <w:rFonts w:hint="eastAsia" w:ascii="Times New Roman" w:hAnsi="Times New Roman" w:eastAsia="方正仿宋简体" w:cs="方正仿宋简体"/>
          <w:b w:val="0"/>
          <w:bCs w:val="0"/>
          <w:color w:val="000000"/>
          <w:sz w:val="32"/>
          <w:szCs w:val="32"/>
          <w:lang w:eastAsia="zh-CN"/>
        </w:rPr>
        <w:t>对年经营规模首次突破</w:t>
      </w:r>
      <w:r>
        <w:rPr>
          <w:rFonts w:hint="default" w:ascii="Times New Roman" w:hAnsi="Times New Roman" w:eastAsia="方正仿宋简体" w:cs="Times New Roman"/>
          <w:b w:val="0"/>
          <w:bCs w:val="0"/>
          <w:color w:val="000000"/>
          <w:sz w:val="32"/>
          <w:szCs w:val="32"/>
          <w:lang w:val="en-US" w:eastAsia="zh-CN"/>
        </w:rPr>
        <w:t>5000</w:t>
      </w:r>
      <w:r>
        <w:rPr>
          <w:rFonts w:hint="eastAsia" w:ascii="Times New Roman" w:hAnsi="Times New Roman" w:eastAsia="方正仿宋简体" w:cs="方正仿宋简体"/>
          <w:b w:val="0"/>
          <w:bCs w:val="0"/>
          <w:color w:val="000000"/>
          <w:sz w:val="32"/>
          <w:szCs w:val="32"/>
          <w:lang w:eastAsia="zh-CN"/>
        </w:rPr>
        <w:t>万元、</w:t>
      </w:r>
      <w:r>
        <w:rPr>
          <w:rFonts w:hint="default" w:ascii="Times New Roman" w:hAnsi="Times New Roman" w:eastAsia="方正仿宋简体" w:cs="Times New Roman"/>
          <w:b w:val="0"/>
          <w:bCs w:val="0"/>
          <w:color w:val="000000"/>
          <w:sz w:val="32"/>
          <w:szCs w:val="32"/>
          <w:lang w:eastAsia="zh-CN"/>
        </w:rPr>
        <w:t>1</w:t>
      </w:r>
      <w:r>
        <w:rPr>
          <w:rFonts w:hint="eastAsia" w:ascii="Times New Roman" w:hAnsi="Times New Roman" w:eastAsia="方正仿宋简体" w:cs="方正仿宋简体"/>
          <w:b w:val="0"/>
          <w:bCs w:val="0"/>
          <w:color w:val="000000"/>
          <w:sz w:val="32"/>
          <w:szCs w:val="32"/>
          <w:lang w:eastAsia="zh-CN"/>
        </w:rPr>
        <w:t>亿元、</w:t>
      </w:r>
      <w:r>
        <w:rPr>
          <w:rFonts w:hint="default" w:ascii="Times New Roman" w:hAnsi="Times New Roman" w:eastAsia="方正仿宋简体" w:cs="Times New Roman"/>
          <w:b w:val="0"/>
          <w:bCs w:val="0"/>
          <w:color w:val="000000"/>
          <w:sz w:val="32"/>
          <w:szCs w:val="32"/>
          <w:lang w:eastAsia="zh-CN"/>
        </w:rPr>
        <w:t>3</w:t>
      </w:r>
      <w:r>
        <w:rPr>
          <w:rFonts w:hint="eastAsia" w:ascii="Times New Roman" w:hAnsi="Times New Roman" w:eastAsia="方正仿宋简体" w:cs="方正仿宋简体"/>
          <w:b w:val="0"/>
          <w:bCs w:val="0"/>
          <w:color w:val="000000"/>
          <w:sz w:val="32"/>
          <w:szCs w:val="32"/>
          <w:lang w:eastAsia="zh-CN"/>
        </w:rPr>
        <w:t>亿元的生命健康流通销售企业，分别给予</w:t>
      </w:r>
      <w:r>
        <w:rPr>
          <w:rFonts w:hint="default" w:ascii="Times New Roman" w:hAnsi="Times New Roman" w:eastAsia="方正仿宋简体" w:cs="Times New Roman"/>
          <w:b w:val="0"/>
          <w:bCs w:val="0"/>
          <w:color w:val="000000"/>
          <w:sz w:val="32"/>
          <w:szCs w:val="32"/>
          <w:lang w:eastAsia="zh-CN"/>
        </w:rPr>
        <w:t>10</w:t>
      </w:r>
      <w:r>
        <w:rPr>
          <w:rFonts w:hint="eastAsia" w:ascii="Times New Roman" w:hAnsi="Times New Roman" w:eastAsia="方正仿宋简体" w:cs="方正仿宋简体"/>
          <w:b w:val="0"/>
          <w:bCs w:val="0"/>
          <w:color w:val="000000"/>
          <w:sz w:val="32"/>
          <w:szCs w:val="32"/>
          <w:lang w:eastAsia="zh-CN"/>
        </w:rPr>
        <w:t>万元、</w:t>
      </w:r>
      <w:r>
        <w:rPr>
          <w:rFonts w:hint="default" w:ascii="Times New Roman" w:hAnsi="Times New Roman" w:eastAsia="方正仿宋简体" w:cs="Times New Roman"/>
          <w:b w:val="0"/>
          <w:bCs w:val="0"/>
          <w:color w:val="000000"/>
          <w:sz w:val="32"/>
          <w:szCs w:val="32"/>
          <w:lang w:eastAsia="zh-CN"/>
        </w:rPr>
        <w:t>20</w:t>
      </w:r>
      <w:r>
        <w:rPr>
          <w:rFonts w:hint="eastAsia" w:ascii="Times New Roman" w:hAnsi="Times New Roman" w:eastAsia="方正仿宋简体" w:cs="方正仿宋简体"/>
          <w:b w:val="0"/>
          <w:bCs w:val="0"/>
          <w:color w:val="000000"/>
          <w:sz w:val="32"/>
          <w:szCs w:val="32"/>
          <w:lang w:eastAsia="zh-CN"/>
        </w:rPr>
        <w:t>万元、</w:t>
      </w:r>
      <w:r>
        <w:rPr>
          <w:rFonts w:hint="default" w:ascii="Times New Roman" w:hAnsi="Times New Roman" w:eastAsia="方正仿宋简体" w:cs="Times New Roman"/>
          <w:b w:val="0"/>
          <w:bCs w:val="0"/>
          <w:color w:val="000000"/>
          <w:sz w:val="32"/>
          <w:szCs w:val="32"/>
          <w:lang w:eastAsia="zh-CN"/>
        </w:rPr>
        <w:t>40</w:t>
      </w:r>
      <w:r>
        <w:rPr>
          <w:rFonts w:hint="eastAsia" w:ascii="Times New Roman" w:hAnsi="Times New Roman" w:eastAsia="方正仿宋简体" w:cs="方正仿宋简体"/>
          <w:b w:val="0"/>
          <w:bCs w:val="0"/>
          <w:color w:val="000000"/>
          <w:sz w:val="32"/>
          <w:szCs w:val="32"/>
          <w:lang w:eastAsia="zh-CN"/>
        </w:rPr>
        <w:t>万元的奖励。</w:t>
      </w:r>
    </w:p>
    <w:p w14:paraId="2E0F5BA4">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lang w:eastAsia="zh-CN"/>
        </w:rPr>
        <w:t>对年经营规模首次突破</w:t>
      </w:r>
      <w:r>
        <w:rPr>
          <w:rFonts w:hint="default" w:ascii="Times New Roman" w:hAnsi="Times New Roman" w:eastAsia="方正仿宋简体" w:cs="Times New Roman"/>
          <w:b w:val="0"/>
          <w:bCs w:val="0"/>
          <w:color w:val="000000"/>
          <w:sz w:val="32"/>
          <w:szCs w:val="32"/>
          <w:lang w:eastAsia="zh-CN"/>
        </w:rPr>
        <w:t>5</w:t>
      </w:r>
      <w:r>
        <w:rPr>
          <w:rFonts w:hint="eastAsia" w:ascii="Times New Roman" w:hAnsi="Times New Roman" w:eastAsia="方正仿宋简体" w:cs="方正仿宋简体"/>
          <w:b w:val="0"/>
          <w:bCs w:val="0"/>
          <w:color w:val="000000"/>
          <w:sz w:val="32"/>
          <w:szCs w:val="32"/>
          <w:lang w:eastAsia="zh-CN"/>
        </w:rPr>
        <w:t>亿元的生命健康流通销售企业给予</w:t>
      </w:r>
      <w:r>
        <w:rPr>
          <w:rFonts w:hint="default" w:ascii="Times New Roman" w:hAnsi="Times New Roman" w:eastAsia="方正仿宋简体" w:cs="Times New Roman"/>
          <w:b w:val="0"/>
          <w:bCs w:val="0"/>
          <w:color w:val="000000"/>
          <w:sz w:val="32"/>
          <w:szCs w:val="32"/>
          <w:lang w:eastAsia="zh-CN"/>
        </w:rPr>
        <w:t>50</w:t>
      </w:r>
      <w:r>
        <w:rPr>
          <w:rFonts w:hint="eastAsia" w:ascii="Times New Roman" w:hAnsi="Times New Roman" w:eastAsia="方正仿宋简体" w:cs="方正仿宋简体"/>
          <w:b w:val="0"/>
          <w:bCs w:val="0"/>
          <w:color w:val="000000"/>
          <w:sz w:val="32"/>
          <w:szCs w:val="32"/>
          <w:lang w:eastAsia="zh-CN"/>
        </w:rPr>
        <w:t>万元的奖励；晋档期间，按照年经营规模较上一年度经营规模新增额最高</w:t>
      </w:r>
      <w:r>
        <w:rPr>
          <w:rFonts w:hint="default" w:ascii="Times New Roman" w:hAnsi="Times New Roman" w:eastAsia="方正仿宋简体" w:cs="Times New Roman"/>
          <w:b w:val="0"/>
          <w:bCs w:val="0"/>
          <w:color w:val="000000"/>
          <w:sz w:val="32"/>
          <w:szCs w:val="32"/>
          <w:lang w:eastAsia="zh-CN"/>
        </w:rPr>
        <w:t>0.1%</w:t>
      </w:r>
      <w:r>
        <w:rPr>
          <w:rFonts w:hint="eastAsia" w:ascii="Times New Roman" w:hAnsi="Times New Roman" w:eastAsia="方正仿宋简体" w:cs="方正仿宋简体"/>
          <w:b w:val="0"/>
          <w:bCs w:val="0"/>
          <w:color w:val="000000"/>
          <w:sz w:val="32"/>
          <w:szCs w:val="32"/>
          <w:lang w:eastAsia="zh-CN"/>
        </w:rPr>
        <w:t>的比例给予奖励。</w:t>
      </w:r>
    </w:p>
    <w:p w14:paraId="7368DE9F">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lang w:eastAsia="zh-CN"/>
        </w:rPr>
        <w:t>对年经营规模首次突破</w:t>
      </w:r>
      <w:r>
        <w:rPr>
          <w:rFonts w:hint="default" w:ascii="Times New Roman" w:hAnsi="Times New Roman" w:eastAsia="方正仿宋简体" w:cs="Times New Roman"/>
          <w:b w:val="0"/>
          <w:bCs w:val="0"/>
          <w:color w:val="000000"/>
          <w:sz w:val="32"/>
          <w:szCs w:val="32"/>
          <w:lang w:eastAsia="zh-CN"/>
        </w:rPr>
        <w:t>10</w:t>
      </w:r>
      <w:r>
        <w:rPr>
          <w:rFonts w:hint="eastAsia" w:ascii="Times New Roman" w:hAnsi="Times New Roman" w:eastAsia="方正仿宋简体" w:cs="方正仿宋简体"/>
          <w:b w:val="0"/>
          <w:bCs w:val="0"/>
          <w:color w:val="000000"/>
          <w:sz w:val="32"/>
          <w:szCs w:val="32"/>
          <w:lang w:eastAsia="zh-CN"/>
        </w:rPr>
        <w:t>亿元、</w:t>
      </w:r>
      <w:r>
        <w:rPr>
          <w:rFonts w:hint="default" w:ascii="Times New Roman" w:hAnsi="Times New Roman" w:eastAsia="方正仿宋简体" w:cs="Times New Roman"/>
          <w:b w:val="0"/>
          <w:bCs w:val="0"/>
          <w:color w:val="000000"/>
          <w:sz w:val="32"/>
          <w:szCs w:val="32"/>
          <w:lang w:eastAsia="zh-CN"/>
        </w:rPr>
        <w:t>30</w:t>
      </w:r>
      <w:r>
        <w:rPr>
          <w:rFonts w:hint="eastAsia" w:ascii="Times New Roman" w:hAnsi="Times New Roman" w:eastAsia="方正仿宋简体" w:cs="方正仿宋简体"/>
          <w:b w:val="0"/>
          <w:bCs w:val="0"/>
          <w:color w:val="000000"/>
          <w:sz w:val="32"/>
          <w:szCs w:val="32"/>
          <w:lang w:eastAsia="zh-CN"/>
        </w:rPr>
        <w:t>亿元、</w:t>
      </w:r>
      <w:r>
        <w:rPr>
          <w:rFonts w:hint="default" w:ascii="Times New Roman" w:hAnsi="Times New Roman" w:eastAsia="方正仿宋简体" w:cs="Times New Roman"/>
          <w:b w:val="0"/>
          <w:bCs w:val="0"/>
          <w:color w:val="000000"/>
          <w:sz w:val="32"/>
          <w:szCs w:val="32"/>
          <w:lang w:eastAsia="zh-CN"/>
        </w:rPr>
        <w:t>50</w:t>
      </w:r>
      <w:r>
        <w:rPr>
          <w:rFonts w:hint="eastAsia" w:ascii="Times New Roman" w:hAnsi="Times New Roman" w:eastAsia="方正仿宋简体" w:cs="方正仿宋简体"/>
          <w:b w:val="0"/>
          <w:bCs w:val="0"/>
          <w:color w:val="000000"/>
          <w:sz w:val="32"/>
          <w:szCs w:val="32"/>
          <w:lang w:eastAsia="zh-CN"/>
        </w:rPr>
        <w:t>亿元的生命健康流通销售企业分别给予</w:t>
      </w:r>
      <w:r>
        <w:rPr>
          <w:rFonts w:hint="default" w:ascii="Times New Roman" w:hAnsi="Times New Roman" w:eastAsia="方正仿宋简体" w:cs="Times New Roman"/>
          <w:b w:val="0"/>
          <w:bCs w:val="0"/>
          <w:color w:val="000000"/>
          <w:sz w:val="32"/>
          <w:szCs w:val="32"/>
          <w:lang w:eastAsia="zh-CN"/>
        </w:rPr>
        <w:t>100</w:t>
      </w:r>
      <w:r>
        <w:rPr>
          <w:rFonts w:hint="eastAsia" w:ascii="Times New Roman" w:hAnsi="Times New Roman" w:eastAsia="方正仿宋简体" w:cs="方正仿宋简体"/>
          <w:b w:val="0"/>
          <w:bCs w:val="0"/>
          <w:color w:val="000000"/>
          <w:sz w:val="32"/>
          <w:szCs w:val="32"/>
          <w:lang w:eastAsia="zh-CN"/>
        </w:rPr>
        <w:t>万元、</w:t>
      </w:r>
      <w:r>
        <w:rPr>
          <w:rFonts w:hint="default" w:ascii="Times New Roman" w:hAnsi="Times New Roman" w:eastAsia="方正仿宋简体" w:cs="Times New Roman"/>
          <w:b w:val="0"/>
          <w:bCs w:val="0"/>
          <w:color w:val="000000"/>
          <w:sz w:val="32"/>
          <w:szCs w:val="32"/>
          <w:lang w:eastAsia="zh-CN"/>
        </w:rPr>
        <w:t>200</w:t>
      </w:r>
      <w:r>
        <w:rPr>
          <w:rFonts w:hint="eastAsia" w:ascii="Times New Roman" w:hAnsi="Times New Roman" w:eastAsia="方正仿宋简体" w:cs="方正仿宋简体"/>
          <w:b w:val="0"/>
          <w:bCs w:val="0"/>
          <w:color w:val="000000"/>
          <w:sz w:val="32"/>
          <w:szCs w:val="32"/>
          <w:lang w:eastAsia="zh-CN"/>
        </w:rPr>
        <w:t>万元、</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万元的奖励；晋档期间，按照年经营规模较上一年度经营规模新增额最高</w:t>
      </w:r>
      <w:r>
        <w:rPr>
          <w:rFonts w:hint="default" w:ascii="Times New Roman" w:hAnsi="Times New Roman" w:eastAsia="方正仿宋简体" w:cs="Times New Roman"/>
          <w:b w:val="0"/>
          <w:bCs w:val="0"/>
          <w:color w:val="000000"/>
          <w:sz w:val="32"/>
          <w:szCs w:val="32"/>
          <w:lang w:eastAsia="zh-CN"/>
        </w:rPr>
        <w:t>0.05%</w:t>
      </w:r>
      <w:r>
        <w:rPr>
          <w:rFonts w:hint="eastAsia" w:ascii="Times New Roman" w:hAnsi="Times New Roman" w:eastAsia="方正仿宋简体" w:cs="方正仿宋简体"/>
          <w:b w:val="0"/>
          <w:bCs w:val="0"/>
          <w:color w:val="000000"/>
          <w:sz w:val="32"/>
          <w:szCs w:val="32"/>
          <w:lang w:eastAsia="zh-CN"/>
        </w:rPr>
        <w:t>的比例给予奖励。</w:t>
      </w:r>
      <w:r>
        <w:rPr>
          <w:rFonts w:hint="eastAsia" w:ascii="Times New Roman" w:hAnsi="Times New Roman" w:eastAsia="方正仿宋简体" w:cs="方正仿宋简体"/>
          <w:b w:val="0"/>
          <w:bCs w:val="0"/>
          <w:color w:val="000000"/>
          <w:sz w:val="32"/>
          <w:szCs w:val="32"/>
          <w:lang w:eastAsia="zh-CN"/>
        </w:rPr>
        <w:tab/>
      </w:r>
    </w:p>
    <w:p w14:paraId="3861BF3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(二)支持企业创新化发展</w:t>
      </w:r>
    </w:p>
    <w:p w14:paraId="15D0E4E7">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4、支持专业服务平台建设。</w:t>
      </w:r>
      <w:r>
        <w:rPr>
          <w:rFonts w:hint="eastAsia" w:ascii="Times New Roman" w:hAnsi="Times New Roman" w:eastAsia="方正仿宋简体" w:cs="方正仿宋简体"/>
          <w:b w:val="0"/>
          <w:bCs w:val="0"/>
          <w:color w:val="000000"/>
          <w:sz w:val="32"/>
          <w:szCs w:val="32"/>
          <w:lang w:eastAsia="zh-CN"/>
        </w:rPr>
        <w:t>鼓励在本区建设研发中心、开放创新中心、技术研究院、检验检测、孵化转化等专业服务平台和重点实验室、产业技术基础公共服务平台等科技研发平台，开展技术赋能、产业链协同、集团研发统筹等，对形成一定的行业和区域示范引领效果的，经认定，给予最高不超过</w:t>
      </w:r>
      <w:r>
        <w:rPr>
          <w:rFonts w:hint="default" w:ascii="Times New Roman" w:hAnsi="Times New Roman" w:eastAsia="方正仿宋简体" w:cs="Times New Roman"/>
          <w:b w:val="0"/>
          <w:bCs w:val="0"/>
          <w:color w:val="000000"/>
          <w:sz w:val="32"/>
          <w:szCs w:val="32"/>
          <w:lang w:eastAsia="zh-CN"/>
        </w:rPr>
        <w:t>200</w:t>
      </w:r>
      <w:r>
        <w:rPr>
          <w:rFonts w:hint="eastAsia" w:ascii="Times New Roman" w:hAnsi="Times New Roman" w:eastAsia="方正仿宋简体" w:cs="方正仿宋简体"/>
          <w:b w:val="0"/>
          <w:bCs w:val="0"/>
          <w:color w:val="000000"/>
          <w:sz w:val="32"/>
          <w:szCs w:val="32"/>
          <w:lang w:eastAsia="zh-CN"/>
        </w:rPr>
        <w:t>万元的一次性资助;鼓励本区研发服务平台为本区企业提供生命健康研发及生产的专业化服务，按认定实际服务额的</w:t>
      </w:r>
      <w:r>
        <w:rPr>
          <w:rFonts w:hint="default" w:ascii="Times New Roman" w:hAnsi="Times New Roman" w:eastAsia="方正仿宋简体" w:cs="Times New Roman"/>
          <w:b w:val="0"/>
          <w:bCs w:val="0"/>
          <w:color w:val="000000"/>
          <w:sz w:val="32"/>
          <w:szCs w:val="32"/>
          <w:lang w:eastAsia="zh-CN"/>
        </w:rPr>
        <w:t>10%</w:t>
      </w:r>
      <w:r>
        <w:rPr>
          <w:rFonts w:hint="eastAsia" w:ascii="Times New Roman" w:hAnsi="Times New Roman" w:eastAsia="方正仿宋简体" w:cs="方正仿宋简体"/>
          <w:b w:val="0"/>
          <w:bCs w:val="0"/>
          <w:color w:val="000000"/>
          <w:sz w:val="32"/>
          <w:szCs w:val="32"/>
          <w:lang w:eastAsia="zh-CN"/>
        </w:rPr>
        <w:t>给予资助，年度最高不超过</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w:t>
      </w:r>
    </w:p>
    <w:p w14:paraId="6055D84B">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5、支持医疗器械研发上市。</w:t>
      </w:r>
      <w:r>
        <w:rPr>
          <w:rFonts w:hint="eastAsia" w:ascii="Times New Roman" w:hAnsi="Times New Roman" w:eastAsia="方正仿宋简体" w:cs="方正仿宋简体"/>
          <w:b w:val="0"/>
          <w:bCs w:val="0"/>
          <w:color w:val="000000"/>
          <w:sz w:val="32"/>
          <w:szCs w:val="32"/>
          <w:lang w:eastAsia="zh-CN"/>
        </w:rPr>
        <w:t>对进入国家和本市创新医疗器械特别审查程序的医疗器械产品，或进入上述程序、首次取得医疗器械注册证并在本区生产的产品，获得市相关部门立项的，按照市级资助金额最高</w:t>
      </w:r>
      <w:r>
        <w:rPr>
          <w:rFonts w:hint="default" w:ascii="Times New Roman" w:hAnsi="Times New Roman" w:eastAsia="方正仿宋简体" w:cs="Times New Roman"/>
          <w:b w:val="0"/>
          <w:bCs w:val="0"/>
          <w:color w:val="000000"/>
          <w:sz w:val="32"/>
          <w:szCs w:val="32"/>
          <w:lang w:eastAsia="zh-CN"/>
        </w:rPr>
        <w:t>50%</w:t>
      </w:r>
      <w:r>
        <w:rPr>
          <w:rFonts w:hint="eastAsia" w:ascii="Times New Roman" w:hAnsi="Times New Roman" w:eastAsia="方正仿宋简体" w:cs="方正仿宋简体"/>
          <w:b w:val="0"/>
          <w:bCs w:val="0"/>
          <w:color w:val="000000"/>
          <w:sz w:val="32"/>
          <w:szCs w:val="32"/>
          <w:lang w:eastAsia="zh-CN"/>
        </w:rPr>
        <w:t>给予配套支持。</w:t>
      </w:r>
    </w:p>
    <w:p w14:paraId="0D6EA4D0">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lang w:eastAsia="zh-CN"/>
        </w:rPr>
        <w:t>对申报年度首次获得二类医疗器械注册证的，给予最高</w:t>
      </w:r>
      <w:r>
        <w:rPr>
          <w:rFonts w:hint="default" w:ascii="Times New Roman" w:hAnsi="Times New Roman" w:eastAsia="方正仿宋简体" w:cs="Times New Roman"/>
          <w:b w:val="0"/>
          <w:bCs w:val="0"/>
          <w:color w:val="000000"/>
          <w:sz w:val="32"/>
          <w:szCs w:val="32"/>
          <w:lang w:eastAsia="zh-CN"/>
        </w:rPr>
        <w:t>100</w:t>
      </w:r>
      <w:r>
        <w:rPr>
          <w:rFonts w:hint="eastAsia" w:ascii="Times New Roman" w:hAnsi="Times New Roman" w:eastAsia="方正仿宋简体" w:cs="方正仿宋简体"/>
          <w:b w:val="0"/>
          <w:bCs w:val="0"/>
          <w:color w:val="000000"/>
          <w:sz w:val="32"/>
          <w:szCs w:val="32"/>
          <w:lang w:eastAsia="zh-CN"/>
        </w:rPr>
        <w:t>万元支持。对申报年度首次获得三类医疗器械注册证的，给予最高</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万元支持。同一医疗器械不同规格视为同一品种。单个企业年度累计最高不超过</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w:t>
      </w:r>
    </w:p>
    <w:p w14:paraId="60CC175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(三)支持企业协同化发展</w:t>
      </w:r>
    </w:p>
    <w:p w14:paraId="78022B8D">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6、激励产学研医合作和成果转移转化。</w:t>
      </w:r>
      <w:r>
        <w:rPr>
          <w:rFonts w:hint="eastAsia" w:ascii="Times New Roman" w:hAnsi="Times New Roman" w:eastAsia="方正仿宋简体" w:cs="方正仿宋简体"/>
          <w:b w:val="0"/>
          <w:bCs w:val="0"/>
          <w:color w:val="000000"/>
          <w:sz w:val="32"/>
          <w:szCs w:val="32"/>
          <w:lang w:eastAsia="zh-CN"/>
        </w:rPr>
        <w:t>鼓励企业联合高校、医院、科研院所开展技术研发攻关，经认定，按照项目研发投入</w:t>
      </w:r>
      <w:r>
        <w:rPr>
          <w:rFonts w:hint="default" w:ascii="Times New Roman" w:hAnsi="Times New Roman" w:eastAsia="方正仿宋简体" w:cs="Times New Roman"/>
          <w:b w:val="0"/>
          <w:bCs w:val="0"/>
          <w:color w:val="000000"/>
          <w:sz w:val="32"/>
          <w:szCs w:val="32"/>
          <w:lang w:eastAsia="zh-CN"/>
        </w:rPr>
        <w:t>30%</w:t>
      </w:r>
      <w:r>
        <w:rPr>
          <w:rFonts w:hint="eastAsia" w:ascii="Times New Roman" w:hAnsi="Times New Roman" w:eastAsia="方正仿宋简体" w:cs="方正仿宋简体"/>
          <w:b w:val="0"/>
          <w:bCs w:val="0"/>
          <w:color w:val="000000"/>
          <w:sz w:val="32"/>
          <w:szCs w:val="32"/>
          <w:lang w:eastAsia="zh-CN"/>
        </w:rPr>
        <w:t>给予最高不超过</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万元资助。支持企业运用高校院所科技成果进行产业化，经认定，按项目投入的</w:t>
      </w:r>
      <w:r>
        <w:rPr>
          <w:rFonts w:hint="default" w:ascii="Times New Roman" w:hAnsi="Times New Roman" w:eastAsia="方正仿宋简体" w:cs="Times New Roman"/>
          <w:b w:val="0"/>
          <w:bCs w:val="0"/>
          <w:color w:val="000000"/>
          <w:sz w:val="32"/>
          <w:szCs w:val="32"/>
          <w:lang w:eastAsia="zh-CN"/>
        </w:rPr>
        <w:t>30%</w:t>
      </w:r>
      <w:r>
        <w:rPr>
          <w:rFonts w:hint="eastAsia" w:ascii="Times New Roman" w:hAnsi="Times New Roman" w:eastAsia="方正仿宋简体" w:cs="方正仿宋简体"/>
          <w:b w:val="0"/>
          <w:bCs w:val="0"/>
          <w:color w:val="000000"/>
          <w:sz w:val="32"/>
          <w:szCs w:val="32"/>
          <w:lang w:eastAsia="zh-CN"/>
        </w:rPr>
        <w:t>给予资助，最高不超过</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w:t>
      </w:r>
    </w:p>
    <w:p w14:paraId="450E093A">
      <w:pPr>
        <w:tabs>
          <w:tab w:val="left" w:pos="866"/>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eastAsia="zh-CN"/>
        </w:rPr>
        <w:t>7、推动药品上市许可持有人、医疗器械注册人试点落地。</w:t>
      </w:r>
      <w:r>
        <w:rPr>
          <w:rFonts w:hint="eastAsia" w:ascii="Times New Roman" w:hAnsi="Times New Roman" w:eastAsia="方正仿宋简体" w:cs="方正仿宋简体"/>
          <w:b w:val="0"/>
          <w:bCs w:val="0"/>
          <w:color w:val="000000"/>
          <w:sz w:val="32"/>
          <w:szCs w:val="32"/>
          <w:lang w:eastAsia="zh-CN"/>
        </w:rPr>
        <w:t>对取得药品上市许可持有人或医疗器械注册人资格的单位(在本区无生产基地)，按照申报品种较上一年度新增销售收入最高</w:t>
      </w:r>
      <w:r>
        <w:rPr>
          <w:rFonts w:hint="default" w:ascii="Times New Roman" w:hAnsi="Times New Roman" w:eastAsia="方正仿宋简体" w:cs="Times New Roman"/>
          <w:b w:val="0"/>
          <w:bCs w:val="0"/>
          <w:color w:val="000000"/>
          <w:sz w:val="32"/>
          <w:szCs w:val="32"/>
          <w:lang w:eastAsia="zh-CN"/>
        </w:rPr>
        <w:t>1%</w:t>
      </w:r>
      <w:r>
        <w:rPr>
          <w:rFonts w:hint="eastAsia" w:ascii="Times New Roman" w:hAnsi="Times New Roman" w:eastAsia="方正仿宋简体" w:cs="方正仿宋简体"/>
          <w:b w:val="0"/>
          <w:bCs w:val="0"/>
          <w:color w:val="000000"/>
          <w:sz w:val="32"/>
          <w:szCs w:val="32"/>
          <w:lang w:eastAsia="zh-CN"/>
        </w:rPr>
        <w:t>的比例给予奖励，最高不超过</w:t>
      </w:r>
      <w:r>
        <w:rPr>
          <w:rFonts w:hint="default" w:ascii="Times New Roman" w:hAnsi="Times New Roman" w:eastAsia="方正仿宋简体" w:cs="Times New Roman"/>
          <w:b w:val="0"/>
          <w:bCs w:val="0"/>
          <w:color w:val="000000"/>
          <w:sz w:val="32"/>
          <w:szCs w:val="32"/>
          <w:lang w:eastAsia="zh-CN"/>
        </w:rPr>
        <w:t>300</w:t>
      </w:r>
      <w:r>
        <w:rPr>
          <w:rFonts w:hint="eastAsia" w:ascii="Times New Roman" w:hAnsi="Times New Roman" w:eastAsia="方正仿宋简体" w:cs="方正仿宋简体"/>
          <w:b w:val="0"/>
          <w:bCs w:val="0"/>
          <w:color w:val="000000"/>
          <w:sz w:val="32"/>
          <w:szCs w:val="32"/>
          <w:lang w:eastAsia="zh-CN"/>
        </w:rPr>
        <w:t>万元。对区内获得药品上市许可持有人或医疗器械注册人授权委托生产的单位(与持有人无投资关系)，按照该品种较上一年度产值新增额最高</w:t>
      </w:r>
      <w:r>
        <w:rPr>
          <w:rFonts w:hint="default" w:ascii="Times New Roman" w:hAnsi="Times New Roman" w:eastAsia="方正仿宋简体" w:cs="Times New Roman"/>
          <w:b w:val="0"/>
          <w:bCs w:val="0"/>
          <w:color w:val="000000"/>
          <w:sz w:val="32"/>
          <w:szCs w:val="32"/>
          <w:lang w:eastAsia="zh-CN"/>
        </w:rPr>
        <w:t>0.5%</w:t>
      </w:r>
      <w:r>
        <w:rPr>
          <w:rFonts w:hint="eastAsia" w:ascii="Times New Roman" w:hAnsi="Times New Roman" w:eastAsia="方正仿宋简体" w:cs="方正仿宋简体"/>
          <w:b w:val="0"/>
          <w:bCs w:val="0"/>
          <w:color w:val="000000"/>
          <w:sz w:val="32"/>
          <w:szCs w:val="32"/>
          <w:lang w:eastAsia="zh-CN"/>
        </w:rPr>
        <w:t>的比例给予奖励，最高不超过</w:t>
      </w:r>
      <w:r>
        <w:rPr>
          <w:rFonts w:hint="default" w:ascii="Times New Roman" w:hAnsi="Times New Roman" w:eastAsia="方正仿宋简体" w:cs="Times New Roman"/>
          <w:b w:val="0"/>
          <w:bCs w:val="0"/>
          <w:color w:val="000000"/>
          <w:sz w:val="32"/>
          <w:szCs w:val="32"/>
          <w:lang w:eastAsia="zh-CN"/>
        </w:rPr>
        <w:t>200</w:t>
      </w:r>
      <w:r>
        <w:rPr>
          <w:rFonts w:hint="eastAsia" w:ascii="Times New Roman" w:hAnsi="Times New Roman" w:eastAsia="方正仿宋简体" w:cs="方正仿宋简体"/>
          <w:b w:val="0"/>
          <w:bCs w:val="0"/>
          <w:color w:val="000000"/>
          <w:sz w:val="32"/>
          <w:szCs w:val="32"/>
          <w:lang w:eastAsia="zh-CN"/>
        </w:rPr>
        <w:t>万元。</w:t>
      </w:r>
    </w:p>
    <w:p w14:paraId="2DA3B2F0">
      <w:pPr>
        <w:tabs>
          <w:tab w:val="left" w:pos="602"/>
          <w:tab w:val="left" w:pos="2348"/>
        </w:tabs>
        <w:bidi w:val="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lang w:eastAsia="zh-CN"/>
        </w:rPr>
        <w:tab/>
      </w:r>
      <w:r>
        <w:rPr>
          <w:rFonts w:hint="eastAsia" w:ascii="Times New Roman" w:hAnsi="Times New Roman" w:eastAsia="方正仿宋简体" w:cs="方正仿宋简体"/>
          <w:b/>
          <w:bCs/>
          <w:color w:val="000000"/>
          <w:sz w:val="32"/>
          <w:szCs w:val="32"/>
          <w:lang w:eastAsia="zh-CN"/>
        </w:rPr>
        <w:t>8、鼓励企业创新产品及服务投入市场。</w:t>
      </w:r>
      <w:r>
        <w:rPr>
          <w:rFonts w:hint="eastAsia" w:ascii="Times New Roman" w:hAnsi="Times New Roman" w:eastAsia="方正仿宋简体" w:cs="方正仿宋简体"/>
          <w:b w:val="0"/>
          <w:bCs w:val="0"/>
          <w:color w:val="000000"/>
          <w:sz w:val="32"/>
          <w:szCs w:val="32"/>
          <w:lang w:eastAsia="zh-CN"/>
        </w:rPr>
        <w:t>对企业申报年度高端医疗器械首台、列入《上海市创新产品推荐目录》产品、上海市“新优药械”产品，按照首笔销售合同金额的</w:t>
      </w:r>
      <w:r>
        <w:rPr>
          <w:rFonts w:hint="default" w:ascii="Times New Roman" w:hAnsi="Times New Roman" w:eastAsia="方正仿宋简体" w:cs="Times New Roman"/>
          <w:b w:val="0"/>
          <w:bCs w:val="0"/>
          <w:color w:val="000000"/>
          <w:sz w:val="32"/>
          <w:szCs w:val="32"/>
          <w:lang w:eastAsia="zh-CN"/>
        </w:rPr>
        <w:t>10%</w:t>
      </w:r>
      <w:r>
        <w:rPr>
          <w:rFonts w:hint="eastAsia" w:ascii="Times New Roman" w:hAnsi="Times New Roman" w:eastAsia="方正仿宋简体" w:cs="方正仿宋简体"/>
          <w:b w:val="0"/>
          <w:bCs w:val="0"/>
          <w:color w:val="000000"/>
          <w:sz w:val="32"/>
          <w:szCs w:val="32"/>
          <w:lang w:eastAsia="zh-CN"/>
        </w:rPr>
        <w:t>进行资助，最高不超过</w:t>
      </w:r>
      <w:r>
        <w:rPr>
          <w:rFonts w:hint="default" w:ascii="Times New Roman" w:hAnsi="Times New Roman" w:eastAsia="方正仿宋简体" w:cs="Times New Roman"/>
          <w:b w:val="0"/>
          <w:bCs w:val="0"/>
          <w:color w:val="000000"/>
          <w:sz w:val="32"/>
          <w:szCs w:val="32"/>
          <w:lang w:eastAsia="zh-CN"/>
        </w:rPr>
        <w:t>100</w:t>
      </w:r>
      <w:r>
        <w:rPr>
          <w:rFonts w:hint="eastAsia" w:ascii="Times New Roman" w:hAnsi="Times New Roman" w:eastAsia="方正仿宋简体" w:cs="方正仿宋简体"/>
          <w:b w:val="0"/>
          <w:bCs w:val="0"/>
          <w:color w:val="000000"/>
          <w:sz w:val="32"/>
          <w:szCs w:val="32"/>
          <w:lang w:eastAsia="zh-CN"/>
        </w:rPr>
        <w:t>万元。</w:t>
      </w:r>
      <w:r>
        <w:rPr>
          <w:rFonts w:hint="eastAsia" w:ascii="Times New Roman" w:hAnsi="Times New Roman" w:eastAsia="方正仿宋简体" w:cs="方正仿宋简体"/>
          <w:b w:val="0"/>
          <w:bCs w:val="0"/>
          <w:color w:val="000000"/>
          <w:sz w:val="32"/>
          <w:szCs w:val="32"/>
          <w:lang w:eastAsia="zh-CN"/>
        </w:rPr>
        <w:tab/>
      </w:r>
    </w:p>
    <w:p w14:paraId="1D6B4893">
      <w:pPr>
        <w:tabs>
          <w:tab w:val="left" w:pos="662"/>
          <w:tab w:val="left" w:pos="2348"/>
        </w:tabs>
        <w:bidi w:val="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val="0"/>
          <w:bCs w:val="0"/>
          <w:color w:val="000000"/>
          <w:sz w:val="32"/>
          <w:szCs w:val="32"/>
          <w:lang w:eastAsia="zh-CN"/>
        </w:rPr>
        <w:tab/>
      </w:r>
      <w:r>
        <w:rPr>
          <w:rFonts w:hint="eastAsia" w:ascii="Times New Roman" w:hAnsi="Times New Roman" w:eastAsia="方正仿宋简体" w:cs="方正仿宋简体"/>
          <w:b/>
          <w:bCs/>
          <w:color w:val="000000"/>
          <w:sz w:val="32"/>
          <w:szCs w:val="32"/>
          <w:lang w:eastAsia="zh-CN"/>
        </w:rPr>
        <w:t>9、加快“智慧医疗”发展。</w:t>
      </w:r>
      <w:r>
        <w:rPr>
          <w:rFonts w:hint="eastAsia" w:ascii="Times New Roman" w:hAnsi="Times New Roman" w:eastAsia="方正仿宋简体" w:cs="方正仿宋简体"/>
          <w:b w:val="0"/>
          <w:bCs w:val="0"/>
          <w:color w:val="000000"/>
          <w:sz w:val="32"/>
          <w:szCs w:val="32"/>
          <w:lang w:eastAsia="zh-CN"/>
        </w:rPr>
        <w:t>支持生物医药与大数据、云计算、人工智能等新一代信息技术相融合；支持企业与本区医疗服务机构加强医疗大数据应用、精准医学研究等领域合作；支持</w:t>
      </w:r>
      <w:r>
        <w:rPr>
          <w:rFonts w:hint="default" w:ascii="Times New Roman" w:hAnsi="Times New Roman" w:eastAsia="方正仿宋简体" w:cs="Times New Roman"/>
          <w:b w:val="0"/>
          <w:bCs w:val="0"/>
          <w:color w:val="000000"/>
          <w:sz w:val="32"/>
          <w:szCs w:val="32"/>
          <w:lang w:eastAsia="zh-CN"/>
        </w:rPr>
        <w:t>5G+</w:t>
      </w:r>
      <w:r>
        <w:rPr>
          <w:rFonts w:hint="eastAsia" w:ascii="Times New Roman" w:hAnsi="Times New Roman" w:eastAsia="方正仿宋简体" w:cs="方正仿宋简体"/>
          <w:b w:val="0"/>
          <w:bCs w:val="0"/>
          <w:color w:val="000000"/>
          <w:sz w:val="32"/>
          <w:szCs w:val="32"/>
          <w:lang w:eastAsia="zh-CN"/>
        </w:rPr>
        <w:t>智慧医疗、医疗器械数字化、智能化，重点开发可穿戴、便携式等移动医疗和辅助器具产品；鼓励生物三维</w:t>
      </w:r>
      <w:r>
        <w:rPr>
          <w:rFonts w:hint="eastAsia" w:ascii="Times New Roman" w:hAnsi="Times New Roman" w:eastAsia="方正仿宋简体" w:cs="Times New Roman"/>
          <w:b w:val="0"/>
          <w:bCs w:val="0"/>
          <w:color w:val="000000"/>
          <w:sz w:val="32"/>
          <w:szCs w:val="32"/>
          <w:lang w:eastAsia="zh-CN"/>
        </w:rPr>
        <w:t>(3D)</w:t>
      </w:r>
      <w:r>
        <w:rPr>
          <w:rFonts w:hint="eastAsia" w:ascii="Times New Roman" w:hAnsi="Times New Roman" w:eastAsia="方正仿宋简体" w:cs="方正仿宋简体"/>
          <w:b w:val="0"/>
          <w:bCs w:val="0"/>
          <w:color w:val="000000"/>
          <w:sz w:val="32"/>
          <w:szCs w:val="32"/>
          <w:lang w:eastAsia="zh-CN"/>
        </w:rPr>
        <w:t>打印技术、数据芯片等新技术在植介入产品重点的应用。对经认定的项目，按照项目研发投入不超过</w:t>
      </w:r>
      <w:r>
        <w:rPr>
          <w:rFonts w:hint="eastAsia" w:ascii="Times New Roman" w:hAnsi="Times New Roman" w:eastAsia="方正仿宋简体" w:cs="Times New Roman"/>
          <w:b w:val="0"/>
          <w:bCs w:val="0"/>
          <w:color w:val="000000"/>
          <w:sz w:val="32"/>
          <w:szCs w:val="32"/>
          <w:lang w:eastAsia="zh-CN"/>
        </w:rPr>
        <w:t>30%</w:t>
      </w:r>
      <w:r>
        <w:rPr>
          <w:rFonts w:hint="eastAsia" w:ascii="Times New Roman" w:hAnsi="Times New Roman" w:eastAsia="方正仿宋简体" w:cs="方正仿宋简体"/>
          <w:b w:val="0"/>
          <w:bCs w:val="0"/>
          <w:color w:val="000000"/>
          <w:sz w:val="32"/>
          <w:szCs w:val="32"/>
          <w:lang w:eastAsia="zh-CN"/>
        </w:rPr>
        <w:t>最高不超过</w:t>
      </w:r>
      <w:r>
        <w:rPr>
          <w:rFonts w:hint="eastAsia" w:ascii="Times New Roman" w:hAnsi="Times New Roman" w:eastAsia="方正仿宋简体" w:cs="Times New Roman"/>
          <w:b w:val="0"/>
          <w:bCs w:val="0"/>
          <w:color w:val="000000"/>
          <w:sz w:val="32"/>
          <w:szCs w:val="32"/>
          <w:lang w:eastAsia="zh-CN"/>
        </w:rPr>
        <w:t>200</w:t>
      </w:r>
      <w:r>
        <w:rPr>
          <w:rFonts w:hint="eastAsia" w:ascii="Times New Roman" w:hAnsi="Times New Roman" w:eastAsia="方正仿宋简体" w:cs="方正仿宋简体"/>
          <w:b w:val="0"/>
          <w:bCs w:val="0"/>
          <w:color w:val="000000"/>
          <w:sz w:val="32"/>
          <w:szCs w:val="32"/>
          <w:lang w:eastAsia="zh-CN"/>
        </w:rPr>
        <w:t>万元给予支持。</w:t>
      </w:r>
    </w:p>
    <w:p w14:paraId="7D739977">
      <w:pPr>
        <w:tabs>
          <w:tab w:val="left" w:pos="662"/>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楷体简体" w:cs="方正楷体简体"/>
          <w:b/>
          <w:bCs/>
          <w:kern w:val="2"/>
          <w:sz w:val="32"/>
          <w:szCs w:val="32"/>
          <w:lang w:val="en-US" w:eastAsia="zh-CN" w:bidi="ar-SA"/>
        </w:rPr>
        <w:t>(四)优化产业发展环境</w:t>
      </w:r>
      <w:r>
        <w:rPr>
          <w:rFonts w:hint="eastAsia" w:ascii="Times New Roman" w:hAnsi="Times New Roman" w:eastAsia="方正仿宋简体" w:cs="方正仿宋简体"/>
          <w:b w:val="0"/>
          <w:bCs w:val="0"/>
          <w:color w:val="000000"/>
          <w:sz w:val="32"/>
          <w:szCs w:val="32"/>
          <w:lang w:eastAsia="zh-CN"/>
        </w:rPr>
        <w:tab/>
      </w:r>
    </w:p>
    <w:p w14:paraId="066D3ED4">
      <w:pPr>
        <w:tabs>
          <w:tab w:val="left" w:pos="662"/>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10、鼓励企业参办国际化论坛会展活动。</w:t>
      </w:r>
      <w:r>
        <w:rPr>
          <w:rFonts w:hint="eastAsia" w:ascii="Times New Roman" w:hAnsi="Times New Roman" w:eastAsia="方正仿宋简体" w:cs="方正仿宋简体"/>
          <w:b w:val="0"/>
          <w:bCs w:val="0"/>
          <w:color w:val="000000"/>
          <w:sz w:val="32"/>
          <w:szCs w:val="32"/>
          <w:lang w:eastAsia="zh-CN"/>
        </w:rPr>
        <w:t>鼓励企业在本区举办有较大影响力的专业化、国际化高端论坛等活动，经认定，按照实际发生金额的</w:t>
      </w:r>
      <w:r>
        <w:rPr>
          <w:rFonts w:hint="default" w:ascii="Times New Roman" w:hAnsi="Times New Roman" w:eastAsia="方正仿宋简体" w:cs="Times New Roman"/>
          <w:b w:val="0"/>
          <w:bCs w:val="0"/>
          <w:color w:val="000000"/>
          <w:sz w:val="32"/>
          <w:szCs w:val="32"/>
          <w:lang w:eastAsia="zh-CN"/>
        </w:rPr>
        <w:t>80%</w:t>
      </w:r>
      <w:r>
        <w:rPr>
          <w:rFonts w:hint="eastAsia" w:ascii="Times New Roman" w:hAnsi="Times New Roman" w:eastAsia="方正仿宋简体" w:cs="方正仿宋简体"/>
          <w:b w:val="0"/>
          <w:bCs w:val="0"/>
          <w:color w:val="000000"/>
          <w:sz w:val="32"/>
          <w:szCs w:val="32"/>
          <w:lang w:eastAsia="zh-CN"/>
        </w:rPr>
        <w:t>，可给予最高不超过</w:t>
      </w:r>
      <w:r>
        <w:rPr>
          <w:rFonts w:hint="default" w:ascii="Times New Roman" w:hAnsi="Times New Roman" w:eastAsia="方正仿宋简体" w:cs="Times New Roman"/>
          <w:b w:val="0"/>
          <w:bCs w:val="0"/>
          <w:color w:val="000000"/>
          <w:sz w:val="32"/>
          <w:szCs w:val="32"/>
          <w:lang w:eastAsia="zh-CN"/>
        </w:rPr>
        <w:t>200</w:t>
      </w:r>
      <w:r>
        <w:rPr>
          <w:rFonts w:hint="eastAsia" w:ascii="Times New Roman" w:hAnsi="Times New Roman" w:eastAsia="方正仿宋简体" w:cs="方正仿宋简体"/>
          <w:b w:val="0"/>
          <w:bCs w:val="0"/>
          <w:color w:val="000000"/>
          <w:sz w:val="32"/>
          <w:szCs w:val="32"/>
          <w:lang w:eastAsia="zh-CN"/>
        </w:rPr>
        <w:t>万元资助。支持企业参加国际、国内知名会展，经认定，按照注册费、展位费、搭建费实际发生额的</w:t>
      </w:r>
      <w:r>
        <w:rPr>
          <w:rFonts w:hint="default" w:ascii="Times New Roman" w:hAnsi="Times New Roman" w:eastAsia="方正仿宋简体" w:cs="Times New Roman"/>
          <w:b w:val="0"/>
          <w:bCs w:val="0"/>
          <w:color w:val="000000"/>
          <w:sz w:val="32"/>
          <w:szCs w:val="32"/>
          <w:lang w:eastAsia="zh-CN"/>
        </w:rPr>
        <w:t>50%</w:t>
      </w:r>
      <w:r>
        <w:rPr>
          <w:rFonts w:hint="eastAsia" w:ascii="Times New Roman" w:hAnsi="Times New Roman" w:eastAsia="方正仿宋简体" w:cs="方正仿宋简体"/>
          <w:b w:val="0"/>
          <w:bCs w:val="0"/>
          <w:color w:val="000000"/>
          <w:sz w:val="32"/>
          <w:szCs w:val="32"/>
          <w:lang w:eastAsia="zh-CN"/>
        </w:rPr>
        <w:t>，可给予最高不超过</w:t>
      </w:r>
      <w:r>
        <w:rPr>
          <w:rFonts w:hint="default" w:ascii="Times New Roman" w:hAnsi="Times New Roman" w:eastAsia="方正仿宋简体" w:cs="Times New Roman"/>
          <w:b w:val="0"/>
          <w:bCs w:val="0"/>
          <w:color w:val="000000"/>
          <w:sz w:val="32"/>
          <w:szCs w:val="32"/>
          <w:lang w:eastAsia="zh-CN"/>
        </w:rPr>
        <w:t>20</w:t>
      </w:r>
      <w:r>
        <w:rPr>
          <w:rFonts w:hint="eastAsia" w:ascii="Times New Roman" w:hAnsi="Times New Roman" w:eastAsia="方正仿宋简体" w:cs="方正仿宋简体"/>
          <w:b w:val="0"/>
          <w:bCs w:val="0"/>
          <w:color w:val="000000"/>
          <w:sz w:val="32"/>
          <w:szCs w:val="32"/>
          <w:lang w:eastAsia="zh-CN"/>
        </w:rPr>
        <w:t>万元资助。</w:t>
      </w:r>
    </w:p>
    <w:p w14:paraId="2D4E2C0E">
      <w:pPr>
        <w:tabs>
          <w:tab w:val="left" w:pos="662"/>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11、提升行政审批服务效能。</w:t>
      </w:r>
      <w:r>
        <w:rPr>
          <w:rFonts w:hint="eastAsia" w:ascii="Times New Roman" w:hAnsi="Times New Roman" w:eastAsia="方正仿宋简体" w:cs="方正仿宋简体"/>
          <w:b w:val="0"/>
          <w:bCs w:val="0"/>
          <w:color w:val="000000"/>
          <w:sz w:val="32"/>
          <w:szCs w:val="32"/>
          <w:lang w:eastAsia="zh-CN"/>
        </w:rPr>
        <w:t>进一步优化企业帮办机制，在登记许可环节提供优质高效服务，为企业个性化问题提供定制解决方案。</w:t>
      </w:r>
    </w:p>
    <w:p w14:paraId="1918E0C2">
      <w:pPr>
        <w:tabs>
          <w:tab w:val="left" w:pos="2348"/>
        </w:tabs>
        <w:bidi w:val="0"/>
        <w:ind w:firstLine="643" w:firstLineChars="200"/>
        <w:jc w:val="both"/>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bCs/>
          <w:color w:val="000000"/>
          <w:sz w:val="32"/>
          <w:szCs w:val="32"/>
          <w:lang w:eastAsia="zh-CN"/>
        </w:rPr>
        <w:t>12、积极发挥区产业创新发展引导基金作用。</w:t>
      </w:r>
      <w:r>
        <w:rPr>
          <w:rFonts w:hint="eastAsia" w:ascii="Times New Roman" w:hAnsi="Times New Roman" w:eastAsia="方正仿宋简体" w:cs="方正仿宋简体"/>
          <w:b w:val="0"/>
          <w:bCs w:val="0"/>
          <w:color w:val="000000"/>
          <w:sz w:val="32"/>
          <w:szCs w:val="32"/>
        </w:rPr>
        <w:t>通过引导基金与社会资本合作，吸引各类金融机构、社会资本助力区内生命健康企业发展，引导所投子基金向本区导入优质生命健康项目。</w:t>
      </w:r>
    </w:p>
    <w:p w14:paraId="15FC85EE">
      <w:pPr>
        <w:tabs>
          <w:tab w:val="left" w:pos="2348"/>
        </w:tabs>
        <w:bidi w:val="0"/>
        <w:ind w:firstLine="643" w:firstLineChars="200"/>
        <w:jc w:val="both"/>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bCs/>
          <w:color w:val="000000"/>
          <w:sz w:val="32"/>
          <w:szCs w:val="32"/>
          <w:lang w:eastAsia="zh-CN"/>
        </w:rPr>
        <w:t>13、支持创新创业载体建设。</w:t>
      </w:r>
      <w:r>
        <w:rPr>
          <w:rFonts w:hint="eastAsia" w:ascii="Times New Roman" w:hAnsi="Times New Roman" w:eastAsia="方正仿宋简体" w:cs="方正仿宋简体"/>
          <w:b w:val="0"/>
          <w:bCs w:val="0"/>
          <w:color w:val="000000"/>
          <w:sz w:val="32"/>
          <w:szCs w:val="32"/>
        </w:rPr>
        <w:t>支持高校、医院和科研院所引导创新企业集聚，建设创新创业载体，按照运营情况，给予运营主体一定奖励。</w:t>
      </w:r>
    </w:p>
    <w:p w14:paraId="24D57A4B">
      <w:pPr>
        <w:tabs>
          <w:tab w:val="left" w:pos="2348"/>
        </w:tabs>
        <w:bidi w:val="0"/>
        <w:ind w:firstLine="643" w:firstLineChars="200"/>
        <w:jc w:val="both"/>
        <w:rPr>
          <w:rFonts w:hint="eastAsia" w:ascii="Times New Roman" w:hAnsi="Times New Roman" w:eastAsia="方正仿宋简体" w:cs="方正仿宋简体"/>
          <w:b w:val="0"/>
          <w:bCs w:val="0"/>
          <w:color w:val="000000"/>
          <w:sz w:val="32"/>
          <w:szCs w:val="32"/>
          <w:lang w:eastAsia="zh-CN"/>
        </w:rPr>
      </w:pPr>
      <w:r>
        <w:rPr>
          <w:rFonts w:hint="eastAsia" w:ascii="Times New Roman" w:hAnsi="Times New Roman" w:eastAsia="方正仿宋简体" w:cs="方正仿宋简体"/>
          <w:b/>
          <w:bCs/>
          <w:color w:val="000000"/>
          <w:sz w:val="32"/>
          <w:szCs w:val="32"/>
          <w:lang w:eastAsia="zh-CN"/>
        </w:rPr>
        <w:t>14、</w:t>
      </w:r>
      <w:r>
        <w:rPr>
          <w:rFonts w:hint="eastAsia" w:ascii="Times New Roman" w:hAnsi="Times New Roman" w:eastAsia="方正仿宋简体" w:cs="方正仿宋简体"/>
          <w:b w:val="0"/>
          <w:bCs w:val="0"/>
          <w:color w:val="000000"/>
          <w:sz w:val="32"/>
          <w:szCs w:val="32"/>
          <w:lang w:eastAsia="zh-CN"/>
        </w:rPr>
        <w:t>由区投资促进领导小组认定的，对生命健康产业发展具有引领和带动作用的重大项目，经认定，给予一定资金资助。</w:t>
      </w:r>
    </w:p>
    <w:p w14:paraId="4C789CA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三、使用管理</w:t>
      </w:r>
    </w:p>
    <w:p w14:paraId="76A457DA">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1、区商务委会同区各责任部门，根据本意见制定实施流程和细则，落实项目审核、跟踪、评估等工作。本政策条款若与上海市、普陀区制定的其他政策有重复交叉的，按照“从高不重复”原则予以支持。</w:t>
      </w:r>
    </w:p>
    <w:p w14:paraId="6EB7FCF0">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2、各地区投促中心负责为申报单位提供扶持项目申请、初审等服务，在政策实施部门完成项目审核后负责向申报单位答复，并配合实施部门做好项目管理服务工作。</w:t>
      </w:r>
    </w:p>
    <w:p w14:paraId="0B0E4178">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3、区商务委负责编制年度专项资金预算，并按程序向区财政局申请拨款，区财政局负责执行相关扶持资金的拨付，在项目过程中会同审计部门对专项资金的使用管理情况进行监督管理。</w:t>
      </w:r>
    </w:p>
    <w:p w14:paraId="51886C81">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4、本意见按照《普陀区产业政策绩效评估管理办法》，实行绩效评估管理。</w:t>
      </w:r>
    </w:p>
    <w:p w14:paraId="4C1C455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四、附则</w:t>
      </w:r>
    </w:p>
    <w:p w14:paraId="408E9A4D">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1、实行产业专项资金全过程信用管理。申请本政策扶持的企业或机构，将接受信用审查，过去三年内存在严重失信行为或违法行为的，取消申请资格。企业或机构在享受扶持过程中存在失信行为，经查实的，按照有关规定报送市、区公共信用信息服务平台。扶持对象存在弄虚作假、骗取扶持资金等违法违规行为，经查实的，将立即取消一切扶持资金并追缴资金，依法追究相关责任。</w:t>
      </w:r>
    </w:p>
    <w:p w14:paraId="59493267">
      <w:pPr>
        <w:tabs>
          <w:tab w:val="left" w:pos="2348"/>
        </w:tabs>
        <w:bidi w:val="0"/>
        <w:ind w:firstLine="640" w:firstLineChars="200"/>
        <w:jc w:val="both"/>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2、本意见自发布之日起施行，有效期至</w:t>
      </w:r>
      <w:r>
        <w:rPr>
          <w:rFonts w:hint="default" w:ascii="Times New Roman" w:hAnsi="Times New Roman" w:eastAsia="方正仿宋简体" w:cs="Times New Roman"/>
          <w:b w:val="0"/>
          <w:bCs w:val="0"/>
          <w:color w:val="000000"/>
          <w:sz w:val="32"/>
          <w:szCs w:val="32"/>
          <w:lang w:val="en-US" w:eastAsia="zh-CN"/>
        </w:rPr>
        <w:t>2027</w:t>
      </w:r>
      <w:r>
        <w:rPr>
          <w:rFonts w:hint="eastAsia" w:ascii="Times New Roman" w:hAnsi="Times New Roman" w:eastAsia="方正仿宋简体" w:cs="方正仿宋简体"/>
          <w:b w:val="0"/>
          <w:bCs w:val="0"/>
          <w:color w:val="000000"/>
          <w:sz w:val="32"/>
          <w:szCs w:val="32"/>
          <w:lang w:val="en-US" w:eastAsia="zh-CN"/>
        </w:rPr>
        <w:t>年</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月</w:t>
      </w:r>
      <w:r>
        <w:rPr>
          <w:rFonts w:hint="default" w:ascii="Times New Roman" w:hAnsi="Times New Roman" w:eastAsia="方正仿宋简体" w:cs="Times New Roman"/>
          <w:b w:val="0"/>
          <w:bCs w:val="0"/>
          <w:color w:val="000000"/>
          <w:sz w:val="32"/>
          <w:szCs w:val="32"/>
          <w:lang w:val="en-US" w:eastAsia="zh-CN"/>
        </w:rPr>
        <w:t>31</w:t>
      </w:r>
      <w:r>
        <w:rPr>
          <w:rFonts w:hint="eastAsia" w:ascii="Times New Roman" w:hAnsi="Times New Roman" w:eastAsia="方正仿宋简体" w:cs="方正仿宋简体"/>
          <w:b w:val="0"/>
          <w:bCs w:val="0"/>
          <w:color w:val="000000"/>
          <w:sz w:val="32"/>
          <w:szCs w:val="32"/>
          <w:lang w:val="en-US" w:eastAsia="zh-CN"/>
        </w:rPr>
        <w:t>日，《普陀区加快发展生命健康产业实施意见》(普商务规范〔</w:t>
      </w:r>
      <w:r>
        <w:rPr>
          <w:rFonts w:hint="default" w:ascii="Times New Roman" w:hAnsi="Times New Roman" w:eastAsia="方正仿宋简体" w:cs="Times New Roman"/>
          <w:b w:val="0"/>
          <w:bCs w:val="0"/>
          <w:color w:val="000000"/>
          <w:sz w:val="32"/>
          <w:szCs w:val="32"/>
          <w:lang w:val="en-US" w:eastAsia="zh-CN"/>
        </w:rPr>
        <w:t>2021</w:t>
      </w:r>
      <w:r>
        <w:rPr>
          <w:rFonts w:hint="eastAsia" w:ascii="Times New Roman" w:hAnsi="Times New Roman" w:eastAsia="方正仿宋简体" w:cs="方正仿宋简体"/>
          <w:b w:val="0"/>
          <w:bCs w:val="0"/>
          <w:color w:val="000000"/>
          <w:sz w:val="32"/>
          <w:szCs w:val="32"/>
          <w:lang w:val="en-US" w:eastAsia="zh-CN"/>
        </w:rPr>
        <w:t>〕</w:t>
      </w:r>
      <w:r>
        <w:rPr>
          <w:rFonts w:hint="default" w:ascii="Times New Roman" w:hAnsi="Times New Roman" w:eastAsia="方正仿宋简体" w:cs="Times New Roman"/>
          <w:b w:val="0"/>
          <w:bCs w:val="0"/>
          <w:color w:val="000000"/>
          <w:sz w:val="32"/>
          <w:szCs w:val="32"/>
          <w:lang w:val="en-US" w:eastAsia="zh-CN"/>
        </w:rPr>
        <w:t>4</w:t>
      </w:r>
      <w:r>
        <w:rPr>
          <w:rFonts w:hint="eastAsia" w:ascii="Times New Roman" w:hAnsi="Times New Roman" w:eastAsia="方正仿宋简体" w:cs="方正仿宋简体"/>
          <w:b w:val="0"/>
          <w:bCs w:val="0"/>
          <w:color w:val="000000"/>
          <w:sz w:val="32"/>
          <w:szCs w:val="32"/>
          <w:lang w:val="en-US" w:eastAsia="zh-CN"/>
        </w:rPr>
        <w:t>号)同时废止。</w:t>
      </w:r>
    </w:p>
    <w:p w14:paraId="7308987C">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p>
    <w:p w14:paraId="25FD14A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普陀区加快发展科技金融产业实施意见</w:t>
      </w:r>
    </w:p>
    <w:p w14:paraId="699A7349">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1EDD833D">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为加快推进科技金融产业高质量发展，增强金融服务实体经济能力，更好服务上海国际金融中心建设，结合本区实际，制定本意见。</w:t>
      </w:r>
    </w:p>
    <w:p w14:paraId="78390224">
      <w:pPr>
        <w:tabs>
          <w:tab w:val="left" w:pos="2348"/>
        </w:tabs>
        <w:bidi w:val="0"/>
        <w:ind w:firstLine="640"/>
        <w:jc w:val="left"/>
        <w:rPr>
          <w:rFonts w:hint="eastAsia" w:ascii="Times New Roman" w:hAnsi="Times New Roman" w:eastAsia="方正仿宋简体" w:cs="方正仿宋简体"/>
          <w:b w:val="0"/>
          <w:bCs w:val="0"/>
          <w:color w:val="000000"/>
          <w:sz w:val="32"/>
          <w:szCs w:val="32"/>
        </w:rPr>
      </w:pPr>
    </w:p>
    <w:p w14:paraId="6989283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一、扶持对象</w:t>
      </w:r>
    </w:p>
    <w:p w14:paraId="70B1A110">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本意见适用于依法设立，信用记录良好，符合区域产业导向，经认定的科技金融企业、金融功能性机构和其他企业。</w:t>
      </w:r>
    </w:p>
    <w:p w14:paraId="07771A2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二、扶持方式</w:t>
      </w:r>
    </w:p>
    <w:p w14:paraId="5BFEB79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(一)推进产业集聚</w:t>
      </w:r>
    </w:p>
    <w:p w14:paraId="6EBA8F87">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1、对新引进的重点科技金融企业，经认定，按企业类型、实缴注册资本和业务模式，给予最高不超过</w:t>
      </w:r>
      <w:r>
        <w:rPr>
          <w:rFonts w:hint="default" w:ascii="Times New Roman" w:hAnsi="Times New Roman" w:eastAsia="方正仿宋简体" w:cs="Times New Roman"/>
          <w:b w:val="0"/>
          <w:bCs w:val="0"/>
          <w:color w:val="000000"/>
          <w:sz w:val="32"/>
          <w:szCs w:val="32"/>
          <w:lang w:val="en-US" w:eastAsia="zh-CN"/>
        </w:rPr>
        <w:t>3000</w:t>
      </w:r>
      <w:r>
        <w:rPr>
          <w:rFonts w:hint="eastAsia" w:ascii="Times New Roman" w:hAnsi="Times New Roman" w:eastAsia="方正仿宋简体" w:cs="方正仿宋简体"/>
          <w:b w:val="0"/>
          <w:bCs w:val="0"/>
          <w:color w:val="000000"/>
          <w:sz w:val="32"/>
          <w:szCs w:val="32"/>
          <w:lang w:val="en-US" w:eastAsia="zh-CN"/>
        </w:rPr>
        <w:t>万元的扶持。</w:t>
      </w:r>
    </w:p>
    <w:p w14:paraId="510BC024">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2、对新引进的金融功能性机构，经认定，按照机构类型和级别,给予最高不超过</w:t>
      </w:r>
      <w:r>
        <w:rPr>
          <w:rFonts w:hint="default" w:ascii="Times New Roman" w:hAnsi="Times New Roman" w:eastAsia="方正仿宋简体" w:cs="Times New Roman"/>
          <w:b w:val="0"/>
          <w:bCs w:val="0"/>
          <w:color w:val="000000"/>
          <w:sz w:val="32"/>
          <w:szCs w:val="32"/>
          <w:lang w:val="en-US" w:eastAsia="zh-CN"/>
        </w:rPr>
        <w:t>150</w:t>
      </w:r>
      <w:r>
        <w:rPr>
          <w:rFonts w:hint="eastAsia" w:ascii="Times New Roman" w:hAnsi="Times New Roman" w:eastAsia="方正仿宋简体" w:cs="方正仿宋简体"/>
          <w:b w:val="0"/>
          <w:bCs w:val="0"/>
          <w:color w:val="000000"/>
          <w:sz w:val="32"/>
          <w:szCs w:val="32"/>
          <w:lang w:val="en-US" w:eastAsia="zh-CN"/>
        </w:rPr>
        <w:t>万元的扶持。</w:t>
      </w:r>
    </w:p>
    <w:p w14:paraId="6F00B3C2">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3、对新引进的科技金融企业和金融功能性机构，在本区购置自用办公用房的，经认定，按不超过实际购房价款的</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，给予最高不超过</w:t>
      </w:r>
      <w:r>
        <w:rPr>
          <w:rFonts w:hint="default" w:ascii="Times New Roman" w:hAnsi="Times New Roman" w:eastAsia="方正仿宋简体" w:cs="Times New Roman"/>
          <w:b w:val="0"/>
          <w:bCs w:val="0"/>
          <w:color w:val="000000"/>
          <w:sz w:val="32"/>
          <w:szCs w:val="32"/>
          <w:lang w:val="en-US" w:eastAsia="zh-CN"/>
        </w:rPr>
        <w:t>1000</w:t>
      </w:r>
      <w:r>
        <w:rPr>
          <w:rFonts w:hint="eastAsia" w:ascii="Times New Roman" w:hAnsi="Times New Roman" w:eastAsia="方正仿宋简体" w:cs="方正仿宋简体"/>
          <w:b w:val="0"/>
          <w:bCs w:val="0"/>
          <w:color w:val="000000"/>
          <w:sz w:val="32"/>
          <w:szCs w:val="32"/>
          <w:lang w:val="en-US" w:eastAsia="zh-CN"/>
        </w:rPr>
        <w:t>万元的扶持；在本区租赁自用办公用房的，经认定，根据实际租赁面积，按不超过年租金的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，给予年度不超过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万元的扶持，以三年为限。</w:t>
      </w:r>
    </w:p>
    <w:p w14:paraId="76A50CFE">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4、对新引进的重点科技金融企业及金融功能性机构的高级管理人员，经认定，每人给予最高</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万元的安家扶持；在上海购置自有住房的，经认定，每人另外给予最高</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万元的住房扶持。</w:t>
      </w:r>
    </w:p>
    <w:p w14:paraId="6D623C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(二)支持企业发展</w:t>
      </w:r>
    </w:p>
    <w:p w14:paraId="5C96093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5、对企业在上海证券交易所、深圳证券交易所、北京证券交易所及境外主要证券交易所首次公开发行股票并上市的，给予最高不超过</w:t>
      </w:r>
      <w:r>
        <w:rPr>
          <w:rFonts w:hint="default" w:ascii="Times New Roman" w:hAnsi="Times New Roman" w:eastAsia="方正仿宋简体" w:cs="Times New Roman"/>
          <w:b w:val="0"/>
          <w:bCs w:val="0"/>
          <w:color w:val="000000"/>
          <w:sz w:val="32"/>
          <w:szCs w:val="32"/>
          <w:lang w:val="en-US" w:eastAsia="zh-CN"/>
        </w:rPr>
        <w:t>400</w:t>
      </w:r>
      <w:r>
        <w:rPr>
          <w:rFonts w:hint="eastAsia" w:ascii="Times New Roman" w:hAnsi="Times New Roman" w:eastAsia="方正仿宋简体" w:cs="方正仿宋简体"/>
          <w:b w:val="0"/>
          <w:bCs w:val="0"/>
          <w:color w:val="000000"/>
          <w:sz w:val="32"/>
          <w:szCs w:val="32"/>
          <w:lang w:val="en-US" w:eastAsia="zh-CN"/>
        </w:rPr>
        <w:t>万元的扶持；对企业在全国中小企业股份转让系统挂牌交易的，给予最高不超过</w:t>
      </w:r>
      <w:r>
        <w:rPr>
          <w:rFonts w:hint="default" w:ascii="Times New Roman" w:hAnsi="Times New Roman" w:eastAsia="方正仿宋简体" w:cs="Times New Roman"/>
          <w:b w:val="0"/>
          <w:bCs w:val="0"/>
          <w:color w:val="000000"/>
          <w:sz w:val="32"/>
          <w:szCs w:val="32"/>
          <w:lang w:val="en-US" w:eastAsia="zh-CN"/>
        </w:rPr>
        <w:t>105</w:t>
      </w:r>
      <w:r>
        <w:rPr>
          <w:rFonts w:hint="eastAsia" w:ascii="Times New Roman" w:hAnsi="Times New Roman" w:eastAsia="方正仿宋简体" w:cs="方正仿宋简体"/>
          <w:b w:val="0"/>
          <w:bCs w:val="0"/>
          <w:color w:val="000000"/>
          <w:sz w:val="32"/>
          <w:szCs w:val="32"/>
          <w:lang w:val="en-US" w:eastAsia="zh-CN"/>
        </w:rPr>
        <w:t>万元的扶持；对企业在上海股权托管交易中心(</w:t>
      </w:r>
      <w:r>
        <w:rPr>
          <w:rFonts w:hint="default" w:ascii="Times New Roman" w:hAnsi="Times New Roman" w:eastAsia="方正仿宋简体" w:cs="Times New Roman"/>
          <w:b w:val="0"/>
          <w:bCs w:val="0"/>
          <w:color w:val="000000"/>
          <w:sz w:val="32"/>
          <w:szCs w:val="32"/>
          <w:lang w:val="en-US" w:eastAsia="zh-CN"/>
        </w:rPr>
        <w:t>E</w:t>
      </w:r>
      <w:r>
        <w:rPr>
          <w:rFonts w:hint="eastAsia" w:ascii="Times New Roman" w:hAnsi="Times New Roman" w:eastAsia="方正仿宋简体" w:cs="方正仿宋简体"/>
          <w:b w:val="0"/>
          <w:bCs w:val="0"/>
          <w:color w:val="000000"/>
          <w:sz w:val="32"/>
          <w:szCs w:val="32"/>
          <w:lang w:val="en-US" w:eastAsia="zh-CN"/>
        </w:rPr>
        <w:t>板、</w:t>
      </w:r>
      <w:r>
        <w:rPr>
          <w:rFonts w:hint="default" w:ascii="Times New Roman" w:hAnsi="Times New Roman" w:eastAsia="方正仿宋简体" w:cs="Times New Roman"/>
          <w:b w:val="0"/>
          <w:bCs w:val="0"/>
          <w:color w:val="000000"/>
          <w:sz w:val="32"/>
          <w:szCs w:val="32"/>
          <w:lang w:val="en-US" w:eastAsia="zh-CN"/>
        </w:rPr>
        <w:t>N</w:t>
      </w:r>
      <w:r>
        <w:rPr>
          <w:rFonts w:hint="eastAsia" w:ascii="Times New Roman" w:hAnsi="Times New Roman" w:eastAsia="方正仿宋简体" w:cs="方正仿宋简体"/>
          <w:b w:val="0"/>
          <w:bCs w:val="0"/>
          <w:color w:val="000000"/>
          <w:sz w:val="32"/>
          <w:szCs w:val="32"/>
          <w:lang w:val="en-US" w:eastAsia="zh-CN"/>
        </w:rPr>
        <w:t>板)挂牌交易的，给予最高不超过</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万元的扶持。区外未上市企业迁入本区后，从正式迁入之日起</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年内完成上市的，另给予</w:t>
      </w:r>
      <w:r>
        <w:rPr>
          <w:rFonts w:hint="default"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万元扶持。</w:t>
      </w:r>
    </w:p>
    <w:p w14:paraId="22FF923F">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6、上市公司通过配股、增发、可转债等形式再融资且融资金额累计</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以上用于投资本区企业或项目的，实际投资金额在</w:t>
      </w:r>
      <w:r>
        <w:rPr>
          <w:rFonts w:hint="default" w:ascii="Times New Roman" w:hAnsi="Times New Roman" w:eastAsia="方正仿宋简体" w:cs="Times New Roman"/>
          <w:b w:val="0"/>
          <w:bCs w:val="0"/>
          <w:color w:val="000000"/>
          <w:sz w:val="32"/>
          <w:szCs w:val="32"/>
          <w:lang w:val="en-US" w:eastAsia="zh-CN"/>
        </w:rPr>
        <w:t>5</w:t>
      </w:r>
      <w:r>
        <w:rPr>
          <w:rFonts w:hint="eastAsia" w:ascii="Times New Roman" w:hAnsi="Times New Roman" w:eastAsia="方正仿宋简体" w:cs="方正仿宋简体"/>
          <w:b w:val="0"/>
          <w:bCs w:val="0"/>
          <w:color w:val="000000"/>
          <w:sz w:val="32"/>
          <w:szCs w:val="32"/>
          <w:lang w:val="en-US" w:eastAsia="zh-CN"/>
        </w:rPr>
        <w:t>亿元以下的，按投资额</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给予扶持；实际投资金额在</w:t>
      </w:r>
      <w:r>
        <w:rPr>
          <w:rFonts w:hint="default" w:ascii="Times New Roman" w:hAnsi="Times New Roman" w:eastAsia="方正仿宋简体" w:cs="Times New Roman"/>
          <w:b w:val="0"/>
          <w:bCs w:val="0"/>
          <w:color w:val="000000"/>
          <w:sz w:val="32"/>
          <w:szCs w:val="32"/>
          <w:lang w:val="en-US" w:eastAsia="zh-CN"/>
        </w:rPr>
        <w:t>5</w:t>
      </w:r>
      <w:r>
        <w:rPr>
          <w:rFonts w:hint="eastAsia" w:ascii="Times New Roman" w:hAnsi="Times New Roman" w:eastAsia="方正仿宋简体" w:cs="方正仿宋简体"/>
          <w:b w:val="0"/>
          <w:bCs w:val="0"/>
          <w:color w:val="000000"/>
          <w:sz w:val="32"/>
          <w:szCs w:val="32"/>
          <w:lang w:val="en-US" w:eastAsia="zh-CN"/>
        </w:rPr>
        <w:t>亿元(含)以上的，按投资额</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给予扶持，最高不超过</w:t>
      </w:r>
      <w:r>
        <w:rPr>
          <w:rFonts w:hint="default" w:ascii="Times New Roman" w:hAnsi="Times New Roman" w:eastAsia="方正仿宋简体" w:cs="Times New Roman"/>
          <w:b w:val="0"/>
          <w:bCs w:val="0"/>
          <w:color w:val="000000"/>
          <w:sz w:val="32"/>
          <w:szCs w:val="32"/>
          <w:lang w:val="en-US" w:eastAsia="zh-CN"/>
        </w:rPr>
        <w:t>150</w:t>
      </w:r>
      <w:r>
        <w:rPr>
          <w:rFonts w:hint="eastAsia" w:ascii="Times New Roman" w:hAnsi="Times New Roman" w:eastAsia="方正仿宋简体" w:cs="方正仿宋简体"/>
          <w:b w:val="0"/>
          <w:bCs w:val="0"/>
          <w:color w:val="000000"/>
          <w:sz w:val="32"/>
          <w:szCs w:val="32"/>
          <w:lang w:val="en-US" w:eastAsia="zh-CN"/>
        </w:rPr>
        <w:t>万元。符合本区产业导向且已完成股改的企业通过公司债、企业债、短融中票、资产证券化产品等直接融资方式融资的，给予融资费用</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的扶持，最高不超过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w:t>
      </w:r>
    </w:p>
    <w:p w14:paraId="5A3FF397">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7、鼓励区内地方金融组织加大对中小微企业支持力度，服务实体经济发展。对设立运营满</w:t>
      </w:r>
      <w:r>
        <w:rPr>
          <w:rFonts w:hint="default" w:ascii="Times New Roman" w:hAnsi="Times New Roman" w:eastAsia="方正仿宋简体" w:cs="Times New Roman"/>
          <w:b w:val="0"/>
          <w:bCs w:val="0"/>
          <w:color w:val="000000"/>
          <w:sz w:val="32"/>
          <w:szCs w:val="32"/>
          <w:lang w:val="en-US" w:eastAsia="zh-CN"/>
        </w:rPr>
        <w:t>3</w:t>
      </w:r>
      <w:r>
        <w:rPr>
          <w:rFonts w:hint="eastAsia" w:ascii="Times New Roman" w:hAnsi="Times New Roman" w:eastAsia="方正仿宋简体" w:cs="方正仿宋简体"/>
          <w:b w:val="0"/>
          <w:bCs w:val="0"/>
          <w:color w:val="000000"/>
          <w:sz w:val="32"/>
          <w:szCs w:val="32"/>
          <w:lang w:val="en-US" w:eastAsia="zh-CN"/>
        </w:rPr>
        <w:t>年以上，日常经营规范良好，支持区内中小微企业融资的地方金融组织，给予融资金额</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的风险补偿扶持，年度最高不超过</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万元。</w:t>
      </w:r>
    </w:p>
    <w:p w14:paraId="093ED966">
      <w:pPr>
        <w:tabs>
          <w:tab w:val="left" w:pos="866"/>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8、私募投资基金企业投资本区企业，或者将所投资的外地企业引入本区，累计投资额达到</w:t>
      </w:r>
      <w:r>
        <w:rPr>
          <w:rFonts w:hint="default" w:ascii="Times New Roman" w:hAnsi="Times New Roman" w:eastAsia="方正仿宋简体" w:cs="Times New Roman"/>
          <w:b w:val="0"/>
          <w:bCs w:val="0"/>
          <w:color w:val="000000"/>
          <w:sz w:val="32"/>
          <w:szCs w:val="32"/>
          <w:lang w:val="en-US" w:eastAsia="zh-CN"/>
        </w:rPr>
        <w:t>3000</w:t>
      </w:r>
      <w:r>
        <w:rPr>
          <w:rFonts w:hint="eastAsia" w:ascii="Times New Roman" w:hAnsi="Times New Roman" w:eastAsia="方正仿宋简体" w:cs="方正仿宋简体"/>
          <w:b w:val="0"/>
          <w:bCs w:val="0"/>
          <w:color w:val="000000"/>
          <w:sz w:val="32"/>
          <w:szCs w:val="32"/>
          <w:lang w:val="en-US" w:eastAsia="zh-CN"/>
        </w:rPr>
        <w:t>万元且投资期限满</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年的，按实际到位投资额的</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给予扶持，年度不超过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w:t>
      </w:r>
    </w:p>
    <w:p w14:paraId="38D5C40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(三)优化金融生态</w:t>
      </w:r>
    </w:p>
    <w:p w14:paraId="4984E0F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9、对获评上海金融创新奖等奖项的科技金融企业及金融功能性机构，以及入选上海“东方英才”等各类人才计划的金融人才，按市级奖励资金</w:t>
      </w:r>
      <w:r>
        <w:rPr>
          <w:rFonts w:hint="default" w:ascii="Times New Roman" w:hAnsi="Times New Roman" w:eastAsia="方正仿宋简体" w:cs="Times New Roman"/>
          <w:b w:val="0"/>
          <w:bCs w:val="0"/>
          <w:color w:val="000000"/>
          <w:sz w:val="32"/>
          <w:szCs w:val="32"/>
          <w:lang w:val="en-US" w:eastAsia="zh-CN"/>
        </w:rPr>
        <w:t>1：1</w:t>
      </w:r>
      <w:r>
        <w:rPr>
          <w:rFonts w:hint="eastAsia" w:ascii="Times New Roman" w:hAnsi="Times New Roman" w:eastAsia="方正仿宋简体" w:cs="方正仿宋简体"/>
          <w:b w:val="0"/>
          <w:bCs w:val="0"/>
          <w:color w:val="000000"/>
          <w:sz w:val="32"/>
          <w:szCs w:val="32"/>
          <w:lang w:val="en-US" w:eastAsia="zh-CN"/>
        </w:rPr>
        <w:t>比例给予区级扶持。</w:t>
      </w:r>
    </w:p>
    <w:p w14:paraId="3996AB6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10、支持在本区举办具备品牌影响力的科技金融论坛、峰会、展会等活动，经认定，根据活动级别，按实际发生费用的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，给予最高不超过</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万元的扶持;鼓励研究机构等金融智库开展科技金融理论研究，根据课题级别，按实际发生费用的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，给予最高不超过</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万元的扶持。</w:t>
      </w:r>
    </w:p>
    <w:p w14:paraId="20BA063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三、使用管理</w:t>
      </w:r>
    </w:p>
    <w:p w14:paraId="06EB808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(一)区投促办会同区发改委、区财政局，根据本意见制定实施流程和细则，落实项目审核、跟踪、评估等工作。本政策条款若与上海市、普陀区制定的其他政策有重复交叉的，按照“从高不重复”原则予以支持。</w:t>
      </w:r>
    </w:p>
    <w:p w14:paraId="6B98BF1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(二)各重点地区投资促进中心负责受理扶持项目申请、进行形式审查，在政策实施部门完成项目审核后负责向申报单位答复，并配合实施部门做好项目管理服务工作。</w:t>
      </w:r>
    </w:p>
    <w:p w14:paraId="2696414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(三)各预算单位负责编制年度专项资金预算，并按程序向区财政局申请拨款，区财政局负责执行相关扶持资金的拨付，在项目过程中会同审计部门对专项资金的使用管理情况进行监督管理。</w:t>
      </w:r>
    </w:p>
    <w:p w14:paraId="0158E45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(四)本意见按照《普陀区产业政策绩效评估管理办法》，实行绩效评估管理。</w:t>
      </w:r>
    </w:p>
    <w:p w14:paraId="0686384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四、附则</w:t>
      </w:r>
    </w:p>
    <w:p w14:paraId="6FBEC39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实行产业专项资金全过程信用管理。申请本政策扶持的企业或机构，将接受信用审查，过去三年内存在严重失信行为或违法行为的，取消申请资格。企业或机构在享受扶持过程中存在失信行为，经查实的，按照有关规定报送市、区公共信用信息服务平台。扶持对象存在弄虚作假、骗取扶持资金等违法违规行为，经查实的，将立即取消一切扶持资金并追缴资金，依法追究相关责任。</w:t>
      </w:r>
    </w:p>
    <w:p w14:paraId="170744A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(二)本意见自</w:t>
      </w:r>
      <w:r>
        <w:rPr>
          <w:rFonts w:hint="default" w:ascii="Times New Roman" w:hAnsi="Times New Roman" w:eastAsia="方正仿宋简体" w:cs="Times New Roman"/>
          <w:b w:val="0"/>
          <w:bCs w:val="0"/>
          <w:color w:val="000000"/>
          <w:sz w:val="32"/>
          <w:szCs w:val="32"/>
          <w:lang w:val="en-US" w:eastAsia="zh-CN"/>
        </w:rPr>
        <w:t>2025</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日起施行，有效期至</w:t>
      </w:r>
      <w:r>
        <w:rPr>
          <w:rFonts w:hint="eastAsia" w:ascii="Times New Roman" w:hAnsi="Times New Roman" w:eastAsia="方正仿宋简体" w:cs="Times New Roman"/>
          <w:b w:val="0"/>
          <w:bCs w:val="0"/>
          <w:color w:val="000000"/>
          <w:sz w:val="32"/>
          <w:szCs w:val="32"/>
          <w:lang w:val="en-US" w:eastAsia="zh-CN"/>
        </w:rPr>
        <w:t>2027</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月</w:t>
      </w:r>
      <w:r>
        <w:rPr>
          <w:rFonts w:hint="default" w:ascii="Times New Roman" w:hAnsi="Times New Roman" w:eastAsia="方正仿宋简体" w:cs="Times New Roman"/>
          <w:b w:val="0"/>
          <w:bCs w:val="0"/>
          <w:color w:val="000000"/>
          <w:sz w:val="32"/>
          <w:szCs w:val="32"/>
          <w:lang w:val="en-US" w:eastAsia="zh-CN"/>
        </w:rPr>
        <w:t>31</w:t>
      </w:r>
      <w:r>
        <w:rPr>
          <w:rFonts w:hint="eastAsia" w:ascii="Times New Roman" w:hAnsi="Times New Roman" w:eastAsia="方正仿宋简体" w:cs="方正仿宋简体"/>
          <w:b w:val="0"/>
          <w:bCs w:val="0"/>
          <w:color w:val="000000"/>
          <w:sz w:val="32"/>
          <w:szCs w:val="32"/>
          <w:lang w:val="en-US" w:eastAsia="zh-CN"/>
        </w:rPr>
        <w:t>日。</w:t>
      </w:r>
    </w:p>
    <w:p w14:paraId="0A702977">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p>
    <w:p w14:paraId="6694440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宝山区机器人及智能制造产业高质量发展行动方案（2024-2026年）（草案）</w:t>
      </w:r>
    </w:p>
    <w:p w14:paraId="2602257F">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4DB6D3CD">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为深入贯彻区委关于进一步加强和发展机器人及智能制造产业的决策部署，抢抓新一轮科技革命和产业变革机遇，有力推动宝山区机器人及智能制造产业集聚和高质量发展，加快形成新质生产力，培育壮大产业发展新动能，打造机器人及智能制造产业高地，制定本实施方案。</w:t>
      </w:r>
    </w:p>
    <w:p w14:paraId="1843394B">
      <w:pPr>
        <w:tabs>
          <w:tab w:val="left" w:pos="2348"/>
        </w:tabs>
        <w:bidi w:val="0"/>
        <w:ind w:firstLine="640"/>
        <w:jc w:val="left"/>
        <w:rPr>
          <w:rFonts w:hint="eastAsia" w:ascii="Times New Roman" w:hAnsi="Times New Roman" w:eastAsia="方正仿宋简体" w:cs="方正仿宋简体"/>
          <w:b w:val="0"/>
          <w:bCs w:val="0"/>
          <w:color w:val="000000"/>
          <w:sz w:val="32"/>
          <w:szCs w:val="32"/>
        </w:rPr>
      </w:pPr>
    </w:p>
    <w:p w14:paraId="023FB59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一、总体要求</w:t>
      </w:r>
    </w:p>
    <w:p w14:paraId="0E8675C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w:t>
      </w:r>
      <w:r>
        <w:rPr>
          <w:rFonts w:hint="default" w:ascii="Times New Roman" w:hAnsi="Times New Roman" w:eastAsia="方正楷体简体" w:cs="方正楷体简体"/>
          <w:b/>
          <w:bCs/>
          <w:kern w:val="2"/>
          <w:sz w:val="32"/>
          <w:szCs w:val="32"/>
          <w:lang w:val="en-US" w:eastAsia="zh-CN" w:bidi="ar-SA"/>
        </w:rPr>
        <w:t>指导思想</w:t>
      </w:r>
    </w:p>
    <w:p w14:paraId="4DB28C64">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以习近平新时代中国特色社会主义思想为指导，深入贯彻落实党的二十大会议及上海市第十二次党代会精神，顺应全球人工智能、大模型、区块链等前沿技术创新迭代，瞄准机器人智能化、集成化、类人化、服务化发展趋势，以大模型等人工智能技术突破为引领，在机器人已有成熟技术基础上，按照“两个面向”进行总体谋划，即面向未来，前瞻布局人形机器人产业创新发展，面向当下，加快推动工业（协作）机器人、服务机器人等产业做大做强；坚持创新引领、应用牵引、龙头带动、软硬协同、生态培育的路径，采取先融入、后成势、再引领的“分步走”方式，推进核心部组件、整机产品、应用场景、专业软件等发展形成产业链式集聚，形成具有全球影响力的智能机器人及智能制造产业集群和应用生态圈。</w:t>
      </w:r>
    </w:p>
    <w:p w14:paraId="2EAD74D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（二）主要目标</w:t>
      </w:r>
    </w:p>
    <w:p w14:paraId="07C0C910">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年，宝山区机器人及智能制造产业规模快速壮大、创新能力大幅提升、示范应用成效显著、产业生态持续完善，打造国家级智能机器人特色产业园区。</w:t>
      </w:r>
    </w:p>
    <w:p w14:paraId="60C8A191">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产业规模快速壮大。到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年，引进培育</w:t>
      </w:r>
      <w:r>
        <w:rPr>
          <w:rFonts w:hint="default" w:ascii="Times New Roman" w:hAnsi="Times New Roman" w:eastAsia="方正仿宋简体" w:cs="Times New Roman"/>
          <w:b w:val="0"/>
          <w:bCs w:val="0"/>
          <w:color w:val="000000"/>
          <w:sz w:val="32"/>
          <w:szCs w:val="32"/>
          <w:lang w:val="en-US" w:eastAsia="zh-CN"/>
        </w:rPr>
        <w:t>5</w:t>
      </w:r>
      <w:r>
        <w:rPr>
          <w:rFonts w:hint="eastAsia" w:ascii="Times New Roman" w:hAnsi="Times New Roman" w:eastAsia="方正仿宋简体" w:cs="方正仿宋简体"/>
          <w:b w:val="0"/>
          <w:bCs w:val="0"/>
          <w:color w:val="000000"/>
          <w:sz w:val="32"/>
          <w:szCs w:val="32"/>
          <w:lang w:val="en-US" w:eastAsia="zh-CN"/>
        </w:rPr>
        <w:t>家以上产值超十亿元的龙头企业、</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家以上产值超亿元优质企业、</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家以上“专精特新”企业、</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家以上高新技术企业，新增</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万方产业空间载体，力争机器人及智能制造产业制造业总规模突破</w:t>
      </w:r>
      <w:r>
        <w:rPr>
          <w:rFonts w:hint="default" w:ascii="Times New Roman" w:hAnsi="Times New Roman" w:eastAsia="方正仿宋简体" w:cs="Times New Roman"/>
          <w:b w:val="0"/>
          <w:bCs w:val="0"/>
          <w:color w:val="000000"/>
          <w:sz w:val="32"/>
          <w:szCs w:val="32"/>
          <w:lang w:val="en-US" w:eastAsia="zh-CN"/>
        </w:rPr>
        <w:t>800</w:t>
      </w:r>
      <w:r>
        <w:rPr>
          <w:rFonts w:hint="eastAsia" w:ascii="Times New Roman" w:hAnsi="Times New Roman" w:eastAsia="方正仿宋简体" w:cs="方正仿宋简体"/>
          <w:b w:val="0"/>
          <w:bCs w:val="0"/>
          <w:color w:val="000000"/>
          <w:sz w:val="32"/>
          <w:szCs w:val="32"/>
          <w:lang w:val="en-US" w:eastAsia="zh-CN"/>
        </w:rPr>
        <w:t>亿元，产业总规模突破千亿级大关。</w:t>
      </w:r>
    </w:p>
    <w:p w14:paraId="6AAB66D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创新能力大幅提升。在机器人领域建成若干高能级检测中心、协同创新平台等新型研发创新机构，打造产学研用创新联合体，力争在伺服系统、控制器、减速器、传感器等关键部件以及在运动控制、人机交互等机器人关键技术上取得重大突破，产品能级达到行业先进水平，完善机器人全产业链生态体系和产业集群建设。</w:t>
      </w:r>
    </w:p>
    <w:p w14:paraId="5B7F24C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示范应用成效显著。通过“机器人+智能工厂”，加速工业（协作）机器人在垂直细分环节应用，推进工业企业智能制造转型。推动服务机器人进入商业、医疗、教育、建筑、养老等领域，拓展服务机器人应用场景。鼓励创新型企业通过应用反馈加快产品技术迭代，构筑企业核心竞争优势。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年，规上制造业工业机器人使用密度力争达到</w:t>
      </w:r>
      <w:r>
        <w:rPr>
          <w:rFonts w:hint="default" w:ascii="Times New Roman" w:hAnsi="Times New Roman" w:eastAsia="方正仿宋简体" w:cs="Times New Roman"/>
          <w:b w:val="0"/>
          <w:bCs w:val="0"/>
          <w:color w:val="000000"/>
          <w:sz w:val="32"/>
          <w:szCs w:val="32"/>
          <w:lang w:val="en-US" w:eastAsia="zh-CN"/>
        </w:rPr>
        <w:t>360</w:t>
      </w:r>
      <w:r>
        <w:rPr>
          <w:rFonts w:hint="eastAsia" w:ascii="Times New Roman" w:hAnsi="Times New Roman" w:eastAsia="方正仿宋简体" w:cs="方正仿宋简体"/>
          <w:b w:val="0"/>
          <w:bCs w:val="0"/>
          <w:color w:val="000000"/>
          <w:sz w:val="32"/>
          <w:szCs w:val="32"/>
          <w:lang w:val="en-US" w:eastAsia="zh-CN"/>
        </w:rPr>
        <w:t>台/万人。</w:t>
      </w:r>
    </w:p>
    <w:p w14:paraId="041D896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（三）载体（空间）布局</w:t>
      </w:r>
    </w:p>
    <w:p w14:paraId="70180AE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宝山机器人及智能制造产业以上海机器人产业园为核心承载区、宝山高新技术产业园区为产业化拓展区、大学科技园为重点科技策源区，打造“一核两园”集聚发展空间。</w:t>
      </w:r>
    </w:p>
    <w:p w14:paraId="769549B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上海机器人产业园聚焦智能机器人及其关联产业全链布局，持续做强国家级的宝山区成套智能装备产业集群，形成“以优质企业引领＋中小企业共生”的特色产业集群。</w:t>
      </w:r>
    </w:p>
    <w:p w14:paraId="15691B3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宝山高新技术产业园区聚焦服务机器人、新能源汽车智能制造、智能装备等领域，推动机器人及智能制造技术创新、产业集聚，成为机器人及智能制造产业重要承载区。</w:t>
      </w:r>
    </w:p>
    <w:p w14:paraId="20F5DC2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大学科技园聚焦“创业孵化、成果转化、人才培养、辐射带动”功能，依托以上海机器人研究所等为代表的环上大科技创新核，汇聚环宝山科研院所资源打造大学科技成果转化带，形成“一核一带”科技创新策源平台。</w:t>
      </w:r>
    </w:p>
    <w:p w14:paraId="37DDEBA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二、发展重点</w:t>
      </w:r>
    </w:p>
    <w:p w14:paraId="10A643A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前瞻布局人形机器人。</w:t>
      </w:r>
      <w:r>
        <w:rPr>
          <w:rFonts w:hint="eastAsia" w:ascii="Times New Roman" w:hAnsi="Times New Roman" w:eastAsia="方正仿宋简体" w:cs="方正仿宋简体"/>
          <w:b w:val="0"/>
          <w:bCs w:val="0"/>
          <w:color w:val="000000"/>
          <w:sz w:val="32"/>
          <w:szCs w:val="32"/>
          <w:lang w:val="en-US" w:eastAsia="zh-CN"/>
        </w:rPr>
        <w:t>聚焦以大模型、具身智能等为代表的人工智能技术，支持优质企业、科研院所等开展人形机器人“大脑”（人工智能大模型）、“小脑”（运动行为控制）、“机器肢”（仿人机械臂、灵巧手和腿足等）、“机器体”（高轻量化材料、复杂身体结构增材制造等）等关键技术群重点产品和部组件研发，加速全链自主可控产业化进程。</w:t>
      </w:r>
    </w:p>
    <w:p w14:paraId="423E91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壮大工业（协作）机器人。</w:t>
      </w:r>
      <w:r>
        <w:rPr>
          <w:rFonts w:hint="eastAsia" w:ascii="Times New Roman" w:hAnsi="Times New Roman" w:eastAsia="方正仿宋简体" w:cs="方正仿宋简体"/>
          <w:b w:val="0"/>
          <w:bCs w:val="0"/>
          <w:color w:val="000000"/>
          <w:sz w:val="32"/>
          <w:szCs w:val="32"/>
          <w:lang w:val="en-US" w:eastAsia="zh-CN"/>
        </w:rPr>
        <w:t>围绕数字化、智能化转型方向，重点发展壮大工业（协作）机器人自动化（零件装配、检测、包装）、汽车零部件制造（焊接、喷漆、装配、点胶）、模具（铸造、铣削和钳制）、供应链（分拣货物、仓储管理、运输）、智能终端（制造、组装）等领域。</w:t>
      </w:r>
    </w:p>
    <w:p w14:paraId="4F393A6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持续发展服务机器人。</w:t>
      </w:r>
      <w:r>
        <w:rPr>
          <w:rFonts w:hint="eastAsia" w:ascii="Times New Roman" w:hAnsi="Times New Roman" w:eastAsia="方正仿宋简体" w:cs="方正仿宋简体"/>
          <w:b w:val="0"/>
          <w:bCs w:val="0"/>
          <w:color w:val="000000"/>
          <w:sz w:val="32"/>
          <w:szCs w:val="32"/>
          <w:lang w:val="en-US" w:eastAsia="zh-CN"/>
        </w:rPr>
        <w:t>牢牢把握服务行业智能化革新趋势，重点发展家务、教育、娱乐等家用服务机器人，讲解导引、餐饮、配送等公共服务机器人，助行、助浴、情感陪护等康养机器人，建筑部件智能化生产、装饰装修、构部件安装等建筑机器人。</w:t>
      </w:r>
    </w:p>
    <w:p w14:paraId="0B60314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抓紧布局医疗机器人。</w:t>
      </w:r>
      <w:r>
        <w:rPr>
          <w:rFonts w:hint="eastAsia" w:ascii="Times New Roman" w:hAnsi="Times New Roman" w:eastAsia="方正仿宋简体" w:cs="方正仿宋简体"/>
          <w:b w:val="0"/>
          <w:bCs w:val="0"/>
          <w:color w:val="000000"/>
          <w:sz w:val="32"/>
          <w:szCs w:val="32"/>
          <w:lang w:val="en-US" w:eastAsia="zh-CN"/>
        </w:rPr>
        <w:t>依托我区生物医药、医疗器械产业基础，抓紧布局手术机器人（腔镜、口腔种植、支气管镜、整形修复、</w:t>
      </w:r>
      <w:r>
        <w:rPr>
          <w:rFonts w:hint="default" w:ascii="Times New Roman" w:hAnsi="Times New Roman" w:eastAsia="方正仿宋简体" w:cs="Times New Roman"/>
          <w:b w:val="0"/>
          <w:bCs w:val="0"/>
          <w:color w:val="000000"/>
          <w:sz w:val="32"/>
          <w:szCs w:val="32"/>
          <w:lang w:val="en-US" w:eastAsia="zh-CN"/>
        </w:rPr>
        <w:t>5G</w:t>
      </w:r>
      <w:r>
        <w:rPr>
          <w:rFonts w:hint="eastAsia" w:ascii="Times New Roman" w:hAnsi="Times New Roman" w:eastAsia="方正仿宋简体" w:cs="方正仿宋简体"/>
          <w:b w:val="0"/>
          <w:bCs w:val="0"/>
          <w:color w:val="000000"/>
          <w:sz w:val="32"/>
          <w:szCs w:val="32"/>
          <w:lang w:val="en-US" w:eastAsia="zh-CN"/>
        </w:rPr>
        <w:t>远程手术机器人等）、康复人形机器人（上下肢康复、外骨骼康复、手功能康复机器人等）、辅助服务机器人等（医疗物流、辅助诊断、陪伴护理机器人等）。</w:t>
      </w:r>
    </w:p>
    <w:p w14:paraId="7F277A6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做强做大智能装备。</w:t>
      </w:r>
      <w:r>
        <w:rPr>
          <w:rFonts w:hint="eastAsia" w:ascii="Times New Roman" w:hAnsi="Times New Roman" w:eastAsia="方正仿宋简体" w:cs="方正仿宋简体"/>
          <w:b w:val="0"/>
          <w:bCs w:val="0"/>
          <w:color w:val="000000"/>
          <w:sz w:val="32"/>
          <w:szCs w:val="32"/>
          <w:lang w:val="en-US" w:eastAsia="zh-CN"/>
        </w:rPr>
        <w:t>突出先进制造技术、信息技术和智能技术的集成和深度融合，重点发展壮大高端数控机床、海洋工程设备、轨道交通设备、能源装备、集成电路封装测试装备、自动化生产线设备、柔性制造设备、智能检测设备等。</w:t>
      </w:r>
    </w:p>
    <w:p w14:paraId="039E946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三、重点任务</w:t>
      </w:r>
    </w:p>
    <w:p w14:paraId="2A1A6E5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(一)推动产业能级提升</w:t>
      </w:r>
    </w:p>
    <w:p w14:paraId="6512959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w:t>
      </w:r>
      <w:r>
        <w:rPr>
          <w:rFonts w:hint="eastAsia" w:ascii="Times New Roman" w:hAnsi="Times New Roman" w:eastAsia="方正仿宋简体" w:cs="方正仿宋简体"/>
          <w:b/>
          <w:bCs/>
          <w:color w:val="000000"/>
          <w:sz w:val="32"/>
          <w:szCs w:val="32"/>
          <w:lang w:val="en-US" w:eastAsia="zh-CN"/>
        </w:rPr>
        <w:t>、梯次培育优质企业</w:t>
      </w:r>
      <w:r>
        <w:rPr>
          <w:rFonts w:hint="default" w:ascii="Times New Roman" w:hAnsi="Times New Roman" w:eastAsia="方正仿宋简体" w:cs="方正仿宋简体"/>
          <w:b/>
          <w:bCs/>
          <w:color w:val="000000"/>
          <w:sz w:val="32"/>
          <w:szCs w:val="32"/>
          <w:lang w:val="en-US" w:eastAsia="zh-CN"/>
        </w:rPr>
        <w:t>。</w:t>
      </w:r>
      <w:r>
        <w:rPr>
          <w:rFonts w:hint="default" w:ascii="Times New Roman" w:hAnsi="Times New Roman" w:eastAsia="方正仿宋简体" w:cs="方正仿宋简体"/>
          <w:b w:val="0"/>
          <w:bCs w:val="0"/>
          <w:color w:val="000000"/>
          <w:sz w:val="32"/>
          <w:szCs w:val="32"/>
          <w:lang w:val="en-US" w:eastAsia="zh-CN"/>
        </w:rPr>
        <w:t>打造以链主企业引领带动、龙头企业协同联动、优质中小企业各具特色的企业方阵。鼓励具有生态主导力和核心竞争力的机器人及智能制造领域“链主”企业做大做强，引进培育一批具有核心技术、带动效应强的优质企业，培育集聚一批深耕细分领域、创新能力突出、成长潜力大的优质中小企业，形成专精特新、单项冠军、独角兽企业不断涌现的发展态势。</w:t>
      </w:r>
    </w:p>
    <w:p w14:paraId="03CFF35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2、推进强链延链补链。</w:t>
      </w:r>
      <w:r>
        <w:rPr>
          <w:rFonts w:hint="default" w:ascii="Times New Roman" w:hAnsi="Times New Roman" w:eastAsia="方正仿宋简体" w:cs="方正仿宋简体"/>
          <w:b w:val="0"/>
          <w:bCs w:val="0"/>
          <w:color w:val="000000"/>
          <w:sz w:val="32"/>
          <w:szCs w:val="32"/>
          <w:lang w:val="en-US" w:eastAsia="zh-CN"/>
        </w:rPr>
        <w:t>推动链主企业全链条布局、市场全要素配置、政府全方位支持，围绕产业链重点环节持续做大规模、做优能级。支持优质企业向产业链上游设计、研发和下游终端产品等环节延伸，拓展设计、研发、品牌等价值链高端环节。针对产业链薄弱环节，加大关键环节项目招引、企业培育，提升产业链供应链自主可控、安全高效和现代化水平。</w:t>
      </w:r>
    </w:p>
    <w:p w14:paraId="66EA095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3、推动项目引进落地达产。</w:t>
      </w:r>
      <w:r>
        <w:rPr>
          <w:rFonts w:hint="default" w:ascii="Times New Roman" w:hAnsi="Times New Roman" w:eastAsia="方正仿宋简体" w:cs="方正仿宋简体"/>
          <w:b w:val="0"/>
          <w:bCs w:val="0"/>
          <w:color w:val="000000"/>
          <w:sz w:val="32"/>
          <w:szCs w:val="32"/>
          <w:lang w:val="en-US" w:eastAsia="zh-CN"/>
        </w:rPr>
        <w:t>瞄准机器人及智能制造领域优质企业，加大优质项目招引力度，推动一批优质企业签约落地。紧盯有效投入、实物进度、产出效益等环节，推动投资规模大、辐射范围广、带动作用强的产业和载体项目加快建设，让“拿地即开工”“边建设边招商”成为常态，为优质项目落地、投产、见效提供要素保障。</w:t>
      </w:r>
    </w:p>
    <w:p w14:paraId="5874C6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（二）推动创新能力增强</w:t>
      </w:r>
    </w:p>
    <w:p w14:paraId="6A32381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4、打造全球机器人创新转化平台。</w:t>
      </w:r>
      <w:r>
        <w:rPr>
          <w:rFonts w:hint="default" w:ascii="Times New Roman" w:hAnsi="Times New Roman" w:eastAsia="方正仿宋简体" w:cs="方正仿宋简体"/>
          <w:b w:val="0"/>
          <w:bCs w:val="0"/>
          <w:color w:val="000000"/>
          <w:sz w:val="32"/>
          <w:szCs w:val="32"/>
          <w:lang w:val="en-US" w:eastAsia="zh-CN"/>
        </w:rPr>
        <w:t>探索建立宝山全球机器人创新转化平台，按照“一个创新中心、一批转化项目、一家平台公司、一个园区载体、一支投资基金”协同机制，构建高校院所支撑、优质企业参与、各类创新主体相互协同、信贷投补合力加持的创新转化体系，打造集创新孵化、成果转化、概念验证、检测评定、展示体验等为一体，以产业化项目为牵引的协同创新转化平台。</w:t>
      </w:r>
    </w:p>
    <w:p w14:paraId="5BABD61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5、推动产业孵化培育。</w:t>
      </w:r>
      <w:r>
        <w:rPr>
          <w:rFonts w:hint="default" w:ascii="Times New Roman" w:hAnsi="Times New Roman" w:eastAsia="方正仿宋简体" w:cs="方正仿宋简体"/>
          <w:b w:val="0"/>
          <w:bCs w:val="0"/>
          <w:color w:val="000000"/>
          <w:sz w:val="32"/>
          <w:szCs w:val="32"/>
          <w:lang w:val="en-US" w:eastAsia="zh-CN"/>
        </w:rPr>
        <w:t>依托重点高校在机械自动化、机器人领域学科优势，加强大学科技园与重点企业、产业园区协同联动，完善“科学育苗、精准施肥、有效嫁接”的全流程服务体系，进一步贯通科技创新、转化孵化、企业培育、产业集聚的全链条，打造“概念验证-转化孵化-中试加速-产业化”的产业培育体系。</w:t>
      </w:r>
    </w:p>
    <w:p w14:paraId="5A04875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6、探索组建机器人创新联合体。</w:t>
      </w:r>
      <w:r>
        <w:rPr>
          <w:rFonts w:hint="default" w:ascii="Times New Roman" w:hAnsi="Times New Roman" w:eastAsia="方正仿宋简体" w:cs="方正仿宋简体"/>
          <w:b w:val="0"/>
          <w:bCs w:val="0"/>
          <w:color w:val="000000"/>
          <w:sz w:val="32"/>
          <w:szCs w:val="32"/>
          <w:lang w:val="en-US" w:eastAsia="zh-CN"/>
        </w:rPr>
        <w:t>以解决实际问题、攻克具体卡点为目标，支持优质企业协同高校、科研机构、上下游重点企业等各方面资源，组建创新联合体，用好“揭榜挂帅”机制，加快关键核心技术和产业底层技术突破，推动产业链创新链深度融合，有效闭环“最初”与“最后”一公里。</w:t>
      </w:r>
    </w:p>
    <w:p w14:paraId="63AEB5A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7、支持科技成果转化。</w:t>
      </w:r>
      <w:r>
        <w:rPr>
          <w:rFonts w:hint="default" w:ascii="Times New Roman" w:hAnsi="Times New Roman" w:eastAsia="方正仿宋简体" w:cs="方正仿宋简体"/>
          <w:b w:val="0"/>
          <w:bCs w:val="0"/>
          <w:color w:val="000000"/>
          <w:sz w:val="32"/>
          <w:szCs w:val="32"/>
          <w:lang w:val="en-US" w:eastAsia="zh-CN"/>
        </w:rPr>
        <w:t>鼓励优质企业联合高校、科研机构等，围绕精密减速器、伺服系统、控制器等核心零部件，以及激光雷达、机器视觉、自主导航、语音识别、自主避障、图像传输、传感认知等领域，开展技术攻关和成果转化。鼓励机器人及智能制造企业做好首台套设备技术突破等，加大企业技术中心、新型研发机构培育力度。</w:t>
      </w:r>
    </w:p>
    <w:p w14:paraId="7E48F76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（三）推动应用场景落地</w:t>
      </w:r>
    </w:p>
    <w:p w14:paraId="2FC1E98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8、推动工业（协作）机器人进工厂。</w:t>
      </w:r>
      <w:r>
        <w:rPr>
          <w:rFonts w:hint="default" w:ascii="Times New Roman" w:hAnsi="Times New Roman" w:eastAsia="方正仿宋简体" w:cs="方正仿宋简体"/>
          <w:b w:val="0"/>
          <w:bCs w:val="0"/>
          <w:color w:val="000000"/>
          <w:sz w:val="32"/>
          <w:szCs w:val="32"/>
          <w:lang w:val="en-US" w:eastAsia="zh-CN"/>
        </w:rPr>
        <w:t>全面推进智能工厂领航计划，围绕高端装备、汽车零部件等重点产业，通过“机器人+智能工厂”，推动机器人在上下料、加工、焊接、打磨、装配、码垛、分拣、检验检测、切割、巡检等细分环节中加速应用，带动工业（协作）机器人应用规模快速提升。</w:t>
      </w:r>
    </w:p>
    <w:p w14:paraId="67789B8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9、推动服务机器人进生活。</w:t>
      </w:r>
      <w:r>
        <w:rPr>
          <w:rFonts w:hint="default" w:ascii="Times New Roman" w:hAnsi="Times New Roman" w:eastAsia="方正仿宋简体" w:cs="方正仿宋简体"/>
          <w:b w:val="0"/>
          <w:bCs w:val="0"/>
          <w:color w:val="000000"/>
          <w:sz w:val="32"/>
          <w:szCs w:val="32"/>
          <w:lang w:val="en-US" w:eastAsia="zh-CN"/>
        </w:rPr>
        <w:t>积极推动服务机器人进入医疗康复、公共服务、智慧家居、商业办公等民生领域，加大服务机器人在园区、商圈、楼宇等公共场景的展示力度。遴选和编制机器人应用场景需求库和场景库，支持机器人创新产品和服务供给方与需求方双向赋能。支持优质企业积极参评上海市智能机器人标杆企业与应用场景推荐目录。</w:t>
      </w:r>
    </w:p>
    <w:p w14:paraId="0990D7C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10、</w:t>
      </w:r>
      <w:r>
        <w:rPr>
          <w:rFonts w:hint="default" w:ascii="Times New Roman" w:hAnsi="Times New Roman" w:eastAsia="方正仿宋简体" w:cs="方正仿宋简体"/>
          <w:b/>
          <w:bCs/>
          <w:color w:val="000000"/>
          <w:sz w:val="32"/>
          <w:szCs w:val="32"/>
          <w:lang w:val="en-US" w:eastAsia="zh-CN"/>
        </w:rPr>
        <w:t>创新应用推广模式。</w:t>
      </w:r>
      <w:r>
        <w:rPr>
          <w:rFonts w:hint="default" w:ascii="Times New Roman" w:hAnsi="Times New Roman" w:eastAsia="方正仿宋简体" w:cs="方正仿宋简体"/>
          <w:b w:val="0"/>
          <w:bCs w:val="0"/>
          <w:color w:val="000000"/>
          <w:sz w:val="32"/>
          <w:szCs w:val="32"/>
          <w:lang w:val="en-US" w:eastAsia="zh-CN"/>
        </w:rPr>
        <w:t>整合机器人企业、用户、行业组织等多方资源，搭建多领域互联互通平台，促进制造、医疗、教育、养老、建筑、商业等领域供需对接。鼓励机器人企业和电信运营商、金融机构等第三方平台开展业务合作，探索“服务租赁+系统集成”的商业模式。鼓励机器人企业建设场景化应用体验中心，增强用户认知和体验感，提升产品消费和推广水平。</w:t>
      </w:r>
    </w:p>
    <w:p w14:paraId="1BB8B17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（四）推动产业生态优化</w:t>
      </w:r>
    </w:p>
    <w:p w14:paraId="7FD854F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11、探索产融合作支撑。</w:t>
      </w:r>
      <w:r>
        <w:rPr>
          <w:rFonts w:hint="default" w:ascii="Times New Roman" w:hAnsi="Times New Roman" w:eastAsia="方正仿宋简体" w:cs="方正仿宋简体"/>
          <w:b w:val="0"/>
          <w:bCs w:val="0"/>
          <w:color w:val="000000"/>
          <w:sz w:val="32"/>
          <w:szCs w:val="32"/>
          <w:lang w:val="en-US" w:eastAsia="zh-CN"/>
        </w:rPr>
        <w:t>在区科创产业基金下设立机器人及智能制造产业专项子基金，探索建立由区、镇（园区）与重点企业组成风险共担、收益共享的资金支持体系。鼓励金融机构优化融资服务模式，综合运用贷款、担保、基金、保险等多种金融工具，为企业提供个性化金融产品。用好“先投后股”“先租后股”“先服务后股”等创新服务，积极对接引入市场化资本参与，推动政策资金与社会资本为创新型机器人企业联动接力。</w:t>
      </w:r>
    </w:p>
    <w:p w14:paraId="3A6ADAB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12、拓展机器人产业“智造空间”。</w:t>
      </w:r>
      <w:r>
        <w:rPr>
          <w:rFonts w:hint="default" w:ascii="Times New Roman" w:hAnsi="Times New Roman" w:eastAsia="方正仿宋简体" w:cs="方正仿宋简体"/>
          <w:b w:val="0"/>
          <w:bCs w:val="0"/>
          <w:color w:val="000000"/>
          <w:sz w:val="32"/>
          <w:szCs w:val="32"/>
          <w:lang w:val="en-US" w:eastAsia="zh-CN"/>
        </w:rPr>
        <w:t>拓展机器人产业空间维度，高效利用新型工业用地（</w:t>
      </w:r>
      <w:r>
        <w:rPr>
          <w:rFonts w:hint="default" w:ascii="Times New Roman" w:hAnsi="Times New Roman" w:eastAsia="方正仿宋简体" w:cs="Times New Roman"/>
          <w:b w:val="0"/>
          <w:bCs w:val="0"/>
          <w:color w:val="000000"/>
          <w:sz w:val="32"/>
          <w:szCs w:val="32"/>
          <w:lang w:val="en-US" w:eastAsia="zh-CN"/>
        </w:rPr>
        <w:t>M</w:t>
      </w:r>
      <w:r>
        <w:rPr>
          <w:rFonts w:hint="default" w:ascii="Times New Roman" w:hAnsi="Times New Roman" w:eastAsia="方正仿宋简体" w:cs="Times New Roman"/>
          <w:b w:val="0"/>
          <w:bCs w:val="0"/>
          <w:color w:val="000000"/>
          <w:sz w:val="32"/>
          <w:szCs w:val="32"/>
          <w:vertAlign w:val="subscript"/>
          <w:lang w:val="en-US" w:eastAsia="zh-CN"/>
        </w:rPr>
        <w:t>0</w:t>
      </w:r>
      <w:r>
        <w:rPr>
          <w:rFonts w:hint="default" w:ascii="Times New Roman" w:hAnsi="Times New Roman" w:eastAsia="方正仿宋简体" w:cs="方正仿宋简体"/>
          <w:b w:val="0"/>
          <w:bCs w:val="0"/>
          <w:color w:val="000000"/>
          <w:sz w:val="32"/>
          <w:szCs w:val="32"/>
          <w:lang w:val="en-US" w:eastAsia="zh-CN"/>
        </w:rPr>
        <w:t>）盘活存量用地，加快新型复合产业功能载体建设。运用“工业上楼”模式推动产业空间向上延伸，促进机器人产业链上下游紧密衔接，实现工业用地集约高效利用，提高产业浓度和生产效率，推动机器人产业高质量聚合发展。</w:t>
      </w:r>
    </w:p>
    <w:p w14:paraId="1768A41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13、推动长三角机器人及智能制造产业协同发展。</w:t>
      </w:r>
      <w:r>
        <w:rPr>
          <w:rFonts w:hint="default" w:ascii="Times New Roman" w:hAnsi="Times New Roman" w:eastAsia="方正仿宋简体" w:cs="方正仿宋简体"/>
          <w:b w:val="0"/>
          <w:bCs w:val="0"/>
          <w:color w:val="000000"/>
          <w:sz w:val="32"/>
          <w:szCs w:val="32"/>
          <w:lang w:val="en-US" w:eastAsia="zh-CN"/>
        </w:rPr>
        <w:t>鼓励总部在宝山区、生产在长三角地区的企业通过打造工业互联网平台、建设“母子工厂”等方式，实现生产资源对接、生产过程协同，提升产业链供应链整合能力。积极争取机器人优质企业及上下游配套企业在宝山区布点布局、发展壮大，推动区域产业协同发展。</w:t>
      </w:r>
    </w:p>
    <w:p w14:paraId="7F75095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14、营造产业发展氛围。</w:t>
      </w:r>
      <w:r>
        <w:rPr>
          <w:rFonts w:hint="default" w:ascii="Times New Roman" w:hAnsi="Times New Roman" w:eastAsia="方正仿宋简体" w:cs="方正仿宋简体"/>
          <w:b w:val="0"/>
          <w:bCs w:val="0"/>
          <w:color w:val="000000"/>
          <w:sz w:val="32"/>
          <w:szCs w:val="32"/>
          <w:lang w:val="en-US" w:eastAsia="zh-CN"/>
        </w:rPr>
        <w:t>建立机器人及智能制造产业联盟，汇聚优质企业、行业协会、智库专家等资源，搭建产学研深度融合、资源高效对接的互动交流平台。举办顾村·全球机器人大会，结合论坛、展会、路演、赛事等多种形式，助力核心技术突破、产业链协同发展、产业资源有效对接，带动优质项目落地，激发产业创新活力。</w:t>
      </w:r>
    </w:p>
    <w:p w14:paraId="7ACE9CA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四、保障措施</w:t>
      </w:r>
    </w:p>
    <w:p w14:paraId="5EDFF6B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15、完善工作推进机制。</w:t>
      </w:r>
      <w:r>
        <w:rPr>
          <w:rFonts w:hint="eastAsia" w:ascii="Times New Roman" w:hAnsi="Times New Roman" w:eastAsia="方正仿宋简体" w:cs="方正仿宋简体"/>
          <w:b w:val="0"/>
          <w:bCs w:val="0"/>
          <w:color w:val="000000"/>
          <w:kern w:val="2"/>
          <w:sz w:val="32"/>
          <w:szCs w:val="32"/>
          <w:lang w:val="en-US" w:eastAsia="zh-CN" w:bidi="ar-SA"/>
        </w:rPr>
        <w:t>建立宝山区机器人及智能制造高质量发展工作专班，统筹推进机器人及智能制造产业发展。优化协同推进机制，明确各部门责任分工，加大整体推进和综合协调力度，加强机器人及智能制造企业运行监测和分析，确保各项工作有效落实。各街镇（园区）结合区域实际，保障要素供给，优化企业服务，形成区、街镇（园区）协同推动产业高质量发展的工作格局。</w:t>
      </w:r>
    </w:p>
    <w:p w14:paraId="0CC73D4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16、加强专项政策支持。</w:t>
      </w:r>
      <w:r>
        <w:rPr>
          <w:rFonts w:hint="eastAsia" w:ascii="Times New Roman" w:hAnsi="Times New Roman" w:eastAsia="方正仿宋简体" w:cs="方正仿宋简体"/>
          <w:b w:val="0"/>
          <w:bCs w:val="0"/>
          <w:color w:val="000000"/>
          <w:kern w:val="2"/>
          <w:sz w:val="32"/>
          <w:szCs w:val="32"/>
          <w:lang w:val="en-US" w:eastAsia="zh-CN" w:bidi="ar-SA"/>
        </w:rPr>
        <w:t>聚焦优质项目、重点技术、专业平台、应用示范等领域，研究制定宝山区支持机器人及智能制造产业高质量发展专项政策。统筹用好“科创</w:t>
      </w:r>
      <w:r>
        <w:rPr>
          <w:rFonts w:hint="default"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条”、大学科技园专项等政策，大力招引、培育、壮大一批具有核心技术、创新能力的高成长性机器人及智能制造企业。</w:t>
      </w:r>
    </w:p>
    <w:p w14:paraId="3EA8804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color w:val="000000"/>
          <w:kern w:val="2"/>
          <w:sz w:val="32"/>
          <w:szCs w:val="32"/>
          <w:lang w:val="en-US" w:eastAsia="zh-CN" w:bidi="ar-SA"/>
        </w:rPr>
        <w:t>17、强化人才引育力度。</w:t>
      </w:r>
      <w:r>
        <w:rPr>
          <w:rFonts w:hint="eastAsia" w:ascii="Times New Roman" w:hAnsi="Times New Roman" w:eastAsia="方正仿宋简体" w:cs="方正仿宋简体"/>
          <w:b w:val="0"/>
          <w:bCs w:val="0"/>
          <w:color w:val="000000"/>
          <w:kern w:val="2"/>
          <w:sz w:val="32"/>
          <w:szCs w:val="32"/>
          <w:lang w:val="en-US" w:eastAsia="zh-CN" w:bidi="ar-SA"/>
        </w:rPr>
        <w:t>发挥区“人才新政</w:t>
      </w:r>
      <w:r>
        <w:rPr>
          <w:rFonts w:hint="default" w:ascii="Times New Roman" w:hAnsi="Times New Roman" w:eastAsia="方正仿宋简体" w:cs="Times New Roman"/>
          <w:b w:val="0"/>
          <w:bCs w:val="0"/>
          <w:color w:val="000000"/>
          <w:kern w:val="2"/>
          <w:sz w:val="32"/>
          <w:szCs w:val="32"/>
          <w:lang w:val="en-US" w:eastAsia="zh-CN" w:bidi="ar-SA"/>
        </w:rPr>
        <w:t>25</w:t>
      </w:r>
      <w:r>
        <w:rPr>
          <w:rFonts w:hint="eastAsia" w:ascii="Times New Roman" w:hAnsi="Times New Roman" w:eastAsia="方正仿宋简体" w:cs="方正仿宋简体"/>
          <w:b w:val="0"/>
          <w:bCs w:val="0"/>
          <w:color w:val="000000"/>
          <w:kern w:val="2"/>
          <w:sz w:val="32"/>
          <w:szCs w:val="32"/>
          <w:lang w:val="en-US" w:eastAsia="zh-CN" w:bidi="ar-SA"/>
        </w:rPr>
        <w:t>条”作用，优化人才全生命周期服务。加大机器人及智能制造产业高端领军人才和创新团队引育力度，支持紧缺人才落户，加大专项人才激励。鼓励企业与高校院所合作，通过定向委培、靶向引才等方式，培育引进一批优秀人才。加强“产业菁英”、“三江英才”等高层次人才引育留力度。</w:t>
      </w:r>
    </w:p>
    <w:p w14:paraId="2BDAA7CE">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p>
    <w:p w14:paraId="04FC38F5">
      <w:pPr>
        <w:bidi w:val="0"/>
        <w:ind w:firstLine="640" w:firstLineChars="200"/>
        <w:rPr>
          <w:rFonts w:hint="eastAsia" w:ascii="Times New Roman" w:hAnsi="Times New Roman" w:eastAsia="方正仿宋_GB2312" w:cs="方正仿宋_GB2312"/>
          <w:b w:val="0"/>
          <w:bCs w:val="0"/>
          <w:color w:val="000000"/>
          <w:kern w:val="2"/>
          <w:sz w:val="32"/>
          <w:szCs w:val="32"/>
          <w:lang w:val="en-US" w:eastAsia="zh-CN" w:bidi="ar-SA"/>
        </w:rPr>
      </w:pPr>
    </w:p>
    <w:p w14:paraId="5A51949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上海市松江区人民政府关于印发《松江区电子信息产业智能终端细分赛道高质量发展行动计划（2025-2027年）》的通知</w:t>
      </w:r>
    </w:p>
    <w:p w14:paraId="2520A69C">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302DFF62">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各镇人民政府、街道办事处，区政府各部门：</w:t>
      </w:r>
    </w:p>
    <w:p w14:paraId="38DCAD5C">
      <w:pPr>
        <w:tabs>
          <w:tab w:val="left" w:pos="2348"/>
        </w:tabs>
        <w:bidi w:val="0"/>
        <w:ind w:firstLine="640"/>
        <w:jc w:val="left"/>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经区政府同意，现将《松江区电子信息产业智能终端细分赛道高质量发展行动计划（</w:t>
      </w:r>
      <w:r>
        <w:rPr>
          <w:rFonts w:hint="default" w:ascii="Times New Roman" w:hAnsi="Times New Roman" w:eastAsia="方正仿宋简体" w:cs="Times New Roman"/>
          <w:b w:val="0"/>
          <w:bCs w:val="0"/>
          <w:color w:val="000000"/>
          <w:sz w:val="32"/>
          <w:szCs w:val="32"/>
        </w:rPr>
        <w:t>2025-2027</w:t>
      </w:r>
      <w:r>
        <w:rPr>
          <w:rFonts w:hint="eastAsia" w:ascii="Times New Roman" w:hAnsi="Times New Roman" w:eastAsia="方正仿宋简体" w:cs="方正仿宋简体"/>
          <w:b w:val="0"/>
          <w:bCs w:val="0"/>
          <w:color w:val="000000"/>
          <w:sz w:val="32"/>
          <w:szCs w:val="32"/>
        </w:rPr>
        <w:t>年）》印发给你们，请认</w:t>
      </w:r>
    </w:p>
    <w:p w14:paraId="40278E9A">
      <w:pPr>
        <w:tabs>
          <w:tab w:val="left" w:pos="2348"/>
        </w:tabs>
        <w:bidi w:val="0"/>
        <w:jc w:val="both"/>
        <w:rPr>
          <w:rFonts w:hint="eastAsia" w:ascii="Times New Roman" w:hAnsi="Times New Roman" w:eastAsia="方正仿宋简体" w:cs="方正仿宋简体"/>
          <w:b w:val="0"/>
          <w:bCs w:val="0"/>
          <w:color w:val="000000"/>
          <w:sz w:val="32"/>
          <w:szCs w:val="32"/>
        </w:rPr>
      </w:pPr>
      <w:r>
        <w:rPr>
          <w:rFonts w:hint="eastAsia" w:ascii="Times New Roman" w:hAnsi="Times New Roman" w:eastAsia="方正仿宋简体" w:cs="方正仿宋简体"/>
          <w:b w:val="0"/>
          <w:bCs w:val="0"/>
          <w:color w:val="000000"/>
          <w:sz w:val="32"/>
          <w:szCs w:val="32"/>
        </w:rPr>
        <w:t>真按照执行。</w:t>
      </w:r>
    </w:p>
    <w:p w14:paraId="4EA6EBA7">
      <w:pPr>
        <w:tabs>
          <w:tab w:val="left" w:pos="2348"/>
        </w:tabs>
        <w:bidi w:val="0"/>
        <w:ind w:firstLine="640"/>
        <w:jc w:val="right"/>
        <w:rPr>
          <w:rFonts w:hint="default" w:ascii="Times New Roman" w:hAnsi="Times New Roman" w:eastAsia="方正仿宋简体" w:cs="Times New Roman"/>
          <w:b w:val="0"/>
          <w:bCs w:val="0"/>
          <w:color w:val="000000"/>
          <w:sz w:val="32"/>
          <w:szCs w:val="32"/>
        </w:rPr>
      </w:pPr>
    </w:p>
    <w:p w14:paraId="7F3987FC">
      <w:pPr>
        <w:tabs>
          <w:tab w:val="left" w:pos="2348"/>
        </w:tabs>
        <w:bidi w:val="0"/>
        <w:ind w:firstLine="640"/>
        <w:jc w:val="right"/>
        <w:rPr>
          <w:rFonts w:hint="eastAsia"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2024</w:t>
      </w:r>
      <w:r>
        <w:rPr>
          <w:rFonts w:hint="eastAsia" w:ascii="Times New Roman" w:hAnsi="Times New Roman" w:eastAsia="方正仿宋简体" w:cs="方正仿宋简体"/>
          <w:b w:val="0"/>
          <w:bCs w:val="0"/>
          <w:color w:val="000000"/>
          <w:sz w:val="32"/>
          <w:szCs w:val="32"/>
        </w:rPr>
        <w:t>年</w:t>
      </w:r>
      <w:r>
        <w:rPr>
          <w:rFonts w:hint="eastAsia" w:ascii="Times New Roman" w:hAnsi="Times New Roman" w:eastAsia="方正仿宋简体" w:cs="Times New Roman"/>
          <w:b w:val="0"/>
          <w:bCs w:val="0"/>
          <w:color w:val="000000"/>
          <w:sz w:val="32"/>
          <w:szCs w:val="32"/>
        </w:rPr>
        <w:t>12</w:t>
      </w:r>
      <w:r>
        <w:rPr>
          <w:rFonts w:hint="eastAsia" w:ascii="Times New Roman" w:hAnsi="Times New Roman" w:eastAsia="方正仿宋简体" w:cs="方正仿宋简体"/>
          <w:b w:val="0"/>
          <w:bCs w:val="0"/>
          <w:color w:val="000000"/>
          <w:sz w:val="32"/>
          <w:szCs w:val="32"/>
        </w:rPr>
        <w:t>月</w:t>
      </w:r>
      <w:r>
        <w:rPr>
          <w:rFonts w:hint="eastAsia" w:ascii="Times New Roman" w:hAnsi="Times New Roman" w:eastAsia="方正仿宋简体" w:cs="Times New Roman"/>
          <w:b w:val="0"/>
          <w:bCs w:val="0"/>
          <w:color w:val="000000"/>
          <w:sz w:val="32"/>
          <w:szCs w:val="32"/>
        </w:rPr>
        <w:t>5</w:t>
      </w:r>
      <w:r>
        <w:rPr>
          <w:rFonts w:hint="eastAsia" w:ascii="Times New Roman" w:hAnsi="Times New Roman" w:eastAsia="方正仿宋简体" w:cs="方正仿宋简体"/>
          <w:b w:val="0"/>
          <w:bCs w:val="0"/>
          <w:color w:val="000000"/>
          <w:sz w:val="32"/>
          <w:szCs w:val="32"/>
        </w:rPr>
        <w:t>日</w:t>
      </w:r>
    </w:p>
    <w:p w14:paraId="76E846F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2A2387B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68C3112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0430803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0959EF8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7EF7024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67CD1E1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160EFF4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56E584D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11F0F20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0A3659D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p>
    <w:p w14:paraId="0C020AF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r>
        <w:rPr>
          <w:rFonts w:hint="eastAsia" w:ascii="Times New Roman" w:hAnsi="Times New Roman" w:eastAsia="方正小标宋简体" w:cs="方正小标宋简体"/>
          <w:sz w:val="44"/>
          <w:szCs w:val="44"/>
          <w:lang w:val="en-US" w:eastAsia="zh-CN"/>
        </w:rPr>
        <w:t>松江区电子信息产业智能终端细分赛道高质量发展行动计划（2025-2027年）</w:t>
      </w:r>
    </w:p>
    <w:p w14:paraId="54BC5BC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0EAB2E61">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rPr>
        <w:t>为贯彻落实市区协同推进电子信息产业智能终端细分赛道的工作部署，加快形成新质生产力打造智能终端产业新高地，锻造松江产业发展新增长极，根据《上海市促进智能终端产业高质量发展行动方案（</w:t>
      </w:r>
      <w:r>
        <w:rPr>
          <w:rFonts w:hint="default" w:ascii="Times New Roman" w:hAnsi="Times New Roman" w:eastAsia="方正仿宋简体" w:cs="Times New Roman"/>
          <w:b w:val="0"/>
          <w:bCs w:val="0"/>
          <w:color w:val="000000"/>
          <w:sz w:val="32"/>
          <w:szCs w:val="32"/>
        </w:rPr>
        <w:t>2022-2025</w:t>
      </w:r>
      <w:r>
        <w:rPr>
          <w:rFonts w:hint="eastAsia" w:ascii="Times New Roman" w:hAnsi="Times New Roman" w:eastAsia="方正仿宋简体" w:cs="方正仿宋简体"/>
          <w:b w:val="0"/>
          <w:bCs w:val="0"/>
          <w:color w:val="000000"/>
          <w:sz w:val="32"/>
          <w:szCs w:val="32"/>
        </w:rPr>
        <w:t>年）》《松江区关于推进重点产业“一把手”工程的工作方案》等文件精神，制定本行动计划。</w:t>
      </w:r>
    </w:p>
    <w:p w14:paraId="3625A7A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一、总体要求</w:t>
      </w:r>
    </w:p>
    <w:p w14:paraId="7F9769E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w:t>
      </w:r>
      <w:r>
        <w:rPr>
          <w:rFonts w:hint="default" w:ascii="Times New Roman" w:hAnsi="Times New Roman" w:eastAsia="方正楷体简体" w:cs="方正楷体简体"/>
          <w:b/>
          <w:bCs/>
          <w:kern w:val="2"/>
          <w:sz w:val="32"/>
          <w:szCs w:val="32"/>
          <w:lang w:val="en-US" w:eastAsia="zh-CN" w:bidi="ar-SA"/>
        </w:rPr>
        <w:t>指导思想</w:t>
      </w:r>
    </w:p>
    <w:p w14:paraId="6D44586F">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以习近平新时代中国特色社会主义思想为指导，全面贯彻党的二十大和二中、三中全会精神，精准落实新型工业化和市区协同推进重点产业细分赛道发展的战略部署，紧抓新一代人工智能技术和</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大模型等赋能智能终端产业升级发展、大规模设备更新和消费品以旧换新重要机遇，发挥“一把手”工程工作机制优势，统筹精锐力量全力打造具有全国影响力的智能终端产业集群，擦亮松江区特色产业品牌。</w:t>
      </w:r>
    </w:p>
    <w:p w14:paraId="56A658D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（二）基本原则</w:t>
      </w:r>
    </w:p>
    <w:p w14:paraId="6380642B">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坚持终端带动。</w:t>
      </w:r>
      <w:r>
        <w:rPr>
          <w:rFonts w:hint="eastAsia" w:ascii="Times New Roman" w:hAnsi="Times New Roman" w:eastAsia="方正仿宋简体" w:cs="方正仿宋简体"/>
          <w:b w:val="0"/>
          <w:bCs w:val="0"/>
          <w:color w:val="000000"/>
          <w:sz w:val="32"/>
          <w:szCs w:val="32"/>
          <w:lang w:val="en-US" w:eastAsia="zh-CN"/>
        </w:rPr>
        <w:t>发挥智能终端整机企业在产业链中的主导带动作用，吸引上下游企业集聚发展，提高产业协同创新水平和产业链配套能力，降低终端产品成本，构建优质产业生态，形成大中小企业融通发展的发展格局。</w:t>
      </w:r>
    </w:p>
    <w:p w14:paraId="32BC1D7C">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强化创新引领。</w:t>
      </w:r>
      <w:r>
        <w:rPr>
          <w:rFonts w:hint="eastAsia" w:ascii="Times New Roman" w:hAnsi="Times New Roman" w:eastAsia="方正仿宋简体" w:cs="方正仿宋简体"/>
          <w:b w:val="0"/>
          <w:bCs w:val="0"/>
          <w:color w:val="000000"/>
          <w:sz w:val="32"/>
          <w:szCs w:val="32"/>
          <w:lang w:val="en-US" w:eastAsia="zh-CN"/>
        </w:rPr>
        <w:t>强化企业技术创新主体地位，以推进核心技术攻关为基础，以促进创新成果产业化为途径，引导企业加大对整机、终端芯片、关键零部件、基础软件创新研发投入，构建完善的产业创新体系。推进智能终端产业链创新链深度融合发展。</w:t>
      </w:r>
    </w:p>
    <w:p w14:paraId="427F42A3">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坚持品牌提升。</w:t>
      </w:r>
      <w:r>
        <w:rPr>
          <w:rFonts w:hint="eastAsia" w:ascii="Times New Roman" w:hAnsi="Times New Roman" w:eastAsia="方正仿宋简体" w:cs="方正仿宋简体"/>
          <w:b w:val="0"/>
          <w:bCs w:val="0"/>
          <w:color w:val="000000"/>
          <w:sz w:val="32"/>
          <w:szCs w:val="32"/>
          <w:lang w:val="en-US" w:eastAsia="zh-CN"/>
        </w:rPr>
        <w:t>围绕消费品工业“三品”战略，加快实施品牌培育工程，坚持“外部引进”和“本土培育”并举，打造国内外知名的智能终端品牌，丰富“松江优品”品牌矩阵，持续提升智能终端产业规模能级。</w:t>
      </w:r>
    </w:p>
    <w:p w14:paraId="0DF5B7B3">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构建开放生态。</w:t>
      </w:r>
      <w:r>
        <w:rPr>
          <w:rFonts w:hint="eastAsia" w:ascii="Times New Roman" w:hAnsi="Times New Roman" w:eastAsia="方正仿宋简体" w:cs="方正仿宋简体"/>
          <w:b w:val="0"/>
          <w:bCs w:val="0"/>
          <w:color w:val="000000"/>
          <w:sz w:val="32"/>
          <w:szCs w:val="32"/>
          <w:lang w:val="en-US" w:eastAsia="zh-CN"/>
        </w:rPr>
        <w:t>加快推进松江新一代信息技术产业与智能终端产业融合发展。紧抓产业数字化、城市智慧管理契机，拓展智能终端产品在生产、生活、城市管理等广泛领域的市场应用。进一步提升跨区域产业链供应链协同水平。</w:t>
      </w:r>
    </w:p>
    <w:p w14:paraId="541AD42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（三）主要目标</w:t>
      </w:r>
    </w:p>
    <w:p w14:paraId="5E523A4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全面提升松江区智能终端创新研发、创意设计、智能制造能力及产业链配套水平，打造具有高辨识度的国内智能终端智能智造高地、总部集聚高地。</w:t>
      </w:r>
    </w:p>
    <w:p w14:paraId="4383AEC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——产业规模稳步提升。</w:t>
      </w: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2027</w:t>
      </w:r>
      <w:r>
        <w:rPr>
          <w:rFonts w:hint="eastAsia" w:ascii="Times New Roman" w:hAnsi="Times New Roman" w:eastAsia="方正仿宋简体" w:cs="方正仿宋简体"/>
          <w:b w:val="0"/>
          <w:bCs w:val="0"/>
          <w:color w:val="000000"/>
          <w:sz w:val="32"/>
          <w:szCs w:val="32"/>
          <w:lang w:val="en-US" w:eastAsia="zh-CN"/>
        </w:rPr>
        <w:t>年，智能终端产业规模超</w:t>
      </w:r>
      <w:r>
        <w:rPr>
          <w:rFonts w:hint="default"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亿元。智能机器人、智能家居、信创终端、“</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终端”、卫星终端等主要品牌终端产品产量显著提升。提升松江区消费级智能终端产业集群、松江区信创产业集群两大市级中小企业特色产业集群规模能级。</w:t>
      </w:r>
    </w:p>
    <w:p w14:paraId="16A5B63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——创新能力加速跃升。</w:t>
      </w: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2027</w:t>
      </w:r>
      <w:r>
        <w:rPr>
          <w:rFonts w:hint="eastAsia" w:ascii="Times New Roman" w:hAnsi="Times New Roman" w:eastAsia="方正仿宋简体" w:cs="方正仿宋简体"/>
          <w:b w:val="0"/>
          <w:bCs w:val="0"/>
          <w:color w:val="000000"/>
          <w:sz w:val="32"/>
          <w:szCs w:val="32"/>
          <w:lang w:val="en-US" w:eastAsia="zh-CN"/>
        </w:rPr>
        <w:t>年，力争市级以上企业技术中心、“专精特新”中小企业、工业设计中心等创新机构累计数量突破</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家，培育和引进具有品牌辨识度的龙头企业</w:t>
      </w:r>
      <w:r>
        <w:rPr>
          <w:rFonts w:hint="default" w:ascii="Times New Roman" w:hAnsi="Times New Roman" w:eastAsia="方正仿宋简体" w:cs="Times New Roman"/>
          <w:b w:val="0"/>
          <w:bCs w:val="0"/>
          <w:color w:val="000000"/>
          <w:sz w:val="32"/>
          <w:szCs w:val="32"/>
          <w:lang w:val="en-US" w:eastAsia="zh-CN"/>
        </w:rPr>
        <w:t>2-3</w:t>
      </w:r>
      <w:r>
        <w:rPr>
          <w:rFonts w:hint="eastAsia" w:ascii="Times New Roman" w:hAnsi="Times New Roman" w:eastAsia="方正仿宋简体" w:cs="方正仿宋简体"/>
          <w:b w:val="0"/>
          <w:bCs w:val="0"/>
          <w:color w:val="000000"/>
          <w:sz w:val="32"/>
          <w:szCs w:val="32"/>
          <w:lang w:val="en-US" w:eastAsia="zh-CN"/>
        </w:rPr>
        <w:t>家。部分关键技术领域实现重大突破。有一批产品入围市级各类创新产品目录。</w:t>
      </w:r>
    </w:p>
    <w:p w14:paraId="08EBC08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——终端产品应用广泛。</w:t>
      </w:r>
      <w:r>
        <w:rPr>
          <w:rFonts w:hint="eastAsia" w:ascii="Times New Roman" w:hAnsi="Times New Roman" w:eastAsia="方正仿宋简体" w:cs="方正仿宋简体"/>
          <w:b w:val="0"/>
          <w:bCs w:val="0"/>
          <w:color w:val="000000"/>
          <w:sz w:val="32"/>
          <w:szCs w:val="32"/>
          <w:lang w:val="en-US" w:eastAsia="zh-CN"/>
        </w:rPr>
        <w:t>拓展终端产品应用场景，在制造业、家居、医疗、养老、教育、商贸、交通、环卫、公共安全等领域打造一批高品质应用标杆项目。提高智能制造水平，规模以上智能终端制造业企业实现数字化转型，新增智能工厂不少于</w:t>
      </w:r>
      <w:r>
        <w:rPr>
          <w:rFonts w:hint="default"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家。</w:t>
      </w:r>
    </w:p>
    <w:p w14:paraId="03834DC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——产业集聚度加速提升。</w:t>
      </w:r>
      <w:r>
        <w:rPr>
          <w:rFonts w:hint="eastAsia" w:ascii="Times New Roman" w:hAnsi="Times New Roman" w:eastAsia="方正仿宋简体" w:cs="方正仿宋简体"/>
          <w:b w:val="0"/>
          <w:bCs w:val="0"/>
          <w:color w:val="000000"/>
          <w:sz w:val="32"/>
          <w:szCs w:val="32"/>
          <w:lang w:val="en-US" w:eastAsia="zh-CN"/>
        </w:rPr>
        <w:t>围绕中山工业园重点布局智能仪器仪表、</w:t>
      </w:r>
      <w:r>
        <w:rPr>
          <w:rFonts w:hint="default" w:ascii="Times New Roman" w:hAnsi="Times New Roman" w:eastAsia="方正仿宋简体" w:cs="Times New Roman"/>
          <w:b w:val="0"/>
          <w:bCs w:val="0"/>
          <w:color w:val="000000"/>
          <w:sz w:val="32"/>
          <w:szCs w:val="32"/>
          <w:lang w:val="en-US" w:eastAsia="zh-CN"/>
        </w:rPr>
        <w:t>AI PC</w:t>
      </w:r>
      <w:r>
        <w:rPr>
          <w:rFonts w:hint="eastAsia" w:ascii="Times New Roman" w:hAnsi="Times New Roman" w:eastAsia="方正仿宋简体" w:cs="方正仿宋简体"/>
          <w:b w:val="0"/>
          <w:bCs w:val="0"/>
          <w:color w:val="000000"/>
          <w:sz w:val="32"/>
          <w:szCs w:val="32"/>
          <w:lang w:val="en-US" w:eastAsia="zh-CN"/>
        </w:rPr>
        <w:t>终端等，围绕</w:t>
      </w:r>
      <w:r>
        <w:rPr>
          <w:rFonts w:hint="default" w:ascii="Times New Roman" w:hAnsi="Times New Roman" w:eastAsia="方正仿宋简体" w:cs="Times New Roman"/>
          <w:b w:val="0"/>
          <w:bCs w:val="0"/>
          <w:color w:val="000000"/>
          <w:sz w:val="32"/>
          <w:szCs w:val="32"/>
          <w:lang w:val="en-US" w:eastAsia="zh-CN"/>
        </w:rPr>
        <w:t>G60</w:t>
      </w:r>
      <w:r>
        <w:rPr>
          <w:rFonts w:hint="eastAsia" w:ascii="Times New Roman" w:hAnsi="Times New Roman" w:eastAsia="方正仿宋简体" w:cs="方正仿宋简体"/>
          <w:b w:val="0"/>
          <w:bCs w:val="0"/>
          <w:color w:val="000000"/>
          <w:sz w:val="32"/>
          <w:szCs w:val="32"/>
          <w:lang w:val="en-US" w:eastAsia="zh-CN"/>
        </w:rPr>
        <w:t>信创产业园及</w:t>
      </w:r>
      <w:r>
        <w:rPr>
          <w:rFonts w:hint="default" w:ascii="Times New Roman" w:hAnsi="Times New Roman" w:eastAsia="方正仿宋简体" w:cs="Times New Roman"/>
          <w:b w:val="0"/>
          <w:bCs w:val="0"/>
          <w:color w:val="000000"/>
          <w:sz w:val="32"/>
          <w:szCs w:val="32"/>
          <w:lang w:val="en-US" w:eastAsia="zh-CN"/>
        </w:rPr>
        <w:t>6G</w:t>
      </w:r>
      <w:r>
        <w:rPr>
          <w:rFonts w:hint="eastAsia" w:ascii="Times New Roman" w:hAnsi="Times New Roman" w:eastAsia="方正仿宋简体" w:cs="方正仿宋简体"/>
          <w:b w:val="0"/>
          <w:bCs w:val="0"/>
          <w:color w:val="000000"/>
          <w:sz w:val="32"/>
          <w:szCs w:val="32"/>
          <w:lang w:val="en-US" w:eastAsia="zh-CN"/>
        </w:rPr>
        <w:t>孵化器重点布局信创和</w:t>
      </w:r>
      <w:r>
        <w:rPr>
          <w:rFonts w:hint="default" w:ascii="Times New Roman" w:hAnsi="Times New Roman" w:eastAsia="方正仿宋简体" w:cs="Times New Roman"/>
          <w:b w:val="0"/>
          <w:bCs w:val="0"/>
          <w:color w:val="000000"/>
          <w:sz w:val="32"/>
          <w:szCs w:val="32"/>
          <w:lang w:val="en-US" w:eastAsia="zh-CN"/>
        </w:rPr>
        <w:t>6G</w:t>
      </w:r>
      <w:r>
        <w:rPr>
          <w:rFonts w:hint="eastAsia" w:ascii="Times New Roman" w:hAnsi="Times New Roman" w:eastAsia="方正仿宋简体" w:cs="方正仿宋简体"/>
          <w:b w:val="0"/>
          <w:bCs w:val="0"/>
          <w:color w:val="000000"/>
          <w:sz w:val="32"/>
          <w:szCs w:val="32"/>
          <w:lang w:val="en-US" w:eastAsia="zh-CN"/>
        </w:rPr>
        <w:t>终端，围绕洞泾人工智能产业基地重点布局智能机器人，围绕临港松江科技城重点布局虚拟现实交互终端、卫星互联网终端,围绕</w:t>
      </w:r>
      <w:r>
        <w:rPr>
          <w:rFonts w:hint="default" w:ascii="Times New Roman" w:hAnsi="Times New Roman" w:eastAsia="方正仿宋简体" w:cs="Times New Roman"/>
          <w:b w:val="0"/>
          <w:bCs w:val="0"/>
          <w:color w:val="000000"/>
          <w:sz w:val="32"/>
          <w:szCs w:val="32"/>
          <w:lang w:val="en-US" w:eastAsia="zh-CN"/>
        </w:rPr>
        <w:t>G60</w:t>
      </w:r>
      <w:r>
        <w:rPr>
          <w:rFonts w:hint="eastAsia" w:ascii="Times New Roman" w:hAnsi="Times New Roman" w:eastAsia="方正仿宋简体" w:cs="方正仿宋简体"/>
          <w:b w:val="0"/>
          <w:bCs w:val="0"/>
          <w:color w:val="000000"/>
          <w:sz w:val="32"/>
          <w:szCs w:val="32"/>
          <w:lang w:val="en-US" w:eastAsia="zh-CN"/>
        </w:rPr>
        <w:t>电子信息国际创新产业园重点布局软硬件配套。</w:t>
      </w:r>
    </w:p>
    <w:p w14:paraId="6D2A6EB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二、重点发展方向</w:t>
      </w:r>
    </w:p>
    <w:p w14:paraId="278B1A5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（一）智能机器人。</w:t>
      </w:r>
      <w:r>
        <w:rPr>
          <w:rFonts w:hint="eastAsia" w:ascii="Times New Roman" w:hAnsi="Times New Roman" w:eastAsia="方正仿宋简体" w:cs="方正仿宋简体"/>
          <w:b w:val="0"/>
          <w:bCs w:val="0"/>
          <w:color w:val="000000"/>
          <w:sz w:val="32"/>
          <w:szCs w:val="32"/>
          <w:lang w:val="en-US" w:eastAsia="zh-CN"/>
        </w:rPr>
        <w:t>坚持“做优产品、拓展应用”，构建具有核心竞争力的工业机器人、服务机器人、特种机器人产品体系。大力发展应用于检测、焊接、装配、喷涂、搬运、磨抛等场景的高精度、高可靠性工业机器人，赋能智能工厂（场景）建设。支持开展前沿探索性研究开发，大力支持具身智能机器人发展。推进危险环节作业机器人、安防机器人等特种机器人示范应用。放大机器人系统集成领域知名企业集聚效应激发产业新活力。</w:t>
      </w:r>
    </w:p>
    <w:p w14:paraId="6C39AF8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（二）信创终端。</w:t>
      </w:r>
      <w:r>
        <w:rPr>
          <w:rFonts w:hint="eastAsia" w:ascii="Times New Roman" w:hAnsi="Times New Roman" w:eastAsia="方正仿宋简体" w:cs="方正仿宋简体"/>
          <w:b w:val="0"/>
          <w:bCs w:val="0"/>
          <w:color w:val="000000"/>
          <w:sz w:val="32"/>
          <w:szCs w:val="32"/>
          <w:lang w:val="en-US" w:eastAsia="zh-CN"/>
        </w:rPr>
        <w:t>坚持“国产替代、培育动能”，建设集“设备、硬件、软件、服务”于一体的信创终端产业基地。提升国产服务器、工控机等终端产品性能，打造良好信创应用生态。发挥国家商用密码检测（上海）中心，上海市无线电检测中心、密码安全测试技术联合实验室等平台优势，积极拓展政府、国防、金融、交通等关键领域信创产品应用，提供高可靠性信息安全保障。</w:t>
      </w:r>
    </w:p>
    <w:p w14:paraId="777CDFD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（三）虚拟现实交互终端。</w:t>
      </w:r>
      <w:r>
        <w:rPr>
          <w:rFonts w:hint="eastAsia" w:ascii="Times New Roman" w:hAnsi="Times New Roman" w:eastAsia="方正仿宋简体" w:cs="方正仿宋简体"/>
          <w:b w:val="0"/>
          <w:bCs w:val="0"/>
          <w:color w:val="000000"/>
          <w:sz w:val="32"/>
          <w:szCs w:val="32"/>
          <w:lang w:val="en-US" w:eastAsia="zh-CN"/>
        </w:rPr>
        <w:t>坚持“以虚促实、打响品牌”，以龙头企业为引领，加速推进虚拟现实交互终端企业布局发展。鼓励各类虚拟现实技术和终端设备迭代升级，优化感知交互沉浸体验度，向高性能、低成本演化。加大对</w:t>
      </w:r>
      <w:r>
        <w:rPr>
          <w:rFonts w:hint="default" w:ascii="Times New Roman" w:hAnsi="Times New Roman" w:eastAsia="方正仿宋简体" w:cs="Times New Roman"/>
          <w:b w:val="0"/>
          <w:bCs w:val="0"/>
          <w:color w:val="000000"/>
          <w:sz w:val="32"/>
          <w:szCs w:val="32"/>
          <w:lang w:val="en-US" w:eastAsia="zh-CN"/>
        </w:rPr>
        <w:t>G60</w:t>
      </w:r>
      <w:r>
        <w:rPr>
          <w:rFonts w:hint="eastAsia" w:ascii="Times New Roman" w:hAnsi="Times New Roman" w:eastAsia="方正仿宋简体" w:cs="方正仿宋简体"/>
          <w:b w:val="0"/>
          <w:bCs w:val="0"/>
          <w:color w:val="000000"/>
          <w:sz w:val="32"/>
          <w:szCs w:val="32"/>
          <w:lang w:val="en-US" w:eastAsia="zh-CN"/>
        </w:rPr>
        <w:t>脑智科创基地支持力度，加速脑机接口技术突破与产业化。拓展虚拟现实交互终端应用场景，培育增强现实、混合现实消费级产品及行业解决方案。</w:t>
      </w:r>
    </w:p>
    <w:p w14:paraId="089470A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（四）智能家居。</w:t>
      </w:r>
      <w:r>
        <w:rPr>
          <w:rFonts w:hint="eastAsia" w:ascii="Times New Roman" w:hAnsi="Times New Roman" w:eastAsia="方正仿宋简体" w:cs="方正仿宋简体"/>
          <w:b w:val="0"/>
          <w:bCs w:val="0"/>
          <w:color w:val="000000"/>
          <w:sz w:val="32"/>
          <w:szCs w:val="32"/>
          <w:lang w:val="en-US" w:eastAsia="zh-CN"/>
        </w:rPr>
        <w:t>坚持“做大规模、引领潮流”，大力发展智能家电、智能照明、智能门禁、智能电梯产品。加强人工智能、物联网、</w:t>
      </w:r>
      <w:r>
        <w:rPr>
          <w:rFonts w:hint="default" w:ascii="Times New Roman" w:hAnsi="Times New Roman" w:eastAsia="方正仿宋简体" w:cs="Times New Roman"/>
          <w:b w:val="0"/>
          <w:bCs w:val="0"/>
          <w:color w:val="000000"/>
          <w:sz w:val="32"/>
          <w:szCs w:val="32"/>
          <w:lang w:val="en-US" w:eastAsia="zh-CN"/>
        </w:rPr>
        <w:t>5G/6G</w:t>
      </w:r>
      <w:r>
        <w:rPr>
          <w:rFonts w:hint="eastAsia" w:ascii="Times New Roman" w:hAnsi="Times New Roman" w:eastAsia="方正仿宋简体" w:cs="方正仿宋简体"/>
          <w:b w:val="0"/>
          <w:bCs w:val="0"/>
          <w:color w:val="000000"/>
          <w:sz w:val="32"/>
          <w:szCs w:val="32"/>
          <w:lang w:val="en-US" w:eastAsia="zh-CN"/>
        </w:rPr>
        <w:t>、人机交互等技术应用，提高产品互联互通服务水准。提升产品工业设计水平推出终端爆款。打造智能家居“总部研发+高端制造”集聚基地。</w:t>
      </w:r>
    </w:p>
    <w:p w14:paraId="6B503F6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（五）</w:t>
      </w:r>
      <w:r>
        <w:rPr>
          <w:rFonts w:hint="default" w:ascii="Times New Roman" w:hAnsi="Times New Roman" w:eastAsia="方正仿宋简体" w:cs="Times New Roman"/>
          <w:b/>
          <w:bCs/>
          <w:color w:val="000000"/>
          <w:sz w:val="32"/>
          <w:szCs w:val="32"/>
          <w:lang w:val="en-US" w:eastAsia="zh-CN"/>
        </w:rPr>
        <w:t>AI+</w:t>
      </w:r>
      <w:r>
        <w:rPr>
          <w:rFonts w:hint="eastAsia" w:ascii="Times New Roman" w:hAnsi="Times New Roman" w:eastAsia="方正仿宋简体" w:cs="方正仿宋简体"/>
          <w:b/>
          <w:bCs/>
          <w:color w:val="000000"/>
          <w:sz w:val="32"/>
          <w:szCs w:val="32"/>
          <w:lang w:val="en-US" w:eastAsia="zh-CN"/>
        </w:rPr>
        <w:t>终端。</w:t>
      </w:r>
      <w:r>
        <w:rPr>
          <w:rFonts w:hint="eastAsia" w:ascii="Times New Roman" w:hAnsi="Times New Roman" w:eastAsia="方正仿宋简体" w:cs="方正仿宋简体"/>
          <w:b w:val="0"/>
          <w:bCs w:val="0"/>
          <w:color w:val="000000"/>
          <w:sz w:val="32"/>
          <w:szCs w:val="32"/>
          <w:lang w:val="en-US" w:eastAsia="zh-CN"/>
        </w:rPr>
        <w:t>坚持“</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融合、应用创新”，推进</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大模型、</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算法和</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智能硬件等AI技术与传统产业的融合，推出新产品、拓展新业态，促进产业升级。支持企业面向多元应用需求，创新研发生产新型</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终端产品。大力引进</w:t>
      </w:r>
      <w:r>
        <w:rPr>
          <w:rFonts w:hint="default" w:ascii="Times New Roman" w:hAnsi="Times New Roman" w:eastAsia="方正仿宋简体" w:cs="Times New Roman"/>
          <w:b w:val="0"/>
          <w:bCs w:val="0"/>
          <w:color w:val="000000"/>
          <w:sz w:val="32"/>
          <w:szCs w:val="32"/>
          <w:lang w:val="en-US" w:eastAsia="zh-CN"/>
        </w:rPr>
        <w:t>AI PC</w:t>
      </w:r>
      <w:r>
        <w:rPr>
          <w:rFonts w:hint="eastAsia" w:ascii="Times New Roman" w:hAnsi="Times New Roman" w:eastAsia="方正仿宋简体" w:cs="方正仿宋简体"/>
          <w:b w:val="0"/>
          <w:bCs w:val="0"/>
          <w:color w:val="000000"/>
          <w:sz w:val="32"/>
          <w:szCs w:val="32"/>
          <w:lang w:val="en-US" w:eastAsia="zh-CN"/>
        </w:rPr>
        <w:t>、</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服务器、智能车载设备、智能手机、智慧穿戴设备及其他各类新型AI智能终端项目，打造高品质、高附加值自主品牌。</w:t>
      </w:r>
    </w:p>
    <w:p w14:paraId="37BE882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（六）智能仪器仪表。</w:t>
      </w:r>
      <w:r>
        <w:rPr>
          <w:rFonts w:hint="eastAsia" w:ascii="Times New Roman" w:hAnsi="Times New Roman" w:eastAsia="方正仿宋简体" w:cs="方正仿宋简体"/>
          <w:b w:val="0"/>
          <w:bCs w:val="0"/>
          <w:color w:val="000000"/>
          <w:sz w:val="32"/>
          <w:szCs w:val="32"/>
          <w:lang w:val="en-US" w:eastAsia="zh-CN"/>
        </w:rPr>
        <w:t>坚持“创新突破、集群带动”，立足松江区仪器仪表产业集群创新企业集聚资源禀赋，支持加大自主创新投入力度，加快推出符合市场需求的智能检测仪器、智能分析仪器、智能计量仪器、智能仪表等终端产品。推动终端产品进生产线、进科研院所、进千家万户，扩大市场份额。</w:t>
      </w:r>
    </w:p>
    <w:p w14:paraId="68B969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（七）卫星互联网终端。</w:t>
      </w:r>
      <w:r>
        <w:rPr>
          <w:rFonts w:hint="eastAsia" w:ascii="Times New Roman" w:hAnsi="Times New Roman" w:eastAsia="方正仿宋简体" w:cs="方正仿宋简体"/>
          <w:b w:val="0"/>
          <w:bCs w:val="0"/>
          <w:color w:val="000000"/>
          <w:sz w:val="32"/>
          <w:szCs w:val="32"/>
          <w:lang w:val="en-US" w:eastAsia="zh-CN"/>
        </w:rPr>
        <w:t>坚持“链主带动、超前布局”，依托卫星星座运营、卫星制造等领域链主企业牵引带动作用，加快引进和布局重点行业应用终端研发生产企业。鼓励发展新一代机载、车载、船载等卫星互联网终端产品，支持各类终端小型化、便携化、轻量化发展。</w:t>
      </w:r>
    </w:p>
    <w:p w14:paraId="16668C0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（八）软硬件配套。</w:t>
      </w:r>
      <w:r>
        <w:rPr>
          <w:rFonts w:hint="eastAsia" w:ascii="Times New Roman" w:hAnsi="Times New Roman" w:eastAsia="方正仿宋简体" w:cs="方正仿宋简体"/>
          <w:b w:val="0"/>
          <w:bCs w:val="0"/>
          <w:color w:val="000000"/>
          <w:sz w:val="32"/>
          <w:szCs w:val="32"/>
          <w:lang w:val="en-US" w:eastAsia="zh-CN"/>
        </w:rPr>
        <w:t>坚持“协同发力，做强支撑”，提升关键零部件、元器件、软件等配套能力。推进图像处理、射频、</w:t>
      </w:r>
      <w:r>
        <w:rPr>
          <w:rFonts w:hint="default" w:ascii="Times New Roman" w:hAnsi="Times New Roman" w:eastAsia="方正仿宋简体" w:cs="Times New Roman"/>
          <w:b w:val="0"/>
          <w:bCs w:val="0"/>
          <w:color w:val="000000"/>
          <w:sz w:val="32"/>
          <w:szCs w:val="32"/>
          <w:lang w:val="en-US" w:eastAsia="zh-CN"/>
        </w:rPr>
        <w:t>MCU</w:t>
      </w:r>
      <w:r>
        <w:rPr>
          <w:rFonts w:hint="eastAsia" w:ascii="Times New Roman" w:hAnsi="Times New Roman" w:eastAsia="方正仿宋简体" w:cs="方正仿宋简体"/>
          <w:b w:val="0"/>
          <w:bCs w:val="0"/>
          <w:color w:val="000000"/>
          <w:sz w:val="32"/>
          <w:szCs w:val="32"/>
          <w:lang w:val="en-US" w:eastAsia="zh-CN"/>
        </w:rPr>
        <w:t>、</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w:t>
      </w:r>
      <w:r>
        <w:rPr>
          <w:rFonts w:hint="default" w:ascii="Times New Roman" w:hAnsi="Times New Roman" w:eastAsia="方正仿宋简体" w:cs="Times New Roman"/>
          <w:b w:val="0"/>
          <w:bCs w:val="0"/>
          <w:color w:val="000000"/>
          <w:sz w:val="32"/>
          <w:szCs w:val="32"/>
          <w:lang w:val="en-US" w:eastAsia="zh-CN"/>
        </w:rPr>
        <w:t>AIoT</w:t>
      </w:r>
      <w:r>
        <w:rPr>
          <w:rFonts w:hint="eastAsia" w:ascii="Times New Roman" w:hAnsi="Times New Roman" w:eastAsia="方正仿宋简体" w:cs="方正仿宋简体"/>
          <w:b w:val="0"/>
          <w:bCs w:val="0"/>
          <w:color w:val="000000"/>
          <w:sz w:val="32"/>
          <w:szCs w:val="32"/>
          <w:lang w:val="en-US" w:eastAsia="zh-CN"/>
        </w:rPr>
        <w:t>、</w:t>
      </w:r>
      <w:r>
        <w:rPr>
          <w:rFonts w:hint="default" w:ascii="Times New Roman" w:hAnsi="Times New Roman" w:eastAsia="方正仿宋简体" w:cs="Times New Roman"/>
          <w:b w:val="0"/>
          <w:bCs w:val="0"/>
          <w:color w:val="000000"/>
          <w:sz w:val="32"/>
          <w:szCs w:val="32"/>
          <w:lang w:val="en-US" w:eastAsia="zh-CN"/>
        </w:rPr>
        <w:t>5G/6G</w:t>
      </w:r>
      <w:r>
        <w:rPr>
          <w:rFonts w:hint="eastAsia" w:ascii="Times New Roman" w:hAnsi="Times New Roman" w:eastAsia="方正仿宋简体" w:cs="方正仿宋简体"/>
          <w:b w:val="0"/>
          <w:bCs w:val="0"/>
          <w:color w:val="000000"/>
          <w:sz w:val="32"/>
          <w:szCs w:val="32"/>
          <w:lang w:val="en-US" w:eastAsia="zh-CN"/>
        </w:rPr>
        <w:t>通信等智能终端芯片和模组技术突破，提高精密零部件、传感器、智能汽车控制器等关键零部件技术水平和产业规模。</w:t>
      </w:r>
    </w:p>
    <w:p w14:paraId="45A0CD7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三、重点工作任务</w:t>
      </w:r>
    </w:p>
    <w:p w14:paraId="1E5BE22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(一)固链补链强链重点行动</w:t>
      </w:r>
    </w:p>
    <w:p w14:paraId="135622A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w:t>
      </w:r>
      <w:r>
        <w:rPr>
          <w:rFonts w:hint="eastAsia" w:ascii="Times New Roman" w:hAnsi="Times New Roman" w:eastAsia="方正仿宋简体" w:cs="方正仿宋简体"/>
          <w:b/>
          <w:bCs/>
          <w:color w:val="000000"/>
          <w:sz w:val="32"/>
          <w:szCs w:val="32"/>
          <w:lang w:val="en-US" w:eastAsia="zh-CN"/>
        </w:rPr>
        <w:t>.</w:t>
      </w:r>
      <w:r>
        <w:rPr>
          <w:rFonts w:hint="default" w:ascii="Times New Roman" w:hAnsi="Times New Roman" w:eastAsia="方正仿宋简体" w:cs="方正仿宋简体"/>
          <w:b/>
          <w:bCs/>
          <w:color w:val="000000"/>
          <w:sz w:val="32"/>
          <w:szCs w:val="32"/>
          <w:lang w:val="en-US" w:eastAsia="zh-CN"/>
        </w:rPr>
        <w:t>加强产业链精准招商。</w:t>
      </w:r>
      <w:r>
        <w:rPr>
          <w:rFonts w:hint="default" w:ascii="Times New Roman" w:hAnsi="Times New Roman" w:eastAsia="方正仿宋简体" w:cs="方正仿宋简体"/>
          <w:b w:val="0"/>
          <w:bCs w:val="0"/>
          <w:color w:val="000000"/>
          <w:sz w:val="32"/>
          <w:szCs w:val="32"/>
          <w:lang w:val="en-US" w:eastAsia="zh-CN"/>
        </w:rPr>
        <w:t>绘制松江区智能终端产业链全景图，聚焦产业链终端领域、关键环节，明确招商目标，制定招商“路径图”。围绕智能机器人、信创终端、虚拟现实交互终端、智能家居、</w:t>
      </w:r>
      <w:r>
        <w:rPr>
          <w:rFonts w:hint="default" w:ascii="Times New Roman" w:hAnsi="Times New Roman" w:eastAsia="方正仿宋简体" w:cs="Times New Roman"/>
          <w:b w:val="0"/>
          <w:bCs w:val="0"/>
          <w:color w:val="000000"/>
          <w:sz w:val="32"/>
          <w:szCs w:val="32"/>
          <w:lang w:val="en-US" w:eastAsia="zh-CN"/>
        </w:rPr>
        <w:t>AI+</w:t>
      </w:r>
      <w:r>
        <w:rPr>
          <w:rFonts w:hint="default" w:ascii="Times New Roman" w:hAnsi="Times New Roman" w:eastAsia="方正仿宋简体" w:cs="方正仿宋简体"/>
          <w:b w:val="0"/>
          <w:bCs w:val="0"/>
          <w:color w:val="000000"/>
          <w:sz w:val="32"/>
          <w:szCs w:val="32"/>
          <w:lang w:val="en-US" w:eastAsia="zh-CN"/>
        </w:rPr>
        <w:t>终端等领域加大力度招引培育智能终端链主企业、龙头企业、细分领域“专精特新”中小企业，促进产业集聚集群提升整体影响力。（责任单位：区经委、洞泾镇、泗泾镇、九亭镇、中山街道等）</w:t>
      </w:r>
    </w:p>
    <w:p w14:paraId="159322A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2</w:t>
      </w:r>
      <w:r>
        <w:rPr>
          <w:rFonts w:hint="eastAsia" w:ascii="Times New Roman" w:hAnsi="Times New Roman" w:eastAsia="方正仿宋简体" w:cs="方正仿宋简体"/>
          <w:b/>
          <w:bCs/>
          <w:color w:val="000000"/>
          <w:sz w:val="32"/>
          <w:szCs w:val="32"/>
          <w:lang w:val="en-US" w:eastAsia="zh-CN"/>
        </w:rPr>
        <w:t>.</w:t>
      </w:r>
      <w:r>
        <w:rPr>
          <w:rFonts w:hint="default" w:ascii="Times New Roman" w:hAnsi="Times New Roman" w:eastAsia="方正仿宋简体" w:cs="方正仿宋简体"/>
          <w:b/>
          <w:bCs/>
          <w:color w:val="000000"/>
          <w:sz w:val="32"/>
          <w:szCs w:val="32"/>
          <w:lang w:val="en-US" w:eastAsia="zh-CN"/>
        </w:rPr>
        <w:t>促进产业链协同发展。</w:t>
      </w:r>
      <w:r>
        <w:rPr>
          <w:rFonts w:hint="default" w:ascii="Times New Roman" w:hAnsi="Times New Roman" w:eastAsia="方正仿宋简体" w:cs="方正仿宋简体"/>
          <w:b w:val="0"/>
          <w:bCs w:val="0"/>
          <w:color w:val="000000"/>
          <w:sz w:val="32"/>
          <w:szCs w:val="32"/>
          <w:lang w:val="en-US" w:eastAsia="zh-CN"/>
        </w:rPr>
        <w:t>支持终端产品研制生产企业联合零部件、元器件、软件等领域企业组建创新联合体，推动终端产品创新迭代升级。开展大企业“发榜”中小企业“揭榜”工作，鼓励更多中小企业融入终端企业产业链供应链。支持长三角</w:t>
      </w:r>
      <w:r>
        <w:rPr>
          <w:rFonts w:hint="default" w:ascii="Times New Roman" w:hAnsi="Times New Roman" w:eastAsia="方正仿宋简体" w:cs="Times New Roman"/>
          <w:b w:val="0"/>
          <w:bCs w:val="0"/>
          <w:color w:val="000000"/>
          <w:sz w:val="32"/>
          <w:szCs w:val="32"/>
          <w:lang w:val="en-US" w:eastAsia="zh-CN"/>
        </w:rPr>
        <w:t>G60</w:t>
      </w:r>
      <w:r>
        <w:rPr>
          <w:rFonts w:hint="default" w:ascii="Times New Roman" w:hAnsi="Times New Roman" w:eastAsia="方正仿宋简体" w:cs="方正仿宋简体"/>
          <w:b w:val="0"/>
          <w:bCs w:val="0"/>
          <w:color w:val="000000"/>
          <w:sz w:val="32"/>
          <w:szCs w:val="32"/>
          <w:lang w:val="en-US" w:eastAsia="zh-CN"/>
        </w:rPr>
        <w:t>科创走廊九城市智能终端产业链深度合作，提升区域配套水平。（责任单位：区经委、区科创发展办）</w:t>
      </w:r>
    </w:p>
    <w:p w14:paraId="1C54BDD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（二）创新体系构建重点行动</w:t>
      </w:r>
    </w:p>
    <w:p w14:paraId="3105CEF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3.强化创新主体培育。</w:t>
      </w:r>
      <w:r>
        <w:rPr>
          <w:rFonts w:hint="default" w:ascii="Times New Roman" w:hAnsi="Times New Roman" w:eastAsia="方正仿宋简体" w:cs="方正仿宋简体"/>
          <w:b w:val="0"/>
          <w:bCs w:val="0"/>
          <w:color w:val="000000"/>
          <w:sz w:val="32"/>
          <w:szCs w:val="32"/>
          <w:lang w:val="en-US" w:eastAsia="zh-CN"/>
        </w:rPr>
        <w:t>以培育创新主体为抓手，打造产业发展强力引擎。持续强化企业创新主体地位，鼓励科技型企业、创新型中小企业向“专精特新”“隐形冠军”方向发展，培育一批技术实力领先的科创领军企业。集聚产业链上下游资源，建立智能终端产业公共服务平台。积极构建产学研用一体化创新体系。（责任单位：区经委、区科委、泗泾镇、洞泾镇、中山街道、经开区、九亭镇、新桥镇等）</w:t>
      </w:r>
    </w:p>
    <w:p w14:paraId="318FE1F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4.开展核心技术攻关。</w:t>
      </w:r>
      <w:r>
        <w:rPr>
          <w:rFonts w:hint="default" w:ascii="Times New Roman" w:hAnsi="Times New Roman" w:eastAsia="方正仿宋简体" w:cs="方正仿宋简体"/>
          <w:b w:val="0"/>
          <w:bCs w:val="0"/>
          <w:color w:val="000000"/>
          <w:sz w:val="32"/>
          <w:szCs w:val="32"/>
          <w:lang w:val="en-US" w:eastAsia="zh-CN"/>
        </w:rPr>
        <w:t>动态把握智能终端产业发展趋势，在核心芯片、</w:t>
      </w:r>
      <w:r>
        <w:rPr>
          <w:rFonts w:hint="default" w:ascii="Times New Roman" w:hAnsi="Times New Roman" w:eastAsia="方正仿宋简体" w:cs="Times New Roman"/>
          <w:b w:val="0"/>
          <w:bCs w:val="0"/>
          <w:color w:val="000000"/>
          <w:sz w:val="32"/>
          <w:szCs w:val="32"/>
          <w:lang w:val="en-US" w:eastAsia="zh-CN"/>
        </w:rPr>
        <w:t>6G</w:t>
      </w:r>
      <w:r>
        <w:rPr>
          <w:rFonts w:hint="default" w:ascii="Times New Roman" w:hAnsi="Times New Roman" w:eastAsia="方正仿宋简体" w:cs="方正仿宋简体"/>
          <w:b w:val="0"/>
          <w:bCs w:val="0"/>
          <w:color w:val="000000"/>
          <w:sz w:val="32"/>
          <w:szCs w:val="32"/>
          <w:lang w:val="en-US" w:eastAsia="zh-CN"/>
        </w:rPr>
        <w:t>、高精度传感器、新型近眼显示器件、脑机接口、端云协同等领域突破一批关键核心技术，形成一批具有自主知识产权创新成果。支持细分领域重点企业积极承接国家、市级产业基础创新项目、产业基础再造工程等重大项目。支持建设“整机+关键零部件+基础材料”协同攻关机制。（责任单位：区经委、区科委、区数据局、泗泾镇、九亭镇、佘山镇、洞泾镇）</w:t>
      </w:r>
    </w:p>
    <w:p w14:paraId="2A9DF5D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（三）终端品牌培育重点行动</w:t>
      </w:r>
    </w:p>
    <w:p w14:paraId="705E744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5.打造终端品牌产品。</w:t>
      </w:r>
      <w:r>
        <w:rPr>
          <w:rFonts w:hint="default" w:ascii="Times New Roman" w:hAnsi="Times New Roman" w:eastAsia="方正仿宋简体" w:cs="方正仿宋简体"/>
          <w:b w:val="0"/>
          <w:bCs w:val="0"/>
          <w:color w:val="000000"/>
          <w:sz w:val="32"/>
          <w:szCs w:val="32"/>
          <w:lang w:val="en-US" w:eastAsia="zh-CN"/>
        </w:rPr>
        <w:t>聚焦智能终端各细分领域打造一批高知名度的行业引领品牌、新晋科技品牌和时尚消费品牌等。推动新一代信息技术与智能终端产业融合创新，开发一批智能化新品、潮品、爆品。支持有实力的企业在产品形态、功能、商业模式上加强创新，打造更多贴近用户需求的特色智能终端产品。鼓励有条件的企业建设工业设计中心，提升产品工业设计水准。支持企业参加“上海制造佳品汇”、国内外各类高端展会等。鼓励企业开展</w:t>
      </w:r>
      <w:r>
        <w:rPr>
          <w:rFonts w:hint="default" w:ascii="Times New Roman" w:hAnsi="Times New Roman" w:eastAsia="方正仿宋简体" w:cs="Times New Roman"/>
          <w:b w:val="0"/>
          <w:bCs w:val="0"/>
          <w:color w:val="000000"/>
          <w:sz w:val="32"/>
          <w:szCs w:val="32"/>
          <w:lang w:val="en-US" w:eastAsia="zh-CN"/>
        </w:rPr>
        <w:t>AEO</w:t>
      </w:r>
      <w:r>
        <w:rPr>
          <w:rFonts w:hint="default" w:ascii="Times New Roman" w:hAnsi="Times New Roman" w:eastAsia="方正仿宋简体" w:cs="方正仿宋简体"/>
          <w:b w:val="0"/>
          <w:bCs w:val="0"/>
          <w:color w:val="000000"/>
          <w:sz w:val="32"/>
          <w:szCs w:val="32"/>
          <w:lang w:val="en-US" w:eastAsia="zh-CN"/>
        </w:rPr>
        <w:t>高级认证，提升企业“出海”品牌影响力和竞争力。（责任单位：区经委、中山街道、洞泾镇、九亭镇、新桥镇、松江海关）</w:t>
      </w:r>
    </w:p>
    <w:p w14:paraId="1542504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6.提升先进制造水平。</w:t>
      </w:r>
      <w:r>
        <w:rPr>
          <w:rFonts w:hint="default" w:ascii="Times New Roman" w:hAnsi="Times New Roman" w:eastAsia="方正仿宋简体" w:cs="方正仿宋简体"/>
          <w:b w:val="0"/>
          <w:bCs w:val="0"/>
          <w:color w:val="000000"/>
          <w:sz w:val="32"/>
          <w:szCs w:val="32"/>
          <w:lang w:val="en-US" w:eastAsia="zh-CN"/>
        </w:rPr>
        <w:t>鼓励终端企业智能化、绿色化、融合化提升。支持终端企业打造行业级工业互联网平台，带动产业链上下游企业开展协同供应链管理。完善绿色制造规范和标准体系，推进终端产品回收和资源综合利用，引导绿色消费。提高工业服务业赋能智能终端制造企业发展水平，增强“松江优品”的现代感、美誉度和产品品质，提高产品附加值。（责任单位：区经委、区数据局、区发展改革委）</w:t>
      </w:r>
    </w:p>
    <w:p w14:paraId="193CEB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（四）产业生态优化重点行动</w:t>
      </w:r>
    </w:p>
    <w:p w14:paraId="0853DA9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7.完善</w:t>
      </w:r>
      <w:r>
        <w:rPr>
          <w:rFonts w:hint="default" w:ascii="Times New Roman" w:hAnsi="Times New Roman" w:eastAsia="方正仿宋简体" w:cs="Times New Roman"/>
          <w:b/>
          <w:bCs/>
          <w:color w:val="000000"/>
          <w:sz w:val="32"/>
          <w:szCs w:val="32"/>
          <w:lang w:val="en-US" w:eastAsia="zh-CN"/>
        </w:rPr>
        <w:t>AIoT</w:t>
      </w:r>
      <w:r>
        <w:rPr>
          <w:rFonts w:hint="default" w:ascii="Times New Roman" w:hAnsi="Times New Roman" w:eastAsia="方正仿宋简体" w:cs="方正仿宋简体"/>
          <w:b/>
          <w:bCs/>
          <w:color w:val="000000"/>
          <w:sz w:val="32"/>
          <w:szCs w:val="32"/>
          <w:lang w:val="en-US" w:eastAsia="zh-CN"/>
        </w:rPr>
        <w:t>生态体系。</w:t>
      </w:r>
      <w:r>
        <w:rPr>
          <w:rFonts w:hint="default" w:ascii="Times New Roman" w:hAnsi="Times New Roman" w:eastAsia="方正仿宋简体" w:cs="方正仿宋简体"/>
          <w:b w:val="0"/>
          <w:bCs w:val="0"/>
          <w:color w:val="000000"/>
          <w:sz w:val="32"/>
          <w:szCs w:val="32"/>
          <w:lang w:val="en-US" w:eastAsia="zh-CN"/>
        </w:rPr>
        <w:t>积极引进更多的智能终端生态软硬件企业在松布局发展。推进智能终端产品统一互联标准，在用户接入、设备接入、服务接口、信息安全等方面打破产品品牌和品类壁垒，实现智能终端设备互联互通和数据共享。优化智能算力基础设施建设。加强基于智能物联新技术、新产品应用的相关法律、社会伦理研究，推动数据资源标准体系建设，提高数据管理的质量和水平。（责任单位：区经委、区数据局、区发展改革委、区市场监管局）</w:t>
      </w:r>
    </w:p>
    <w:p w14:paraId="530996E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8.加强产业要素对接。</w:t>
      </w:r>
      <w:r>
        <w:rPr>
          <w:rFonts w:hint="default" w:ascii="Times New Roman" w:hAnsi="Times New Roman" w:eastAsia="方正仿宋简体" w:cs="方正仿宋简体"/>
          <w:b w:val="0"/>
          <w:bCs w:val="0"/>
          <w:color w:val="000000"/>
          <w:sz w:val="32"/>
          <w:szCs w:val="32"/>
          <w:lang w:val="en-US" w:eastAsia="zh-CN"/>
        </w:rPr>
        <w:t>鼓励教育、医疗、交通、文旅、公共安全等职能部门以及各行业企业发布智能终端应用场景需求，支持智能终端企业参与应用场景建设，畅通产业链供应链内循环。加强与智能终端头部企业、重点产业园区、行业组织等主体合作，积极举办高能级智能终端产业要素对接大会、投资促进活动等，全力构建“政产学研金服用”融合发展的产业生态。（责任单位：区教育局、区卫生健康委、区交通委、区文化旅游局、区公安分局、区经委、区科委）</w:t>
      </w:r>
    </w:p>
    <w:p w14:paraId="6E59012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9.优化全生命周期服务。</w:t>
      </w:r>
      <w:r>
        <w:rPr>
          <w:rFonts w:hint="default" w:ascii="Times New Roman" w:hAnsi="Times New Roman" w:eastAsia="方正仿宋简体" w:cs="方正仿宋简体"/>
          <w:b w:val="0"/>
          <w:bCs w:val="0"/>
          <w:color w:val="000000"/>
          <w:sz w:val="32"/>
          <w:szCs w:val="32"/>
          <w:lang w:val="en-US" w:eastAsia="zh-CN"/>
        </w:rPr>
        <w:t>建立智能终端签约项目、在建项目、投达产项目及存量重点项目清单，坚持问题导向、精准施策，优化全生命周期服务工作机制。聚焦产业发展重点方向，加快形成定位差异化、产业集群化、多点布局协同发展的格局。积极创建智能终端细分领域特色园区、培育型园区，丰富园区功能，构建生产宜业、生活宜居的产业生态。（责任单位：区经委）</w:t>
      </w:r>
    </w:p>
    <w:p w14:paraId="0D589B3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四、保障措施</w:t>
      </w:r>
    </w:p>
    <w:p w14:paraId="7CFF8D7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（一）加强组织保障</w:t>
      </w:r>
    </w:p>
    <w:p w14:paraId="59D3ECF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建立区长作为电子信息产业智能终端细分赛道“一把手”工程总负责人，分管副区长作为智能终端“链长”的工作推进机制。成立由区经委、区发展改革委、区科委、区财政局、区人才工作局、区数据局、区规划资源局、区生态环境局、区应急管理局、经开区、泗泾镇、洞泾镇、中山街道等组成的区级工作专班，加强与市级工作专班协同，协调推进产业顶层设计、优质项目导入、产业技术创新、质量品牌提升等重点工作。（责任单位：专班各成员单位）</w:t>
      </w:r>
    </w:p>
    <w:p w14:paraId="1E795CF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w:t>
      </w:r>
      <w:r>
        <w:rPr>
          <w:rFonts w:hint="default" w:ascii="Times New Roman" w:hAnsi="Times New Roman" w:eastAsia="方正楷体简体" w:cs="方正楷体简体"/>
          <w:b/>
          <w:bCs/>
          <w:kern w:val="2"/>
          <w:sz w:val="32"/>
          <w:szCs w:val="32"/>
          <w:lang w:val="en-US" w:eastAsia="zh-CN" w:bidi="ar-SA"/>
        </w:rPr>
        <w:t>优化政策服务</w:t>
      </w:r>
    </w:p>
    <w:p w14:paraId="54F1F3D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制定并落实智能终端专项政策，用好市级促进产业高质量发展专项、战略性新兴产业专项，区级“卡脖子”专项、产业技术创新专项、技改等政策，促进智能终端企业创新集聚发展。引导政府基金（含市三大先导产业基金）、各类科创基金、产业发展基金等向智能终端重点项目和高成长性项目倾斜。（责任单位：区经委、区发展改革委）</w:t>
      </w:r>
    </w:p>
    <w:p w14:paraId="65AA2C5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（三）强化人才支撑</w:t>
      </w:r>
    </w:p>
    <w:p w14:paraId="0AD4E27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发挥市级人才政策、区级“</w:t>
      </w:r>
      <w:r>
        <w:rPr>
          <w:rFonts w:hint="default" w:ascii="Times New Roman" w:hAnsi="Times New Roman" w:eastAsia="方正仿宋简体" w:cs="Times New Roman"/>
          <w:b w:val="0"/>
          <w:bCs w:val="0"/>
          <w:color w:val="000000"/>
          <w:kern w:val="2"/>
          <w:sz w:val="32"/>
          <w:szCs w:val="32"/>
          <w:lang w:val="en-US" w:eastAsia="zh-CN" w:bidi="ar-SA"/>
        </w:rPr>
        <w:t>1+10</w:t>
      </w:r>
      <w:r>
        <w:rPr>
          <w:rFonts w:hint="eastAsia" w:ascii="Times New Roman" w:hAnsi="Times New Roman" w:eastAsia="方正仿宋简体" w:cs="方正仿宋简体"/>
          <w:b w:val="0"/>
          <w:bCs w:val="0"/>
          <w:color w:val="000000"/>
          <w:kern w:val="2"/>
          <w:sz w:val="32"/>
          <w:szCs w:val="32"/>
          <w:lang w:val="en-US" w:eastAsia="zh-CN" w:bidi="ar-SA"/>
        </w:rPr>
        <w:t>”人才政策、新城人才政策叠加优势，加大对智能终端细分领域海内外高端人才、行业紧缺人才、创新创业人才引进支持力度。鼓励高校、科研院所开设智能终端相关专业学科，支持校企联合共建研发中心、人才实训基地，培养符合产业发展实际需求的创新性人才、复合型人才。（责任单位：区人才工作局）</w:t>
      </w:r>
    </w:p>
    <w:p w14:paraId="5D00448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（四）促进终端应用</w:t>
      </w:r>
    </w:p>
    <w:p w14:paraId="25A02E7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_GB2312" w:cs="方正仿宋_GB2312"/>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以“应用促终端、体验促终端”思路为指导，紧抓上海市工业领域大规模设备更新与创新产品扩大应用、消费品以旧换新重要机遇，扩大智能终端产品市场应用规模。鼓励以政府采购、搭建供需对接平台等方式拓展应用。支持企业“抱团出海”积极参与国际市场竞争，提高国际竞争力和市场占有率。（责任单位：区经委、区财政局、区机管局、松江海关）</w:t>
      </w:r>
    </w:p>
    <w:p w14:paraId="40AB6BE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p>
    <w:p w14:paraId="12CC2A8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宝山区生物医药产业高质量发展行动方案（2024-2026年）（草案）</w:t>
      </w:r>
    </w:p>
    <w:p w14:paraId="53DC647F">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119B304A">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为更好服务上海市产业发展格局，助力“北转型”战略，充分发挥本区发展生物医药产业的区位优势、空间优势、科教优势、成本优势，以生物医药及合成生物产业高质量发展助力打造新质生产力，特制定本行动方案。</w:t>
      </w:r>
    </w:p>
    <w:p w14:paraId="3E5554D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一、总体要求</w:t>
      </w:r>
    </w:p>
    <w:p w14:paraId="452A4B9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w:t>
      </w:r>
      <w:r>
        <w:rPr>
          <w:rFonts w:hint="default" w:ascii="Times New Roman" w:hAnsi="Times New Roman" w:eastAsia="方正楷体简体" w:cs="方正楷体简体"/>
          <w:b/>
          <w:bCs/>
          <w:kern w:val="2"/>
          <w:sz w:val="32"/>
          <w:szCs w:val="32"/>
          <w:lang w:val="en-US" w:eastAsia="zh-CN" w:bidi="ar-SA"/>
        </w:rPr>
        <w:t>指导思想</w:t>
      </w:r>
    </w:p>
    <w:p w14:paraId="37A10012">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以习近平新时代中国特色社会主义思想为指导，顺应全球生命健康科技和产业发展趋势，以落实国家和上海市重大战略任务为牵引，紧紧抓住宝山“北转型”和“一地两区”战略发展机遇期，聚焦新赛道和关键技术，强化创新链赋能产业链，加快培育生物医药及合成生物产业集群发展高地，为推动经济高质量发展提供新的战略支撑。</w:t>
      </w:r>
    </w:p>
    <w:p w14:paraId="33FF69B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（二）主要目标</w:t>
      </w:r>
    </w:p>
    <w:p w14:paraId="72B3E162">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年，生物医药及合成生物产业要形成创新转化活跃、重磅产品涌现、龙头企业集聚、产业规模壮大的新发展态势，成为全市生物医药及合成生物产业服务辐射长三角北翼的重要节点和新增长极。</w:t>
      </w:r>
    </w:p>
    <w:p w14:paraId="228CAD02">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产业集聚效应显著。</w:t>
      </w: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年，生物医药产业工业产值突破</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亿元，形成</w:t>
      </w:r>
      <w:r>
        <w:rPr>
          <w:rFonts w:hint="default"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亿规模产业集群，建成超</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万方特色鲜明、功能多样、协同发展的生物医药产业专业载体，各类在研及投产药物、器械管线超</w:t>
      </w:r>
      <w:r>
        <w:rPr>
          <w:rFonts w:hint="default" w:ascii="Times New Roman" w:hAnsi="Times New Roman" w:eastAsia="方正仿宋简体" w:cs="Times New Roman"/>
          <w:b w:val="0"/>
          <w:bCs w:val="0"/>
          <w:color w:val="000000"/>
          <w:sz w:val="32"/>
          <w:szCs w:val="32"/>
          <w:lang w:val="en-US" w:eastAsia="zh-CN"/>
        </w:rPr>
        <w:t>400</w:t>
      </w:r>
      <w:r>
        <w:rPr>
          <w:rFonts w:hint="eastAsia" w:ascii="Times New Roman" w:hAnsi="Times New Roman" w:eastAsia="方正仿宋简体" w:cs="方正仿宋简体"/>
          <w:b w:val="0"/>
          <w:bCs w:val="0"/>
          <w:color w:val="000000"/>
          <w:sz w:val="32"/>
          <w:szCs w:val="32"/>
          <w:lang w:val="en-US" w:eastAsia="zh-CN"/>
        </w:rPr>
        <w:t>条。</w:t>
      </w:r>
    </w:p>
    <w:p w14:paraId="68441001">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产业能级迈向高端。</w:t>
      </w:r>
      <w:r>
        <w:rPr>
          <w:rFonts w:hint="eastAsia" w:ascii="Times New Roman" w:hAnsi="Times New Roman" w:eastAsia="方正仿宋简体" w:cs="方正仿宋简体"/>
          <w:b w:val="0"/>
          <w:bCs w:val="0"/>
          <w:color w:val="000000"/>
          <w:sz w:val="32"/>
          <w:szCs w:val="32"/>
          <w:lang w:val="en-US" w:eastAsia="zh-CN"/>
        </w:rPr>
        <w:t>力争引入不少于</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家全球</w:t>
      </w:r>
      <w:r>
        <w:rPr>
          <w:rFonts w:hint="default"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强、全球制药</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强、中国医工</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强等高影响力企业来我区设立总部、研发中心、高附加值生产基地。到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年，营收超</w:t>
      </w:r>
      <w:r>
        <w:rPr>
          <w:rFonts w:hint="default"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亿元企业达</w:t>
      </w:r>
      <w:r>
        <w:rPr>
          <w:rFonts w:hint="default" w:ascii="Times New Roman" w:hAnsi="Times New Roman" w:eastAsia="方正仿宋简体" w:cs="Times New Roman"/>
          <w:b w:val="0"/>
          <w:bCs w:val="0"/>
          <w:color w:val="000000"/>
          <w:sz w:val="32"/>
          <w:szCs w:val="32"/>
          <w:lang w:val="en-US" w:eastAsia="zh-CN"/>
        </w:rPr>
        <w:t>5</w:t>
      </w:r>
      <w:r>
        <w:rPr>
          <w:rFonts w:hint="eastAsia" w:ascii="Times New Roman" w:hAnsi="Times New Roman" w:eastAsia="方正仿宋简体" w:cs="方正仿宋简体"/>
          <w:b w:val="0"/>
          <w:bCs w:val="0"/>
          <w:color w:val="000000"/>
          <w:sz w:val="32"/>
          <w:szCs w:val="32"/>
          <w:lang w:val="en-US" w:eastAsia="zh-CN"/>
        </w:rPr>
        <w:t>家以上，超亿元企业达</w:t>
      </w:r>
      <w:r>
        <w:rPr>
          <w:rFonts w:hint="default" w:ascii="Times New Roman" w:hAnsi="Times New Roman" w:eastAsia="方正仿宋简体" w:cs="Times New Roman"/>
          <w:b w:val="0"/>
          <w:bCs w:val="0"/>
          <w:color w:val="000000"/>
          <w:sz w:val="32"/>
          <w:szCs w:val="32"/>
          <w:lang w:val="en-US" w:eastAsia="zh-CN"/>
        </w:rPr>
        <w:t>15</w:t>
      </w:r>
      <w:r>
        <w:rPr>
          <w:rFonts w:hint="eastAsia" w:ascii="Times New Roman" w:hAnsi="Times New Roman" w:eastAsia="方正仿宋简体" w:cs="方正仿宋简体"/>
          <w:b w:val="0"/>
          <w:bCs w:val="0"/>
          <w:color w:val="000000"/>
          <w:sz w:val="32"/>
          <w:szCs w:val="32"/>
          <w:lang w:val="en-US" w:eastAsia="zh-CN"/>
        </w:rPr>
        <w:t>家以上，新增境内外上市企业</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家以上。</w:t>
      </w:r>
    </w:p>
    <w:p w14:paraId="2D7E543F">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产业链条更加健全。</w:t>
      </w:r>
      <w:r>
        <w:rPr>
          <w:rFonts w:hint="eastAsia" w:ascii="Times New Roman" w:hAnsi="Times New Roman" w:eastAsia="方正仿宋简体" w:cs="方正仿宋简体"/>
          <w:b w:val="0"/>
          <w:bCs w:val="0"/>
          <w:color w:val="000000"/>
          <w:sz w:val="32"/>
          <w:szCs w:val="32"/>
          <w:lang w:val="en-US" w:eastAsia="zh-CN"/>
        </w:rPr>
        <w:t>产业链与创新链进一步深度融合，引进药械注册、上市辅导、技术转移等一批专业服务机构，加快建成合成生物（高价值分子）、动物模型、</w:t>
      </w:r>
      <w:r>
        <w:rPr>
          <w:rFonts w:hint="default" w:ascii="Times New Roman" w:hAnsi="Times New Roman" w:eastAsia="方正仿宋简体" w:cs="Times New Roman"/>
          <w:b w:val="0"/>
          <w:bCs w:val="0"/>
          <w:color w:val="000000"/>
          <w:sz w:val="32"/>
          <w:szCs w:val="32"/>
          <w:lang w:val="en-US" w:eastAsia="zh-CN"/>
        </w:rPr>
        <w:t>ADC</w:t>
      </w:r>
      <w:r>
        <w:rPr>
          <w:rFonts w:hint="eastAsia" w:ascii="Times New Roman" w:hAnsi="Times New Roman" w:eastAsia="方正仿宋简体" w:cs="方正仿宋简体"/>
          <w:b w:val="0"/>
          <w:bCs w:val="0"/>
          <w:color w:val="000000"/>
          <w:sz w:val="32"/>
          <w:szCs w:val="32"/>
          <w:lang w:val="en-US" w:eastAsia="zh-CN"/>
        </w:rPr>
        <w:t>药物研发等一批专业公共平台，产业链完整度和产业生态匹配度显著提升。</w:t>
      </w:r>
    </w:p>
    <w:p w14:paraId="2B9B72F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（三）空间布局</w:t>
      </w:r>
    </w:p>
    <w:p w14:paraId="7A431197">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打造“特色核心园</w:t>
      </w:r>
      <w:r>
        <w:rPr>
          <w:rFonts w:hint="default" w:ascii="Times New Roman" w:hAnsi="Times New Roman" w:eastAsia="方正仿宋简体" w:cs="Times New Roman"/>
          <w:b w:val="0"/>
          <w:bCs w:val="0"/>
          <w:color w:val="000000"/>
          <w:sz w:val="32"/>
          <w:szCs w:val="32"/>
          <w:lang w:val="en-US" w:eastAsia="zh-CN"/>
        </w:rPr>
        <w:t>+</w:t>
      </w:r>
      <w:r>
        <w:rPr>
          <w:rFonts w:hint="eastAsia" w:ascii="Times New Roman" w:hAnsi="Times New Roman" w:eastAsia="方正仿宋简体" w:cs="方正仿宋简体"/>
          <w:b w:val="0"/>
          <w:bCs w:val="0"/>
          <w:color w:val="000000"/>
          <w:sz w:val="32"/>
          <w:szCs w:val="32"/>
          <w:lang w:val="en-US" w:eastAsia="zh-CN"/>
        </w:rPr>
        <w:t>专业精品园”体系，形成“特色鲜明、错位发展”产业格局。北上海生物医药产业园为本区发展生物医药产业的引领性特色核心空间。更好融入全市产业空间布局，积极推动各类产业及科技创新资源向该园区集中，着力推进几大重点产业赛道，突出成果转化及产业化落地功能，打造“研发+转化+生产”全链条生态体系。罗店园区打响“美兰湖畔 创新药谷”品牌，重点布局发展创新药及临床急需的高端仿制药、细胞和基因治疗、</w:t>
      </w:r>
      <w:r>
        <w:rPr>
          <w:rFonts w:hint="default" w:ascii="Times New Roman" w:hAnsi="Times New Roman" w:eastAsia="方正仿宋简体" w:cs="Times New Roman"/>
          <w:b w:val="0"/>
          <w:bCs w:val="0"/>
          <w:color w:val="000000"/>
          <w:sz w:val="32"/>
          <w:szCs w:val="32"/>
          <w:lang w:val="en-US" w:eastAsia="zh-CN"/>
        </w:rPr>
        <w:t>CXO</w:t>
      </w:r>
      <w:r>
        <w:rPr>
          <w:rFonts w:hint="eastAsia" w:ascii="Times New Roman" w:hAnsi="Times New Roman" w:eastAsia="方正仿宋简体" w:cs="方正仿宋简体"/>
          <w:b w:val="0"/>
          <w:bCs w:val="0"/>
          <w:color w:val="000000"/>
          <w:sz w:val="32"/>
          <w:szCs w:val="32"/>
          <w:lang w:val="en-US" w:eastAsia="zh-CN"/>
        </w:rPr>
        <w:t>（医药外包服务）等领域。高新园区作为高端医疗器械重要承载区、合成生物重要转化区，同步发展</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生物医学及疫苗和体外诊断领域。根据资源禀赋，罗店镇及宝山高新园发挥各自优势，形成功能互补、协同联动发展模式。积极服务全市合成生物“一核两翼”空间布局，以研发总部、功能平台建设为特色，做优南大合成生物产业园。持续做强做精上海创新型疫苗科技园、上海高端诊疗设备产业创新基地、医疗机器人等一批主题明确、功能复合的优质专业园区。</w:t>
      </w:r>
    </w:p>
    <w:p w14:paraId="73072D2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二、发展重点</w:t>
      </w:r>
    </w:p>
    <w:p w14:paraId="380135AB">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创新药物。</w:t>
      </w:r>
      <w:r>
        <w:rPr>
          <w:rFonts w:hint="eastAsia" w:ascii="Times New Roman" w:hAnsi="Times New Roman" w:eastAsia="方正仿宋简体" w:cs="方正仿宋简体"/>
          <w:b w:val="0"/>
          <w:bCs w:val="0"/>
          <w:color w:val="000000"/>
          <w:sz w:val="32"/>
          <w:szCs w:val="32"/>
          <w:lang w:val="en-US" w:eastAsia="zh-CN"/>
        </w:rPr>
        <w:t>加强创新及应用研究，鼓励利用基因编辑技术、人工智能、基因组学、纳米技术等前沿技术进行原始创新。重点推进</w:t>
      </w:r>
      <w:r>
        <w:rPr>
          <w:rFonts w:hint="default" w:ascii="Times New Roman" w:hAnsi="Times New Roman" w:eastAsia="方正仿宋简体" w:cs="Times New Roman"/>
          <w:b w:val="0"/>
          <w:bCs w:val="0"/>
          <w:color w:val="000000"/>
          <w:sz w:val="32"/>
          <w:szCs w:val="32"/>
          <w:lang w:val="en-US" w:eastAsia="zh-CN"/>
        </w:rPr>
        <w:t>mRNA</w:t>
      </w:r>
      <w:r>
        <w:rPr>
          <w:rFonts w:hint="eastAsia" w:ascii="Times New Roman" w:hAnsi="Times New Roman" w:eastAsia="方正仿宋简体" w:cs="方正仿宋简体"/>
          <w:b w:val="0"/>
          <w:bCs w:val="0"/>
          <w:color w:val="000000"/>
          <w:sz w:val="32"/>
          <w:szCs w:val="32"/>
          <w:lang w:val="en-US" w:eastAsia="zh-CN"/>
        </w:rPr>
        <w:t>技术抗癌疗法、小分子抑制剂、</w:t>
      </w:r>
      <w:r>
        <w:rPr>
          <w:rFonts w:hint="default" w:ascii="Times New Roman" w:hAnsi="Times New Roman" w:eastAsia="方正仿宋简体" w:cs="Times New Roman"/>
          <w:b w:val="0"/>
          <w:bCs w:val="0"/>
          <w:color w:val="000000"/>
          <w:sz w:val="32"/>
          <w:szCs w:val="32"/>
          <w:lang w:val="en-US" w:eastAsia="zh-CN"/>
        </w:rPr>
        <w:t>PDC</w:t>
      </w:r>
      <w:r>
        <w:rPr>
          <w:rFonts w:hint="eastAsia" w:ascii="Times New Roman" w:hAnsi="Times New Roman" w:eastAsia="方正仿宋简体" w:cs="方正仿宋简体"/>
          <w:b w:val="0"/>
          <w:bCs w:val="0"/>
          <w:color w:val="000000"/>
          <w:sz w:val="32"/>
          <w:szCs w:val="32"/>
          <w:lang w:val="en-US" w:eastAsia="zh-CN"/>
        </w:rPr>
        <w:t>药物临床应用和创新中药。</w:t>
      </w:r>
    </w:p>
    <w:p w14:paraId="6F858A17">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细胞和基因治疗。</w:t>
      </w:r>
      <w:r>
        <w:rPr>
          <w:rFonts w:hint="eastAsia" w:ascii="Times New Roman" w:hAnsi="Times New Roman" w:eastAsia="方正仿宋简体" w:cs="方正仿宋简体"/>
          <w:b w:val="0"/>
          <w:bCs w:val="0"/>
          <w:color w:val="000000"/>
          <w:sz w:val="32"/>
          <w:szCs w:val="32"/>
          <w:lang w:val="en-US" w:eastAsia="zh-CN"/>
        </w:rPr>
        <w:t>重点发展</w:t>
      </w:r>
      <w:r>
        <w:rPr>
          <w:rFonts w:hint="default" w:ascii="Times New Roman" w:hAnsi="Times New Roman" w:eastAsia="方正仿宋简体" w:cs="Times New Roman"/>
          <w:b w:val="0"/>
          <w:bCs w:val="0"/>
          <w:color w:val="000000"/>
          <w:sz w:val="32"/>
          <w:szCs w:val="32"/>
          <w:lang w:val="en-US" w:eastAsia="zh-CN"/>
        </w:rPr>
        <w:t>CAR-T</w:t>
      </w:r>
      <w:r>
        <w:rPr>
          <w:rFonts w:hint="eastAsia" w:ascii="Times New Roman" w:hAnsi="Times New Roman" w:eastAsia="方正仿宋简体" w:cs="方正仿宋简体"/>
          <w:b w:val="0"/>
          <w:bCs w:val="0"/>
          <w:color w:val="000000"/>
          <w:sz w:val="32"/>
          <w:szCs w:val="32"/>
          <w:lang w:val="en-US" w:eastAsia="zh-CN"/>
        </w:rPr>
        <w:t>疗法、干细胞疗法、溶瘤病毒疗法和基因疗法等技术。推进核酸序列设计与合成、基因编辑新工具、药物递送新载体等领域核心技术攻关。加强病毒、小干扰核糖核酸等物料，无血清培养基、滤膜等关键耗材攻关。</w:t>
      </w:r>
    </w:p>
    <w:p w14:paraId="29C1E5D1">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疫苗和体外诊断。</w:t>
      </w:r>
      <w:r>
        <w:rPr>
          <w:rFonts w:hint="eastAsia" w:ascii="Times New Roman" w:hAnsi="Times New Roman" w:eastAsia="方正仿宋简体" w:cs="方正仿宋简体"/>
          <w:b w:val="0"/>
          <w:bCs w:val="0"/>
          <w:color w:val="000000"/>
          <w:sz w:val="32"/>
          <w:szCs w:val="32"/>
          <w:lang w:val="en-US" w:eastAsia="zh-CN"/>
        </w:rPr>
        <w:t>疫苗领域重点攻关长链活性</w:t>
      </w:r>
      <w:r>
        <w:rPr>
          <w:rFonts w:hint="default" w:ascii="Times New Roman" w:hAnsi="Times New Roman" w:eastAsia="方正仿宋简体" w:cs="Times New Roman"/>
          <w:b w:val="0"/>
          <w:bCs w:val="0"/>
          <w:color w:val="000000"/>
          <w:sz w:val="32"/>
          <w:szCs w:val="32"/>
          <w:lang w:val="en-US" w:eastAsia="zh-CN"/>
        </w:rPr>
        <w:t>mRNA</w:t>
      </w:r>
      <w:r>
        <w:rPr>
          <w:rFonts w:hint="eastAsia" w:ascii="Times New Roman" w:hAnsi="Times New Roman" w:eastAsia="方正仿宋简体" w:cs="方正仿宋简体"/>
          <w:b w:val="0"/>
          <w:bCs w:val="0"/>
          <w:color w:val="000000"/>
          <w:sz w:val="32"/>
          <w:szCs w:val="32"/>
          <w:lang w:val="en-US" w:eastAsia="zh-CN"/>
        </w:rPr>
        <w:t>合成技术、</w:t>
      </w:r>
      <w:r>
        <w:rPr>
          <w:rFonts w:hint="default" w:ascii="Times New Roman" w:hAnsi="Times New Roman" w:eastAsia="方正仿宋简体" w:cs="Times New Roman"/>
          <w:b w:val="0"/>
          <w:bCs w:val="0"/>
          <w:color w:val="000000"/>
          <w:sz w:val="32"/>
          <w:szCs w:val="32"/>
          <w:lang w:val="en-US" w:eastAsia="zh-CN"/>
        </w:rPr>
        <w:t>mRNA</w:t>
      </w:r>
      <w:r>
        <w:rPr>
          <w:rFonts w:hint="eastAsia" w:ascii="Times New Roman" w:hAnsi="Times New Roman" w:eastAsia="方正仿宋简体" w:cs="方正仿宋简体"/>
          <w:b w:val="0"/>
          <w:bCs w:val="0"/>
          <w:color w:val="000000"/>
          <w:sz w:val="32"/>
          <w:szCs w:val="32"/>
          <w:lang w:val="en-US" w:eastAsia="zh-CN"/>
        </w:rPr>
        <w:t>递送系统等卡脖子技术。关注传染病、肿瘤、罕见病等应用场景下的疫苗研发。体外诊断领域重点推进基因测序、循环肿瘤细胞检测等技术攻关，推动基因测序芯片、检测试剂盒等体外诊断设备和试剂的研发及产业化。</w:t>
      </w:r>
    </w:p>
    <w:p w14:paraId="4CF3E0C4">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合成生物。</w:t>
      </w:r>
      <w:r>
        <w:rPr>
          <w:rFonts w:hint="eastAsia" w:ascii="Times New Roman" w:hAnsi="Times New Roman" w:eastAsia="方正仿宋简体" w:cs="方正仿宋简体"/>
          <w:b w:val="0"/>
          <w:bCs w:val="0"/>
          <w:color w:val="000000"/>
          <w:sz w:val="32"/>
          <w:szCs w:val="32"/>
          <w:lang w:val="en-US" w:eastAsia="zh-CN"/>
        </w:rPr>
        <w:t>重点推进基因编辑与合成、基因原件与线路工程、微生物发酵、酶技术、生物计算技术平台等技术研发。推动高价值分子研发平台的建设，建设高价值分子发现、制备、功效验证等功能型平台。</w:t>
      </w:r>
    </w:p>
    <w:p w14:paraId="67739CBF">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Times New Roman"/>
          <w:b/>
          <w:bCs/>
          <w:color w:val="000000"/>
          <w:sz w:val="32"/>
          <w:szCs w:val="32"/>
          <w:lang w:val="en-US" w:eastAsia="zh-CN"/>
        </w:rPr>
        <w:t>AI+</w:t>
      </w:r>
      <w:r>
        <w:rPr>
          <w:rFonts w:hint="eastAsia" w:ascii="Times New Roman" w:hAnsi="Times New Roman" w:eastAsia="方正仿宋简体" w:cs="方正仿宋简体"/>
          <w:b/>
          <w:bCs/>
          <w:color w:val="000000"/>
          <w:sz w:val="32"/>
          <w:szCs w:val="32"/>
          <w:lang w:val="en-US" w:eastAsia="zh-CN"/>
        </w:rPr>
        <w:t>生物医学。</w:t>
      </w:r>
      <w:r>
        <w:rPr>
          <w:rFonts w:hint="eastAsia" w:ascii="Times New Roman" w:hAnsi="Times New Roman" w:eastAsia="方正仿宋简体" w:cs="方正仿宋简体"/>
          <w:b w:val="0"/>
          <w:bCs w:val="0"/>
          <w:color w:val="000000"/>
          <w:sz w:val="32"/>
          <w:szCs w:val="32"/>
          <w:lang w:val="en-US" w:eastAsia="zh-CN"/>
        </w:rPr>
        <w:t>大力推动</w:t>
      </w:r>
      <w:r>
        <w:rPr>
          <w:rFonts w:hint="default"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与医疗器械、医疗影像、药物研发、病理诊断等多领域结合。重点推进</w:t>
      </w:r>
      <w:r>
        <w:rPr>
          <w:rFonts w:hint="eastAsia" w:ascii="Times New Roman" w:hAnsi="Times New Roman" w:eastAsia="方正仿宋简体" w:cs="Times New Roman"/>
          <w:b w:val="0"/>
          <w:bCs w:val="0"/>
          <w:color w:val="000000"/>
          <w:sz w:val="32"/>
          <w:szCs w:val="32"/>
          <w:lang w:val="en-US" w:eastAsia="zh-CN"/>
        </w:rPr>
        <w:t>AI</w:t>
      </w:r>
      <w:r>
        <w:rPr>
          <w:rFonts w:hint="eastAsia" w:ascii="Times New Roman" w:hAnsi="Times New Roman" w:eastAsia="方正仿宋简体" w:cs="方正仿宋简体"/>
          <w:b w:val="0"/>
          <w:bCs w:val="0"/>
          <w:color w:val="000000"/>
          <w:sz w:val="32"/>
          <w:szCs w:val="32"/>
          <w:lang w:val="en-US" w:eastAsia="zh-CN"/>
        </w:rPr>
        <w:t>技术在靶点挖掘、虚拟筛查、定向分子设计、</w:t>
      </w:r>
      <w:r>
        <w:rPr>
          <w:rFonts w:hint="eastAsia" w:ascii="Times New Roman" w:hAnsi="Times New Roman" w:eastAsia="方正仿宋简体" w:cs="Times New Roman"/>
          <w:b w:val="0"/>
          <w:bCs w:val="0"/>
          <w:color w:val="000000"/>
          <w:sz w:val="32"/>
          <w:szCs w:val="32"/>
          <w:lang w:val="en-US" w:eastAsia="zh-CN"/>
        </w:rPr>
        <w:t>ADME/T</w:t>
      </w:r>
      <w:r>
        <w:rPr>
          <w:rFonts w:hint="eastAsia" w:ascii="Times New Roman" w:hAnsi="Times New Roman" w:eastAsia="方正仿宋简体" w:cs="方正仿宋简体"/>
          <w:b w:val="0"/>
          <w:bCs w:val="0"/>
          <w:color w:val="000000"/>
          <w:sz w:val="32"/>
          <w:szCs w:val="32"/>
          <w:lang w:val="en-US" w:eastAsia="zh-CN"/>
        </w:rPr>
        <w:t>性质预测和理化性质预测等应用领域落地。</w:t>
      </w:r>
    </w:p>
    <w:p w14:paraId="580FF9CD">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医药外包服务</w:t>
      </w:r>
      <w:r>
        <w:rPr>
          <w:rFonts w:hint="eastAsia" w:ascii="Times New Roman" w:hAnsi="Times New Roman" w:eastAsia="方正仿宋简体" w:cs="Times New Roman"/>
          <w:b/>
          <w:bCs/>
          <w:color w:val="000000"/>
          <w:sz w:val="32"/>
          <w:szCs w:val="32"/>
          <w:lang w:val="en-US" w:eastAsia="zh-CN"/>
        </w:rPr>
        <w:t>（CXO）</w:t>
      </w:r>
      <w:r>
        <w:rPr>
          <w:rFonts w:hint="eastAsia" w:ascii="Times New Roman" w:hAnsi="Times New Roman" w:eastAsia="方正仿宋简体" w:cs="方正仿宋简体"/>
          <w:b/>
          <w:bCs/>
          <w:color w:val="000000"/>
          <w:sz w:val="32"/>
          <w:szCs w:val="32"/>
          <w:lang w:val="en-US" w:eastAsia="zh-CN"/>
        </w:rPr>
        <w:t>。</w:t>
      </w:r>
      <w:r>
        <w:rPr>
          <w:rFonts w:hint="eastAsia" w:ascii="Times New Roman" w:hAnsi="Times New Roman" w:eastAsia="方正仿宋简体" w:cs="方正仿宋简体"/>
          <w:b w:val="0"/>
          <w:bCs w:val="0"/>
          <w:color w:val="000000"/>
          <w:sz w:val="32"/>
          <w:szCs w:val="32"/>
          <w:lang w:val="en-US" w:eastAsia="zh-CN"/>
        </w:rPr>
        <w:t>重点鼓励市场化专业化合同研究组织</w:t>
      </w:r>
      <w:r>
        <w:rPr>
          <w:rFonts w:hint="eastAsia" w:ascii="Times New Roman" w:hAnsi="Times New Roman" w:eastAsia="方正仿宋简体" w:cs="Times New Roman"/>
          <w:b w:val="0"/>
          <w:bCs w:val="0"/>
          <w:color w:val="000000"/>
          <w:sz w:val="32"/>
          <w:szCs w:val="32"/>
          <w:lang w:val="en-US" w:eastAsia="zh-CN"/>
        </w:rPr>
        <w:t>（CRO）</w:t>
      </w:r>
      <w:r>
        <w:rPr>
          <w:rFonts w:hint="eastAsia" w:ascii="Times New Roman" w:hAnsi="Times New Roman" w:eastAsia="方正仿宋简体" w:cs="方正仿宋简体"/>
          <w:b w:val="0"/>
          <w:bCs w:val="0"/>
          <w:color w:val="000000"/>
          <w:sz w:val="32"/>
          <w:szCs w:val="32"/>
          <w:lang w:val="en-US" w:eastAsia="zh-CN"/>
        </w:rPr>
        <w:t>、定制研发生产组织</w:t>
      </w:r>
      <w:r>
        <w:rPr>
          <w:rFonts w:hint="eastAsia" w:ascii="Times New Roman" w:hAnsi="Times New Roman" w:eastAsia="方正仿宋简体" w:cs="Times New Roman"/>
          <w:b w:val="0"/>
          <w:bCs w:val="0"/>
          <w:color w:val="000000"/>
          <w:sz w:val="32"/>
          <w:szCs w:val="32"/>
          <w:lang w:val="en-US" w:eastAsia="zh-CN"/>
        </w:rPr>
        <w:t>（CDMO）</w:t>
      </w:r>
      <w:r>
        <w:rPr>
          <w:rFonts w:hint="eastAsia" w:ascii="Times New Roman" w:hAnsi="Times New Roman" w:eastAsia="方正仿宋简体" w:cs="方正仿宋简体"/>
          <w:b w:val="0"/>
          <w:bCs w:val="0"/>
          <w:color w:val="000000"/>
          <w:sz w:val="32"/>
          <w:szCs w:val="32"/>
          <w:lang w:val="en-US" w:eastAsia="zh-CN"/>
        </w:rPr>
        <w:t>等专业外包服务商建设优化载体文库筛查、制剂灌装、产品评价等第三方服务平台，提升数据库建立和储存、模型研发、药物发现、制剂开发和生产供应等综合服务能力。</w:t>
      </w:r>
    </w:p>
    <w:p w14:paraId="275338F2">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高端医疗器械。</w:t>
      </w:r>
      <w:r>
        <w:rPr>
          <w:rFonts w:hint="eastAsia" w:ascii="Times New Roman" w:hAnsi="Times New Roman" w:eastAsia="方正仿宋简体" w:cs="方正仿宋简体"/>
          <w:b w:val="0"/>
          <w:bCs w:val="0"/>
          <w:color w:val="000000"/>
          <w:sz w:val="32"/>
          <w:szCs w:val="32"/>
          <w:lang w:val="en-US" w:eastAsia="zh-CN"/>
        </w:rPr>
        <w:t>大力推动植介入医疗器械、医疗及康复机器人、绿色生物医用材料、手术室数字化系统和实验室自动化系统等领域发展。</w:t>
      </w:r>
    </w:p>
    <w:p w14:paraId="4DF76CB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三、重点工作任务</w:t>
      </w:r>
    </w:p>
    <w:p w14:paraId="09426C7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楷体_GB2312" w:cs="楷体_GB2312"/>
          <w:b/>
          <w:bCs/>
          <w:i w:val="0"/>
          <w:iCs w:val="0"/>
          <w:caps w:val="0"/>
          <w:color w:val="333333"/>
          <w:spacing w:val="0"/>
          <w:sz w:val="32"/>
          <w:szCs w:val="32"/>
          <w:shd w:val="clear" w:color="auto" w:fill="FFFFFF"/>
          <w:lang w:val="en-US" w:eastAsia="zh-CN"/>
        </w:rPr>
      </w:pPr>
      <w:r>
        <w:rPr>
          <w:rFonts w:hint="eastAsia" w:ascii="Times New Roman" w:hAnsi="Times New Roman" w:eastAsia="方正楷体简体" w:cs="方正楷体简体"/>
          <w:b/>
          <w:bCs/>
          <w:kern w:val="2"/>
          <w:sz w:val="32"/>
          <w:szCs w:val="32"/>
          <w:lang w:val="en-US" w:eastAsia="zh-CN" w:bidi="ar-SA"/>
        </w:rPr>
        <w:t>(一)</w:t>
      </w:r>
      <w:r>
        <w:rPr>
          <w:rFonts w:ascii="Times New Roman" w:hAnsi="Times New Roman" w:eastAsia="楷体_GB2312" w:cs="楷体_GB2312"/>
          <w:b/>
          <w:bCs/>
          <w:i w:val="0"/>
          <w:iCs w:val="0"/>
          <w:caps w:val="0"/>
          <w:color w:val="333333"/>
          <w:spacing w:val="0"/>
          <w:sz w:val="32"/>
          <w:szCs w:val="32"/>
          <w:shd w:val="clear" w:color="auto" w:fill="FFFFFF"/>
        </w:rPr>
        <w:t>创新能力提升</w:t>
      </w:r>
    </w:p>
    <w:p w14:paraId="2B2FD81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w:t>
      </w:r>
      <w:r>
        <w:rPr>
          <w:rFonts w:hint="eastAsia" w:ascii="Times New Roman" w:hAnsi="Times New Roman" w:eastAsia="方正仿宋简体" w:cs="方正仿宋简体"/>
          <w:b/>
          <w:bCs/>
          <w:color w:val="000000"/>
          <w:sz w:val="32"/>
          <w:szCs w:val="32"/>
          <w:lang w:val="en-US" w:eastAsia="zh-CN"/>
        </w:rPr>
        <w:t>.</w:t>
      </w:r>
      <w:r>
        <w:rPr>
          <w:rFonts w:hint="default" w:ascii="Times New Roman" w:hAnsi="Times New Roman" w:eastAsia="方正仿宋简体" w:cs="方正仿宋简体"/>
          <w:b/>
          <w:bCs/>
          <w:color w:val="000000"/>
          <w:sz w:val="32"/>
          <w:szCs w:val="32"/>
          <w:lang w:val="en-US" w:eastAsia="zh-CN"/>
        </w:rPr>
        <w:t>加大新药研发支持力度。</w:t>
      </w:r>
      <w:r>
        <w:rPr>
          <w:rFonts w:hint="default" w:ascii="Times New Roman" w:hAnsi="Times New Roman" w:eastAsia="方正仿宋简体" w:cs="方正仿宋简体"/>
          <w:b w:val="0"/>
          <w:bCs w:val="0"/>
          <w:color w:val="000000"/>
          <w:sz w:val="32"/>
          <w:szCs w:val="32"/>
          <w:lang w:val="en-US" w:eastAsia="zh-CN"/>
        </w:rPr>
        <w:t>鼓励本区企业及科研院所面向临床需求，在</w:t>
      </w:r>
      <w:r>
        <w:rPr>
          <w:rFonts w:hint="default" w:ascii="Times New Roman" w:hAnsi="Times New Roman" w:eastAsia="方正仿宋简体" w:cs="Times New Roman"/>
          <w:b w:val="0"/>
          <w:bCs w:val="0"/>
          <w:color w:val="000000"/>
          <w:sz w:val="32"/>
          <w:szCs w:val="32"/>
          <w:lang w:val="en-US" w:eastAsia="zh-CN"/>
        </w:rPr>
        <w:t>mRNA</w:t>
      </w:r>
      <w:r>
        <w:rPr>
          <w:rFonts w:hint="default" w:ascii="Times New Roman" w:hAnsi="Times New Roman" w:eastAsia="方正仿宋简体" w:cs="方正仿宋简体"/>
          <w:b w:val="0"/>
          <w:bCs w:val="0"/>
          <w:color w:val="000000"/>
          <w:sz w:val="32"/>
          <w:szCs w:val="32"/>
          <w:lang w:val="en-US" w:eastAsia="zh-CN"/>
        </w:rPr>
        <w:t>技术、创新药、合成生物、细胞和基因治疗等领域开展核心技术攻关，重点突破</w:t>
      </w:r>
      <w:r>
        <w:rPr>
          <w:rFonts w:hint="default" w:ascii="Times New Roman" w:hAnsi="Times New Roman" w:eastAsia="方正仿宋简体" w:cs="Times New Roman"/>
          <w:b w:val="0"/>
          <w:bCs w:val="0"/>
          <w:color w:val="000000"/>
          <w:sz w:val="32"/>
          <w:szCs w:val="32"/>
          <w:lang w:val="en-US" w:eastAsia="zh-CN"/>
        </w:rPr>
        <w:t>mRNA</w:t>
      </w:r>
      <w:r>
        <w:rPr>
          <w:rFonts w:hint="default" w:ascii="Times New Roman" w:hAnsi="Times New Roman" w:eastAsia="方正仿宋简体" w:cs="方正仿宋简体"/>
          <w:b w:val="0"/>
          <w:bCs w:val="0"/>
          <w:color w:val="000000"/>
          <w:sz w:val="32"/>
          <w:szCs w:val="32"/>
          <w:lang w:val="en-US" w:eastAsia="zh-CN"/>
        </w:rPr>
        <w:t>递送系统、人工智能辅助药物设计、</w:t>
      </w:r>
      <w:r>
        <w:rPr>
          <w:rFonts w:hint="default" w:ascii="Times New Roman" w:hAnsi="Times New Roman" w:eastAsia="方正仿宋简体" w:cs="Times New Roman"/>
          <w:b w:val="0"/>
          <w:bCs w:val="0"/>
          <w:color w:val="000000"/>
          <w:sz w:val="32"/>
          <w:szCs w:val="32"/>
          <w:lang w:val="en-US" w:eastAsia="zh-CN"/>
        </w:rPr>
        <w:t>CAR-T</w:t>
      </w:r>
      <w:r>
        <w:rPr>
          <w:rFonts w:hint="default" w:ascii="Times New Roman" w:hAnsi="Times New Roman" w:eastAsia="方正仿宋简体" w:cs="方正仿宋简体"/>
          <w:b w:val="0"/>
          <w:bCs w:val="0"/>
          <w:color w:val="000000"/>
          <w:sz w:val="32"/>
          <w:szCs w:val="32"/>
          <w:lang w:val="en-US" w:eastAsia="zh-CN"/>
        </w:rPr>
        <w:t>疗法等关键技术。推动长效促卵泡激素、重组人透明质酸酶等产品产业化。到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年，推动</w:t>
      </w:r>
      <w:r>
        <w:rPr>
          <w:rFonts w:hint="default" w:ascii="Times New Roman" w:hAnsi="Times New Roman" w:eastAsia="方正仿宋简体" w:cs="Times New Roman"/>
          <w:b w:val="0"/>
          <w:bCs w:val="0"/>
          <w:color w:val="000000"/>
          <w:sz w:val="32"/>
          <w:szCs w:val="32"/>
          <w:lang w:val="en-US" w:eastAsia="zh-CN"/>
        </w:rPr>
        <w:t>15</w:t>
      </w:r>
      <w:r>
        <w:rPr>
          <w:rFonts w:hint="default" w:ascii="Times New Roman" w:hAnsi="Times New Roman" w:eastAsia="方正仿宋简体" w:cs="方正仿宋简体"/>
          <w:b w:val="0"/>
          <w:bCs w:val="0"/>
          <w:color w:val="000000"/>
          <w:sz w:val="32"/>
          <w:szCs w:val="32"/>
          <w:lang w:val="en-US" w:eastAsia="zh-CN"/>
        </w:rPr>
        <w:t>个以上创新药物进入临床实验阶段。（责任单位：区经委、区科委、有关街镇（园区））</w:t>
      </w:r>
    </w:p>
    <w:p w14:paraId="51FC7B1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2</w:t>
      </w:r>
      <w:r>
        <w:rPr>
          <w:rFonts w:hint="eastAsia" w:ascii="Times New Roman" w:hAnsi="Times New Roman" w:eastAsia="方正仿宋简体" w:cs="方正仿宋简体"/>
          <w:b/>
          <w:bCs/>
          <w:color w:val="000000"/>
          <w:sz w:val="32"/>
          <w:szCs w:val="32"/>
          <w:lang w:val="en-US" w:eastAsia="zh-CN"/>
        </w:rPr>
        <w:t>.</w:t>
      </w:r>
      <w:r>
        <w:rPr>
          <w:rFonts w:ascii="Times New Roman" w:hAnsi="Times New Roman" w:eastAsia="仿宋_GB2312" w:cs="仿宋_GB2312"/>
          <w:b/>
          <w:bCs/>
          <w:i w:val="0"/>
          <w:iCs w:val="0"/>
          <w:caps w:val="0"/>
          <w:color w:val="333333"/>
          <w:spacing w:val="0"/>
          <w:sz w:val="32"/>
          <w:szCs w:val="32"/>
          <w:shd w:val="clear" w:color="auto" w:fill="FFFFFF"/>
        </w:rPr>
        <w:t>加大医疗器械研发支持力度。</w:t>
      </w:r>
      <w:r>
        <w:rPr>
          <w:rFonts w:hint="default" w:ascii="Times New Roman" w:hAnsi="Times New Roman" w:eastAsia="方正仿宋简体" w:cs="方正仿宋简体"/>
          <w:b w:val="0"/>
          <w:bCs w:val="0"/>
          <w:color w:val="000000"/>
          <w:sz w:val="32"/>
          <w:szCs w:val="32"/>
          <w:lang w:val="en-US" w:eastAsia="zh-CN"/>
        </w:rPr>
        <w:t>鼓励本区企业积极开展医疗影像设备、植介入医疗器械、医疗及康复机器人、绿色生物医用材料等高端医疗器械研发。推进无创血糖仪等设备产业化，做大核磁共振成像系统、眼科精密光学设备等规模。加大对于医疗器械产品进入国家和上海市创新医疗器械特别审查程序的支持力度。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年，实现新申报上市二类、三类医疗器械产品</w:t>
      </w:r>
      <w:r>
        <w:rPr>
          <w:rFonts w:hint="default" w:ascii="Times New Roman" w:hAnsi="Times New Roman" w:eastAsia="方正仿宋简体" w:cs="Times New Roman"/>
          <w:b w:val="0"/>
          <w:bCs w:val="0"/>
          <w:color w:val="000000"/>
          <w:sz w:val="32"/>
          <w:szCs w:val="32"/>
          <w:lang w:val="en-US" w:eastAsia="zh-CN"/>
        </w:rPr>
        <w:t>50</w:t>
      </w:r>
      <w:r>
        <w:rPr>
          <w:rFonts w:hint="default" w:ascii="Times New Roman" w:hAnsi="Times New Roman" w:eastAsia="方正仿宋简体" w:cs="方正仿宋简体"/>
          <w:b w:val="0"/>
          <w:bCs w:val="0"/>
          <w:color w:val="000000"/>
          <w:sz w:val="32"/>
          <w:szCs w:val="32"/>
          <w:lang w:val="en-US" w:eastAsia="zh-CN"/>
        </w:rPr>
        <w:t>个以上。（责任单位：区经委、区科委、区市场监管局、有关街镇（园区））</w:t>
      </w:r>
    </w:p>
    <w:p w14:paraId="56825D1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3.打造优质创新联合体。</w:t>
      </w:r>
      <w:r>
        <w:rPr>
          <w:rFonts w:hint="default" w:ascii="Times New Roman" w:hAnsi="Times New Roman" w:eastAsia="方正仿宋简体" w:cs="方正仿宋简体"/>
          <w:b w:val="0"/>
          <w:bCs w:val="0"/>
          <w:color w:val="000000"/>
          <w:sz w:val="32"/>
          <w:szCs w:val="32"/>
          <w:lang w:val="en-US" w:eastAsia="zh-CN"/>
        </w:rPr>
        <w:t>支持企业联合高校院所、上下游企业等组建创新联合体。到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年，扎实推进我区医疗器械（体外诊断）、合成生物（重组药物）两大创新联合体高质量发展，形成具有技术突破性、全局带动性和重大引领性的创新成果。（责任单位：区科委、区经委）</w:t>
      </w:r>
    </w:p>
    <w:p w14:paraId="6027ED0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4.加大创新成果转化力度。</w:t>
      </w:r>
      <w:r>
        <w:rPr>
          <w:rFonts w:hint="default" w:ascii="Times New Roman" w:hAnsi="Times New Roman" w:eastAsia="方正仿宋简体" w:cs="方正仿宋简体"/>
          <w:b w:val="0"/>
          <w:bCs w:val="0"/>
          <w:color w:val="000000"/>
          <w:sz w:val="32"/>
          <w:szCs w:val="32"/>
          <w:lang w:val="en-US" w:eastAsia="zh-CN"/>
        </w:rPr>
        <w:t>积极落实“张江研发+上海制造”战略部署，进一步强化生物医药科技成果转化和产业化功能建设。争取国家、上海市重点研发计划重点专项、“重大新药创制”专项成果等在我区转化，对在本区实施的生物医药产业化项目加大政策支持力度。（责任单位：区科委、区科创委、区经委）</w:t>
      </w:r>
    </w:p>
    <w:p w14:paraId="0BE84C2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（二）公共平台补强</w:t>
      </w:r>
    </w:p>
    <w:p w14:paraId="1C47244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5.引进培育生物医药专业孵化器。</w:t>
      </w:r>
      <w:r>
        <w:rPr>
          <w:rFonts w:hint="default" w:ascii="Times New Roman" w:hAnsi="Times New Roman" w:eastAsia="方正仿宋简体" w:cs="方正仿宋简体"/>
          <w:b w:val="0"/>
          <w:bCs w:val="0"/>
          <w:color w:val="000000"/>
          <w:sz w:val="32"/>
          <w:szCs w:val="32"/>
          <w:lang w:val="en-US" w:eastAsia="zh-CN"/>
        </w:rPr>
        <w:t>鼓励引进高质量孵化器，依托高校、科研机构布局一批“楼上创新、楼下创业”的专业孵化器，遴选一批实力强的团队形成企业培育库并给予长期支持。到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年，引进培育不少于</w:t>
      </w:r>
      <w:r>
        <w:rPr>
          <w:rFonts w:hint="default" w:ascii="Times New Roman" w:hAnsi="Times New Roman" w:eastAsia="方正仿宋简体" w:cs="Times New Roman"/>
          <w:b w:val="0"/>
          <w:bCs w:val="0"/>
          <w:color w:val="000000"/>
          <w:sz w:val="32"/>
          <w:szCs w:val="32"/>
          <w:lang w:val="en-US" w:eastAsia="zh-CN"/>
        </w:rPr>
        <w:t>2</w:t>
      </w:r>
      <w:r>
        <w:rPr>
          <w:rFonts w:hint="default" w:ascii="Times New Roman" w:hAnsi="Times New Roman" w:eastAsia="方正仿宋简体" w:cs="方正仿宋简体"/>
          <w:b w:val="0"/>
          <w:bCs w:val="0"/>
          <w:color w:val="000000"/>
          <w:sz w:val="32"/>
          <w:szCs w:val="32"/>
          <w:lang w:val="en-US" w:eastAsia="zh-CN"/>
        </w:rPr>
        <w:t>家生物医药专业孵化器。（责任单位：区科委、区经委、区科创委、有关街镇（园区））</w:t>
      </w:r>
    </w:p>
    <w:p w14:paraId="22D22AB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6.加快生物医药概念验证中心建设。</w:t>
      </w:r>
      <w:r>
        <w:rPr>
          <w:rFonts w:hint="default" w:ascii="Times New Roman" w:hAnsi="Times New Roman" w:eastAsia="方正仿宋简体" w:cs="方正仿宋简体"/>
          <w:b w:val="0"/>
          <w:bCs w:val="0"/>
          <w:color w:val="000000"/>
          <w:sz w:val="32"/>
          <w:szCs w:val="32"/>
          <w:lang w:val="en-US" w:eastAsia="zh-CN"/>
        </w:rPr>
        <w:t>鼓励龙头企业牵头，围绕重点细分赛道，依托</w:t>
      </w:r>
      <w:r>
        <w:rPr>
          <w:rFonts w:hint="default" w:ascii="Times New Roman" w:hAnsi="Times New Roman" w:eastAsia="方正仿宋简体" w:cs="Times New Roman"/>
          <w:b w:val="0"/>
          <w:bCs w:val="0"/>
          <w:color w:val="000000"/>
          <w:sz w:val="32"/>
          <w:szCs w:val="32"/>
          <w:lang w:val="en-US" w:eastAsia="zh-CN"/>
        </w:rPr>
        <w:t>CXO</w:t>
      </w:r>
      <w:r>
        <w:rPr>
          <w:rFonts w:hint="default" w:ascii="Times New Roman" w:hAnsi="Times New Roman" w:eastAsia="方正仿宋简体" w:cs="方正仿宋简体"/>
          <w:b w:val="0"/>
          <w:bCs w:val="0"/>
          <w:color w:val="000000"/>
          <w:sz w:val="32"/>
          <w:szCs w:val="32"/>
          <w:lang w:val="en-US" w:eastAsia="zh-CN"/>
        </w:rPr>
        <w:t>第三方服务平台资源，支持企业合作构建概念验证协同体系，进一步提高科技成果转化效率和产业化成功率。依托顶尖医疗机构和科研院所，建设一批面向</w:t>
      </w:r>
      <w:r>
        <w:rPr>
          <w:rFonts w:hint="default" w:ascii="Times New Roman" w:hAnsi="Times New Roman" w:eastAsia="方正仿宋简体" w:cs="Times New Roman"/>
          <w:b w:val="0"/>
          <w:bCs w:val="0"/>
          <w:color w:val="000000"/>
          <w:sz w:val="32"/>
          <w:szCs w:val="32"/>
          <w:lang w:val="en-US" w:eastAsia="zh-CN"/>
        </w:rPr>
        <w:t>mRNA</w:t>
      </w:r>
      <w:r>
        <w:rPr>
          <w:rFonts w:hint="default" w:ascii="Times New Roman" w:hAnsi="Times New Roman" w:eastAsia="方正仿宋简体" w:cs="方正仿宋简体"/>
          <w:b w:val="0"/>
          <w:bCs w:val="0"/>
          <w:color w:val="000000"/>
          <w:sz w:val="32"/>
          <w:szCs w:val="32"/>
          <w:lang w:val="en-US" w:eastAsia="zh-CN"/>
        </w:rPr>
        <w:t>技术、细胞与基因治疗、医疗及康复机器人等细分领域的概念验证中心，到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年，打造不少于</w:t>
      </w:r>
      <w:r>
        <w:rPr>
          <w:rFonts w:hint="default" w:ascii="Times New Roman" w:hAnsi="Times New Roman" w:eastAsia="方正仿宋简体" w:cs="Times New Roman"/>
          <w:b w:val="0"/>
          <w:bCs w:val="0"/>
          <w:color w:val="000000"/>
          <w:sz w:val="32"/>
          <w:szCs w:val="32"/>
          <w:lang w:val="en-US" w:eastAsia="zh-CN"/>
        </w:rPr>
        <w:t>2</w:t>
      </w:r>
      <w:r>
        <w:rPr>
          <w:rFonts w:hint="default" w:ascii="Times New Roman" w:hAnsi="Times New Roman" w:eastAsia="方正仿宋简体" w:cs="方正仿宋简体"/>
          <w:b w:val="0"/>
          <w:bCs w:val="0"/>
          <w:color w:val="000000"/>
          <w:sz w:val="32"/>
          <w:szCs w:val="32"/>
          <w:lang w:val="en-US" w:eastAsia="zh-CN"/>
        </w:rPr>
        <w:t>家高能级概念验证平台。（责任单位：区科委、区经委、区科创委、有关街镇（园区））</w:t>
      </w:r>
    </w:p>
    <w:p w14:paraId="4B23341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7.</w:t>
      </w:r>
      <w:r>
        <w:rPr>
          <w:rFonts w:ascii="Times New Roman" w:hAnsi="Times New Roman" w:eastAsia="仿宋_GB2312" w:cs="仿宋_GB2312"/>
          <w:b/>
          <w:bCs/>
          <w:i w:val="0"/>
          <w:iCs w:val="0"/>
          <w:caps w:val="0"/>
          <w:color w:val="333333"/>
          <w:spacing w:val="0"/>
          <w:sz w:val="32"/>
          <w:szCs w:val="32"/>
          <w:shd w:val="clear" w:color="auto" w:fill="FFFFFF"/>
        </w:rPr>
        <w:t>加速生物制品检验检测基地建设。</w:t>
      </w:r>
      <w:r>
        <w:rPr>
          <w:rFonts w:hint="default" w:ascii="Times New Roman" w:hAnsi="Times New Roman" w:eastAsia="方正仿宋简体" w:cs="方正仿宋简体"/>
          <w:b w:val="0"/>
          <w:bCs w:val="0"/>
          <w:color w:val="000000"/>
          <w:sz w:val="32"/>
          <w:szCs w:val="32"/>
          <w:lang w:val="en-US" w:eastAsia="zh-CN"/>
        </w:rPr>
        <w:t>聚焦细胞制品、核酸药物、重组技术药物等新型生物制品，进一步提高生物制品的检测能力，为企业新药研发注册和快速进口生物制品提供有力支撑。到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年，打造“国内领先、国际一流”的多元化生物制品检验检测平台。（责任单位：区科委、区经委、区科创委、有关街镇（园区））</w:t>
      </w:r>
    </w:p>
    <w:p w14:paraId="5F1A69E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8.加快推进清华工研院合成生物高价值分子平台落地。</w:t>
      </w:r>
      <w:r>
        <w:rPr>
          <w:rFonts w:hint="default" w:ascii="Times New Roman" w:hAnsi="Times New Roman" w:eastAsia="方正仿宋简体" w:cs="方正仿宋简体"/>
          <w:b w:val="0"/>
          <w:bCs w:val="0"/>
          <w:color w:val="000000"/>
          <w:sz w:val="32"/>
          <w:szCs w:val="32"/>
          <w:lang w:val="en-US" w:eastAsia="zh-CN"/>
        </w:rPr>
        <w:t>围绕高质量健康生活方式催生的医美、美妆、食品等消费品领域创新高价值分子研发、生产及应用需求，有序布局高价值分子发现及功效验证、底盘细胞铸造、生物过程工艺、产品配方开发等功能型平台，积极推进重组人胶原蛋白等管线落地。持续提升平台对外服务及仪器设备共用共享能力，形成“以平台引企业，以企业汇平台”良性循环。（责任单位：区科委、区经委、高新园）</w:t>
      </w:r>
    </w:p>
    <w:p w14:paraId="5573BE0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9.打造生物医药产业科创综合体。</w:t>
      </w:r>
      <w:r>
        <w:rPr>
          <w:rFonts w:hint="default" w:ascii="Times New Roman" w:hAnsi="Times New Roman" w:eastAsia="方正仿宋简体" w:cs="方正仿宋简体"/>
          <w:b w:val="0"/>
          <w:bCs w:val="0"/>
          <w:color w:val="000000"/>
          <w:sz w:val="32"/>
          <w:szCs w:val="32"/>
          <w:lang w:val="en-US" w:eastAsia="zh-CN"/>
        </w:rPr>
        <w:t>继续用好生物医药创新大会品牌，汇集宣传展示、招商推介、投融资对接、企业沙龙等活动，高品质打造具有科技风向标、应用展示台、产业加速器、治理议事厅等功能为一体的生物医药产业科创综合体，持续提升宝山发展生物医药产业生态。（责任单位：区科委、区经委、罗店镇）</w:t>
      </w:r>
    </w:p>
    <w:p w14:paraId="4F92728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（三）产业集群培育</w:t>
      </w:r>
    </w:p>
    <w:p w14:paraId="6EEB5C4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10、加快项目招大引强。</w:t>
      </w:r>
      <w:r>
        <w:rPr>
          <w:rFonts w:hint="default" w:ascii="Times New Roman" w:hAnsi="Times New Roman" w:eastAsia="方正仿宋简体" w:cs="方正仿宋简体"/>
          <w:b w:val="0"/>
          <w:bCs w:val="0"/>
          <w:color w:val="000000"/>
          <w:sz w:val="32"/>
          <w:szCs w:val="32"/>
          <w:lang w:val="en-US" w:eastAsia="zh-CN"/>
        </w:rPr>
        <w:t>紧盯龙头企业，加大力度引进世界</w:t>
      </w:r>
      <w:r>
        <w:rPr>
          <w:rFonts w:hint="default" w:ascii="Times New Roman" w:hAnsi="Times New Roman" w:eastAsia="方正仿宋简体" w:cs="Times New Roman"/>
          <w:b w:val="0"/>
          <w:bCs w:val="0"/>
          <w:color w:val="000000"/>
          <w:sz w:val="32"/>
          <w:szCs w:val="32"/>
          <w:lang w:val="en-US" w:eastAsia="zh-CN"/>
        </w:rPr>
        <w:t>500</w:t>
      </w:r>
      <w:r>
        <w:rPr>
          <w:rFonts w:hint="default" w:ascii="Times New Roman" w:hAnsi="Times New Roman" w:eastAsia="方正仿宋简体" w:cs="方正仿宋简体"/>
          <w:b w:val="0"/>
          <w:bCs w:val="0"/>
          <w:color w:val="000000"/>
          <w:sz w:val="32"/>
          <w:szCs w:val="32"/>
          <w:lang w:val="en-US" w:eastAsia="zh-CN"/>
        </w:rPr>
        <w:t>强、行业</w:t>
      </w:r>
      <w:r>
        <w:rPr>
          <w:rFonts w:hint="default" w:ascii="Times New Roman" w:hAnsi="Times New Roman" w:eastAsia="方正仿宋简体" w:cs="Times New Roman"/>
          <w:b w:val="0"/>
          <w:bCs w:val="0"/>
          <w:color w:val="000000"/>
          <w:sz w:val="32"/>
          <w:szCs w:val="32"/>
          <w:lang w:val="en-US" w:eastAsia="zh-CN"/>
        </w:rPr>
        <w:t>50</w:t>
      </w:r>
      <w:r>
        <w:rPr>
          <w:rFonts w:hint="default" w:ascii="Times New Roman" w:hAnsi="Times New Roman" w:eastAsia="方正仿宋简体" w:cs="方正仿宋简体"/>
          <w:b w:val="0"/>
          <w:bCs w:val="0"/>
          <w:color w:val="000000"/>
          <w:sz w:val="32"/>
          <w:szCs w:val="32"/>
          <w:lang w:val="en-US" w:eastAsia="zh-CN"/>
        </w:rPr>
        <w:t>强、中国医药工</w:t>
      </w:r>
      <w:r>
        <w:rPr>
          <w:rFonts w:hint="default" w:ascii="Times New Roman" w:hAnsi="Times New Roman" w:eastAsia="方正仿宋简体" w:cs="Times New Roman"/>
          <w:b w:val="0"/>
          <w:bCs w:val="0"/>
          <w:color w:val="000000"/>
          <w:sz w:val="32"/>
          <w:szCs w:val="32"/>
          <w:lang w:val="en-US" w:eastAsia="zh-CN"/>
        </w:rPr>
        <w:t>业100</w:t>
      </w:r>
      <w:r>
        <w:rPr>
          <w:rFonts w:hint="default" w:ascii="Times New Roman" w:hAnsi="Times New Roman" w:eastAsia="方正仿宋简体" w:cs="方正仿宋简体"/>
          <w:b w:val="0"/>
          <w:bCs w:val="0"/>
          <w:color w:val="000000"/>
          <w:sz w:val="32"/>
          <w:szCs w:val="32"/>
          <w:lang w:val="en-US" w:eastAsia="zh-CN"/>
        </w:rPr>
        <w:t>强、细分领域前</w:t>
      </w:r>
      <w:r>
        <w:rPr>
          <w:rFonts w:hint="default" w:ascii="Times New Roman" w:hAnsi="Times New Roman" w:eastAsia="方正仿宋简体" w:cs="Times New Roman"/>
          <w:b w:val="0"/>
          <w:bCs w:val="0"/>
          <w:color w:val="000000"/>
          <w:sz w:val="32"/>
          <w:szCs w:val="32"/>
          <w:lang w:val="en-US" w:eastAsia="zh-CN"/>
        </w:rPr>
        <w:t>5</w:t>
      </w:r>
      <w:r>
        <w:rPr>
          <w:rFonts w:hint="default" w:ascii="Times New Roman" w:hAnsi="Times New Roman" w:eastAsia="方正仿宋简体" w:cs="方正仿宋简体"/>
          <w:b w:val="0"/>
          <w:bCs w:val="0"/>
          <w:color w:val="000000"/>
          <w:sz w:val="32"/>
          <w:szCs w:val="32"/>
          <w:lang w:val="en-US" w:eastAsia="zh-CN"/>
        </w:rPr>
        <w:t>强企业及上下游关键节点配套企业，鼓励境内外龙头企业在本区设立研发中心、科技成果转化中心、高端产业化基地，推动我区生物医药产业能级再上新台阶。（责任单位：区科创委、区科委、区经委、有关街镇（园区））</w:t>
      </w:r>
    </w:p>
    <w:p w14:paraId="2E49C12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11、持续做大做强龙头企业。</w:t>
      </w:r>
      <w:r>
        <w:rPr>
          <w:rFonts w:hint="default" w:ascii="Times New Roman" w:hAnsi="Times New Roman" w:eastAsia="方正仿宋简体" w:cs="方正仿宋简体"/>
          <w:b w:val="0"/>
          <w:bCs w:val="0"/>
          <w:color w:val="000000"/>
          <w:sz w:val="32"/>
          <w:szCs w:val="32"/>
          <w:lang w:val="en-US" w:eastAsia="zh-CN"/>
        </w:rPr>
        <w:t>解决龙头企业产值做大、科创做强进程中的难点、堵点问题。培育</w:t>
      </w:r>
      <w:r>
        <w:rPr>
          <w:rFonts w:hint="default" w:ascii="Times New Roman" w:hAnsi="Times New Roman" w:eastAsia="方正仿宋简体" w:cs="Times New Roman"/>
          <w:b w:val="0"/>
          <w:bCs w:val="0"/>
          <w:color w:val="000000"/>
          <w:sz w:val="32"/>
          <w:szCs w:val="32"/>
          <w:lang w:val="en-US" w:eastAsia="zh-CN"/>
        </w:rPr>
        <w:t>2</w:t>
      </w:r>
      <w:r>
        <w:rPr>
          <w:rFonts w:hint="default" w:ascii="Times New Roman" w:hAnsi="Times New Roman" w:eastAsia="方正仿宋简体" w:cs="方正仿宋简体"/>
          <w:b w:val="0"/>
          <w:bCs w:val="0"/>
          <w:color w:val="000000"/>
          <w:sz w:val="32"/>
          <w:szCs w:val="32"/>
          <w:lang w:val="en-US" w:eastAsia="zh-CN"/>
        </w:rPr>
        <w:t>家以上独角兽或准独角兽企业、</w:t>
      </w:r>
      <w:r>
        <w:rPr>
          <w:rFonts w:hint="default" w:ascii="Times New Roman" w:hAnsi="Times New Roman" w:eastAsia="方正仿宋简体" w:cs="Times New Roman"/>
          <w:b w:val="0"/>
          <w:bCs w:val="0"/>
          <w:color w:val="000000"/>
          <w:sz w:val="32"/>
          <w:szCs w:val="32"/>
          <w:lang w:val="en-US" w:eastAsia="zh-CN"/>
        </w:rPr>
        <w:t>6</w:t>
      </w:r>
      <w:r>
        <w:rPr>
          <w:rFonts w:hint="default" w:ascii="Times New Roman" w:hAnsi="Times New Roman" w:eastAsia="方正仿宋简体" w:cs="方正仿宋简体"/>
          <w:b w:val="0"/>
          <w:bCs w:val="0"/>
          <w:color w:val="000000"/>
          <w:sz w:val="32"/>
          <w:szCs w:val="32"/>
          <w:lang w:val="en-US" w:eastAsia="zh-CN"/>
        </w:rPr>
        <w:t>家以上瞪羚企业。鼓励龙头企业在细分领域内强强联合，带动产业链上下游企业形成具有比较优势的集群。到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年，逐步形成以龙头企业为带动、中小企业为后备、专业服务型企业为支撑的企业集群。（责任单位：区经委、区科委、有关街镇（园区））</w:t>
      </w:r>
    </w:p>
    <w:p w14:paraId="75984CE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p>
    <w:p w14:paraId="2C08445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12、</w:t>
      </w:r>
      <w:r>
        <w:rPr>
          <w:rFonts w:hint="eastAsia" w:ascii="Times New Roman" w:hAnsi="Times New Roman" w:eastAsia="方正仿宋简体" w:cs="方正仿宋简体"/>
          <w:b/>
          <w:bCs/>
          <w:color w:val="000000"/>
          <w:sz w:val="32"/>
          <w:szCs w:val="32"/>
          <w:lang w:val="en-US" w:eastAsia="zh-CN"/>
        </w:rPr>
        <w:t>培育多梯次科技企业集群。</w:t>
      </w:r>
      <w:r>
        <w:rPr>
          <w:rFonts w:hint="default" w:ascii="Times New Roman" w:hAnsi="Times New Roman" w:eastAsia="方正仿宋简体" w:cs="方正仿宋简体"/>
          <w:b w:val="0"/>
          <w:bCs w:val="0"/>
          <w:color w:val="000000"/>
          <w:sz w:val="32"/>
          <w:szCs w:val="32"/>
          <w:lang w:val="en-US" w:eastAsia="zh-CN"/>
        </w:rPr>
        <w:t>大力支持高新技术企业、科技小巨人企业等发展壮大，鼓励企业申报制造业创新中心、企业技术中心。扶持一批掌握核心技术、具有高成长性的“隐形冠军”和具有高潜力的研发团队。到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年，生物医药领域累计培育</w:t>
      </w:r>
      <w:r>
        <w:rPr>
          <w:rFonts w:hint="default" w:ascii="Times New Roman" w:hAnsi="Times New Roman" w:eastAsia="方正仿宋简体" w:cs="Times New Roman"/>
          <w:b w:val="0"/>
          <w:bCs w:val="0"/>
          <w:color w:val="000000"/>
          <w:sz w:val="32"/>
          <w:szCs w:val="32"/>
          <w:lang w:val="en-US" w:eastAsia="zh-CN"/>
        </w:rPr>
        <w:t>90</w:t>
      </w:r>
      <w:r>
        <w:rPr>
          <w:rFonts w:hint="default" w:ascii="Times New Roman" w:hAnsi="Times New Roman" w:eastAsia="方正仿宋简体" w:cs="方正仿宋简体"/>
          <w:b w:val="0"/>
          <w:bCs w:val="0"/>
          <w:color w:val="000000"/>
          <w:sz w:val="32"/>
          <w:szCs w:val="32"/>
          <w:lang w:val="en-US" w:eastAsia="zh-CN"/>
        </w:rPr>
        <w:t>家高新技术企业，</w:t>
      </w:r>
      <w:r>
        <w:rPr>
          <w:rFonts w:hint="default" w:ascii="Times New Roman" w:hAnsi="Times New Roman" w:eastAsia="方正仿宋简体" w:cs="Times New Roman"/>
          <w:b w:val="0"/>
          <w:bCs w:val="0"/>
          <w:color w:val="000000"/>
          <w:sz w:val="32"/>
          <w:szCs w:val="32"/>
          <w:lang w:val="en-US" w:eastAsia="zh-CN"/>
        </w:rPr>
        <w:t>50</w:t>
      </w:r>
      <w:r>
        <w:rPr>
          <w:rFonts w:hint="default" w:ascii="Times New Roman" w:hAnsi="Times New Roman" w:eastAsia="方正仿宋简体" w:cs="方正仿宋简体"/>
          <w:b w:val="0"/>
          <w:bCs w:val="0"/>
          <w:color w:val="000000"/>
          <w:sz w:val="32"/>
          <w:szCs w:val="32"/>
          <w:lang w:val="en-US" w:eastAsia="zh-CN"/>
        </w:rPr>
        <w:t>家“专精特新”企业，建成</w:t>
      </w:r>
      <w:r>
        <w:rPr>
          <w:rFonts w:hint="default" w:ascii="Times New Roman" w:hAnsi="Times New Roman" w:eastAsia="方正仿宋简体" w:cs="Times New Roman"/>
          <w:b w:val="0"/>
          <w:bCs w:val="0"/>
          <w:color w:val="000000"/>
          <w:sz w:val="32"/>
          <w:szCs w:val="32"/>
          <w:lang w:val="en-US" w:eastAsia="zh-CN"/>
        </w:rPr>
        <w:t>50</w:t>
      </w:r>
      <w:r>
        <w:rPr>
          <w:rFonts w:hint="default" w:ascii="Times New Roman" w:hAnsi="Times New Roman" w:eastAsia="方正仿宋简体" w:cs="方正仿宋简体"/>
          <w:b w:val="0"/>
          <w:bCs w:val="0"/>
          <w:color w:val="000000"/>
          <w:sz w:val="32"/>
          <w:szCs w:val="32"/>
          <w:lang w:val="en-US" w:eastAsia="zh-CN"/>
        </w:rPr>
        <w:t>个企业技术中心。（责任单位：区科委、区经委、有关街镇（园区））</w:t>
      </w:r>
    </w:p>
    <w:p w14:paraId="473A9DE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（四）产业空间营造</w:t>
      </w:r>
    </w:p>
    <w:p w14:paraId="65EB33E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13、建设生物医药智造空间。</w:t>
      </w:r>
      <w:r>
        <w:rPr>
          <w:rFonts w:hint="default" w:ascii="Times New Roman" w:hAnsi="Times New Roman" w:eastAsia="方正仿宋简体" w:cs="方正仿宋简体"/>
          <w:b w:val="0"/>
          <w:bCs w:val="0"/>
          <w:color w:val="000000"/>
          <w:sz w:val="32"/>
          <w:szCs w:val="32"/>
          <w:lang w:val="en-US" w:eastAsia="zh-CN"/>
        </w:rPr>
        <w:t>加快推动专业化生物医药智造空间建设，鼓励“工业上楼”模式在本区推广。加快推动国盛药谷二期、临港东方生命港、东久新宜生命科技智造基地一期等项目开工建设。加快供给海隆生命健康谷、峥宝合成生物创新园、国泰生物医药产业园等优质产业空间。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年，全区建成生物医药专业化载体不少于</w:t>
      </w:r>
      <w:r>
        <w:rPr>
          <w:rFonts w:hint="default" w:ascii="Times New Roman" w:hAnsi="Times New Roman" w:eastAsia="方正仿宋简体" w:cs="Times New Roman"/>
          <w:b w:val="0"/>
          <w:bCs w:val="0"/>
          <w:color w:val="000000"/>
          <w:sz w:val="32"/>
          <w:szCs w:val="32"/>
          <w:lang w:val="en-US" w:eastAsia="zh-CN"/>
        </w:rPr>
        <w:t>200</w:t>
      </w:r>
      <w:r>
        <w:rPr>
          <w:rFonts w:hint="default" w:ascii="Times New Roman" w:hAnsi="Times New Roman" w:eastAsia="方正仿宋简体" w:cs="方正仿宋简体"/>
          <w:b w:val="0"/>
          <w:bCs w:val="0"/>
          <w:color w:val="000000"/>
          <w:sz w:val="32"/>
          <w:szCs w:val="32"/>
          <w:lang w:val="en-US" w:eastAsia="zh-CN"/>
        </w:rPr>
        <w:t>万方。（责任单位：区经委、区发改委、区规资局、区建管委、有关街镇（园区））</w:t>
      </w:r>
    </w:p>
    <w:p w14:paraId="74A6F33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14、创新存量土地盘活模式。</w:t>
      </w:r>
      <w:r>
        <w:rPr>
          <w:rFonts w:hint="default" w:ascii="Times New Roman" w:hAnsi="Times New Roman" w:eastAsia="方正仿宋简体" w:cs="方正仿宋简体"/>
          <w:b w:val="0"/>
          <w:bCs w:val="0"/>
          <w:color w:val="000000"/>
          <w:sz w:val="32"/>
          <w:szCs w:val="32"/>
          <w:lang w:val="en-US" w:eastAsia="zh-CN"/>
        </w:rPr>
        <w:t>灵活运用和创新多种“腾笼换鸟”模式，以空间引导企业合理集聚。支持土地盘活“牵线搭桥”模式，鼓励土地所有方为优质项目方代建定制厂房载体。鼓励“代建代装”模式，支持土地所有方和优质项目方使用“长期租赁”、“先租后让”等多元化合作模式。（责任单位：区经委、区发改委、区规资局、区建管委、各街镇（园区））</w:t>
      </w:r>
    </w:p>
    <w:p w14:paraId="780A81B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15、布局园区公共基础设施。</w:t>
      </w:r>
      <w:r>
        <w:rPr>
          <w:rFonts w:hint="default" w:ascii="Times New Roman" w:hAnsi="Times New Roman" w:eastAsia="方正仿宋简体" w:cs="方正仿宋简体"/>
          <w:b w:val="0"/>
          <w:bCs w:val="0"/>
          <w:color w:val="000000"/>
          <w:sz w:val="32"/>
          <w:szCs w:val="32"/>
          <w:lang w:val="en-US" w:eastAsia="zh-CN"/>
        </w:rPr>
        <w:t>梳理园区企业对公共配套设施共性需求，鼓励现有设施平台向医药企业集中提供服务。创新公共配套设施的投入建设机制，布局高等级生物安全实验室、实验动物房、危化品仓库、环保排污设施等公共基础设施，降低企业研发生产成本。（责任单位：区发改委、区经委、区建管委、区卫生健康委、区规划资源局、区环保局、区应急局、有关街镇（园区））</w:t>
      </w:r>
    </w:p>
    <w:p w14:paraId="2B7542B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16、优化产业园区生态。</w:t>
      </w:r>
      <w:r>
        <w:rPr>
          <w:rFonts w:hint="default" w:ascii="Times New Roman" w:hAnsi="Times New Roman" w:eastAsia="方正仿宋简体" w:cs="方正仿宋简体"/>
          <w:b w:val="0"/>
          <w:bCs w:val="0"/>
          <w:color w:val="000000"/>
          <w:sz w:val="32"/>
          <w:szCs w:val="32"/>
          <w:lang w:val="en-US" w:eastAsia="zh-CN"/>
        </w:rPr>
        <w:t>大力引进生物医药相关高校、协会、科研院所等功能型机构。保障产业园区规划用地需求，支持重点项目在各产业园区落地。优化产业园区建设相关审批流程，提高在规划建设、国土环保、安全生产监督等环节的行政审批效率，持续加大审批事项取消、简化、合并力度。进一步完善北上海生物医药产业园配套建设，加快商业设施、公共交通、人才公寓等资源向园区倾斜。（责任单位：区发改委、区经委、区商务委、区交通委、区房管局、区规划资源局、区环保局、区应急局、有关街镇（园区））</w:t>
      </w:r>
    </w:p>
    <w:p w14:paraId="7F7236D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四、保障措施</w:t>
      </w:r>
    </w:p>
    <w:p w14:paraId="658DEBB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（一）</w:t>
      </w:r>
      <w:r>
        <w:rPr>
          <w:rFonts w:ascii="Times New Roman" w:hAnsi="Times New Roman" w:eastAsia="楷体_GB2312" w:cs="楷体_GB2312"/>
          <w:b/>
          <w:bCs/>
          <w:i w:val="0"/>
          <w:iCs w:val="0"/>
          <w:caps w:val="0"/>
          <w:color w:val="333333"/>
          <w:spacing w:val="0"/>
          <w:sz w:val="32"/>
          <w:szCs w:val="32"/>
          <w:shd w:val="clear" w:color="auto" w:fill="FFFFFF"/>
        </w:rPr>
        <w:t>体制机制保障</w:t>
      </w:r>
    </w:p>
    <w:p w14:paraId="742980D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i w:val="0"/>
          <w:iCs w:val="0"/>
          <w:caps w:val="0"/>
          <w:color w:val="333333"/>
          <w:spacing w:val="0"/>
          <w:sz w:val="32"/>
          <w:szCs w:val="32"/>
          <w:shd w:val="clear" w:color="auto" w:fill="FFFFFF"/>
        </w:rPr>
      </w:pPr>
      <w:r>
        <w:rPr>
          <w:rFonts w:hint="eastAsia" w:ascii="Times New Roman" w:hAnsi="Times New Roman" w:eastAsia="方正仿宋简体" w:cs="方正仿宋简体"/>
          <w:b/>
          <w:bCs/>
          <w:i w:val="0"/>
          <w:iCs w:val="0"/>
          <w:caps w:val="0"/>
          <w:color w:val="333333"/>
          <w:spacing w:val="0"/>
          <w:sz w:val="32"/>
          <w:szCs w:val="32"/>
          <w:shd w:val="clear" w:color="auto" w:fill="FFFFFF"/>
        </w:rPr>
        <w:t>17、夯实协调推进机制。</w:t>
      </w:r>
      <w:r>
        <w:rPr>
          <w:rFonts w:hint="eastAsia" w:ascii="Times New Roman" w:hAnsi="Times New Roman" w:eastAsia="方正仿宋简体" w:cs="方正仿宋简体"/>
          <w:i w:val="0"/>
          <w:iCs w:val="0"/>
          <w:caps w:val="0"/>
          <w:color w:val="333333"/>
          <w:spacing w:val="0"/>
          <w:sz w:val="32"/>
          <w:szCs w:val="32"/>
          <w:shd w:val="clear" w:color="auto" w:fill="FFFFFF"/>
        </w:rPr>
        <w:t>组建推动生物医药及合成生物产业高质量发展工作专班，定期召开会议，提升产业发展过程中重大问题解决、重大项目引进、重要政策制定等能力。强化部门横向联动、区镇上下协同，进一步完善生物医药产业发展“施工图”，建立闭环抓落实的工作机制。推动北上海生物医药产业联合会实体性运作。</w:t>
      </w:r>
    </w:p>
    <w:p w14:paraId="034B023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i w:val="0"/>
          <w:iCs w:val="0"/>
          <w:caps w:val="0"/>
          <w:color w:val="333333"/>
          <w:spacing w:val="0"/>
          <w:sz w:val="32"/>
          <w:szCs w:val="32"/>
          <w:shd w:val="clear" w:color="auto" w:fill="FFFFFF"/>
          <w:lang w:val="en-US" w:eastAsia="zh-CN"/>
        </w:rPr>
      </w:pPr>
      <w:r>
        <w:rPr>
          <w:rFonts w:hint="eastAsia" w:ascii="Times New Roman" w:hAnsi="Times New Roman" w:eastAsia="方正仿宋简体" w:cs="方正仿宋简体"/>
          <w:b/>
          <w:bCs/>
          <w:i w:val="0"/>
          <w:iCs w:val="0"/>
          <w:caps w:val="0"/>
          <w:color w:val="333333"/>
          <w:spacing w:val="0"/>
          <w:sz w:val="32"/>
          <w:szCs w:val="32"/>
          <w:shd w:val="clear" w:color="auto" w:fill="FFFFFF"/>
          <w:lang w:val="en-US" w:eastAsia="zh-CN"/>
        </w:rPr>
        <w:t>18、加快审评审批速度。</w:t>
      </w:r>
      <w:r>
        <w:rPr>
          <w:rFonts w:hint="eastAsia" w:ascii="Times New Roman" w:hAnsi="Times New Roman" w:eastAsia="方正仿宋简体" w:cs="方正仿宋简体"/>
          <w:i w:val="0"/>
          <w:iCs w:val="0"/>
          <w:caps w:val="0"/>
          <w:color w:val="333333"/>
          <w:spacing w:val="0"/>
          <w:sz w:val="32"/>
          <w:szCs w:val="32"/>
          <w:shd w:val="clear" w:color="auto" w:fill="FFFFFF"/>
          <w:lang w:val="en-US" w:eastAsia="zh-CN"/>
        </w:rPr>
        <w:t>加强与上级有关部门对接，进一步发挥市生物医药产品注册指导服务工作站和市医疗保障局宝山生物医药产业服务工作站作用，助推审评提速。支持生物医药企业申报上海市进口研发用物品“白名单”，提升进口便利化程度，大力支持新优药械出海开拓市场。</w:t>
      </w:r>
    </w:p>
    <w:p w14:paraId="30DB6DD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（二）优化政策场景支撑</w:t>
      </w:r>
    </w:p>
    <w:p w14:paraId="0FF1CA8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i w:val="0"/>
          <w:iCs w:val="0"/>
          <w:caps w:val="0"/>
          <w:color w:val="333333"/>
          <w:spacing w:val="0"/>
          <w:sz w:val="32"/>
          <w:szCs w:val="32"/>
          <w:shd w:val="clear" w:color="auto" w:fill="FFFFFF"/>
          <w:lang w:val="en-US" w:eastAsia="zh-CN"/>
        </w:rPr>
        <w:t>19、强化专项政策适配性。</w:t>
      </w:r>
      <w:r>
        <w:rPr>
          <w:rFonts w:hint="eastAsia" w:ascii="Times New Roman" w:hAnsi="Times New Roman" w:eastAsia="方正仿宋简体" w:cs="方正仿宋简体"/>
          <w:b w:val="0"/>
          <w:bCs w:val="0"/>
          <w:color w:val="000000"/>
          <w:kern w:val="2"/>
          <w:sz w:val="32"/>
          <w:szCs w:val="32"/>
          <w:lang w:val="en-US" w:eastAsia="zh-CN" w:bidi="ar-SA"/>
        </w:rPr>
        <w:t>提早启动谋划生物医药政策的修订，做好与专业部门纵向对表，与优势区域横向对标，以及与新一轮“科创</w:t>
      </w:r>
      <w:r>
        <w:rPr>
          <w:rFonts w:hint="default" w:ascii="Times New Roman" w:hAnsi="Times New Roman" w:eastAsia="方正仿宋简体" w:cs="Times New Roman"/>
          <w:b w:val="0"/>
          <w:bCs w:val="0"/>
          <w:color w:val="000000"/>
          <w:kern w:val="2"/>
          <w:sz w:val="32"/>
          <w:szCs w:val="32"/>
          <w:lang w:val="en-US" w:eastAsia="zh-CN" w:bidi="ar-SA"/>
        </w:rPr>
        <w:t>30</w:t>
      </w:r>
      <w:r>
        <w:rPr>
          <w:rFonts w:hint="eastAsia" w:ascii="Times New Roman" w:hAnsi="Times New Roman" w:eastAsia="方正仿宋简体" w:cs="方正仿宋简体"/>
          <w:b w:val="0"/>
          <w:bCs w:val="0"/>
          <w:color w:val="000000"/>
          <w:kern w:val="2"/>
          <w:sz w:val="32"/>
          <w:szCs w:val="32"/>
          <w:lang w:val="en-US" w:eastAsia="zh-CN" w:bidi="ar-SA"/>
        </w:rPr>
        <w:t>条”政策的合理衔接，增强专项政策与生物医药产业当前发展阶段的适配性。</w:t>
      </w:r>
    </w:p>
    <w:p w14:paraId="5BC2D2E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color w:val="000000"/>
          <w:kern w:val="2"/>
          <w:sz w:val="32"/>
          <w:szCs w:val="32"/>
          <w:lang w:val="en-US" w:eastAsia="zh-CN" w:bidi="ar-SA"/>
        </w:rPr>
        <w:t>20、加强医疗应用场景开放。</w:t>
      </w:r>
      <w:r>
        <w:rPr>
          <w:rFonts w:hint="eastAsia" w:ascii="Times New Roman" w:hAnsi="Times New Roman" w:eastAsia="方正仿宋简体" w:cs="方正仿宋简体"/>
          <w:b w:val="0"/>
          <w:bCs w:val="0"/>
          <w:color w:val="000000"/>
          <w:kern w:val="2"/>
          <w:sz w:val="32"/>
          <w:szCs w:val="32"/>
          <w:lang w:val="en-US" w:eastAsia="zh-CN" w:bidi="ar-SA"/>
        </w:rPr>
        <w:t>加快医疗领域高端科研机构、研究型医院布局建设。加强医疗卫生机构与企业互动对接，向企业持续扩大开放医疗应用场景资源。提升医疗卫生机构临床试验承接能力，鼓励医疗机构增设临床研究床位，推动临床研究能力建设同产业发展协同共进。</w:t>
      </w:r>
    </w:p>
    <w:p w14:paraId="48BCC52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（三）加大人才引育</w:t>
      </w:r>
    </w:p>
    <w:p w14:paraId="3B09AAB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color w:val="000000"/>
          <w:kern w:val="2"/>
          <w:sz w:val="32"/>
          <w:szCs w:val="32"/>
          <w:lang w:val="en-US" w:eastAsia="zh-CN" w:bidi="ar-SA"/>
        </w:rPr>
        <w:t>21、大力引进产业高端人才。</w:t>
      </w:r>
      <w:r>
        <w:rPr>
          <w:rFonts w:hint="eastAsia" w:ascii="Times New Roman" w:hAnsi="Times New Roman" w:eastAsia="方正仿宋简体" w:cs="方正仿宋简体"/>
          <w:b w:val="0"/>
          <w:bCs w:val="0"/>
          <w:color w:val="000000"/>
          <w:kern w:val="2"/>
          <w:sz w:val="32"/>
          <w:szCs w:val="32"/>
          <w:lang w:val="en-US" w:eastAsia="zh-CN" w:bidi="ar-SA"/>
        </w:rPr>
        <w:t>做实北上海生物医药产业园专家委员会，争取靶向引进更多顶尖科学家、优秀青年科学家。积极推动一批生物医药产业企业家获选上海市领军人才、青年人才、“三江英才”等高层次人才名单。</w:t>
      </w:r>
    </w:p>
    <w:p w14:paraId="1901AF5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color w:val="000000"/>
          <w:kern w:val="2"/>
          <w:sz w:val="32"/>
          <w:szCs w:val="32"/>
          <w:lang w:val="en-US" w:eastAsia="zh-CN" w:bidi="ar-SA"/>
        </w:rPr>
        <w:t>22、加快集聚产业支撑人才。</w:t>
      </w:r>
      <w:r>
        <w:rPr>
          <w:rFonts w:hint="eastAsia" w:ascii="Times New Roman" w:hAnsi="Times New Roman" w:eastAsia="方正仿宋简体" w:cs="方正仿宋简体"/>
          <w:b w:val="0"/>
          <w:bCs w:val="0"/>
          <w:color w:val="000000"/>
          <w:kern w:val="2"/>
          <w:sz w:val="32"/>
          <w:szCs w:val="32"/>
          <w:lang w:val="en-US" w:eastAsia="zh-CN" w:bidi="ar-SA"/>
        </w:rPr>
        <w:t>研究突破“共享用工”、“定向委培”等创新用工模式，鼓励各类院校、科研机构与企业开展联合培训为产业发展培育更多应用类人才，鼓励医务人员参与科研创新活动。</w:t>
      </w:r>
    </w:p>
    <w:p w14:paraId="3424769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（四）强化金融赋能</w:t>
      </w:r>
    </w:p>
    <w:p w14:paraId="2D59888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bCs/>
          <w:color w:val="000000"/>
          <w:kern w:val="2"/>
          <w:sz w:val="32"/>
          <w:szCs w:val="32"/>
          <w:lang w:val="en-US" w:eastAsia="zh-CN" w:bidi="ar-SA"/>
        </w:rPr>
        <w:t>23、创新资金支持模式。</w:t>
      </w:r>
      <w:r>
        <w:rPr>
          <w:rFonts w:hint="eastAsia" w:ascii="Times New Roman" w:hAnsi="Times New Roman" w:eastAsia="方正仿宋简体" w:cs="方正仿宋简体"/>
          <w:b w:val="0"/>
          <w:bCs w:val="0"/>
          <w:color w:val="000000"/>
          <w:kern w:val="2"/>
          <w:sz w:val="32"/>
          <w:szCs w:val="32"/>
          <w:lang w:val="en-US" w:eastAsia="zh-CN" w:bidi="ar-SA"/>
        </w:rPr>
        <w:t>建立多元化资金扶持体系，探索组建宝山区生物医药产业基金联盟，打造专业投融资朋友圈，牵引产业项目资源集聚。鼓励设立专项产业基金，用好先投后股、先租后股、先服务后股等创新型政策服务。鼓励金融机构加大对本区生物医药企业支持力度，推动开展投贷联动、知识产权质押等创新型金融支持方式。</w:t>
      </w:r>
    </w:p>
    <w:p w14:paraId="541C5E5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kern w:val="2"/>
          <w:sz w:val="32"/>
          <w:szCs w:val="32"/>
          <w:lang w:val="en-US" w:eastAsia="zh-CN" w:bidi="ar-SA"/>
        </w:rPr>
      </w:pPr>
    </w:p>
    <w:p w14:paraId="03C5F71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r>
        <w:rPr>
          <w:rFonts w:hint="eastAsia" w:ascii="Times New Roman" w:hAnsi="Times New Roman" w:eastAsia="方正小标宋简体" w:cs="方正小标宋简体"/>
          <w:sz w:val="44"/>
          <w:szCs w:val="44"/>
        </w:rPr>
        <w:t>关于印发《普陀区加快发展智能软件产业实施意见》的通知</w:t>
      </w:r>
    </w:p>
    <w:p w14:paraId="692BD072">
      <w:pPr>
        <w:tabs>
          <w:tab w:val="left" w:pos="2348"/>
        </w:tabs>
        <w:bidi w:val="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区政府各委、办、局，各街道办事处、镇政府：</w:t>
      </w:r>
    </w:p>
    <w:p w14:paraId="5801BE15">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《普陀区加快发展智能软件产业实施意见》已经</w:t>
      </w:r>
      <w:r>
        <w:rPr>
          <w:rFonts w:hint="default" w:ascii="Times New Roman" w:hAnsi="Times New Roman" w:eastAsia="方正仿宋简体" w:cs="Times New Roman"/>
          <w:b w:val="0"/>
          <w:bCs w:val="0"/>
          <w:color w:val="000000"/>
          <w:sz w:val="32"/>
          <w:szCs w:val="32"/>
        </w:rPr>
        <w:t>2024</w:t>
      </w:r>
      <w:r>
        <w:rPr>
          <w:rFonts w:hint="default"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11</w:t>
      </w:r>
      <w:r>
        <w:rPr>
          <w:rFonts w:hint="default" w:ascii="Times New Roman" w:hAnsi="Times New Roman" w:eastAsia="方正仿宋简体" w:cs="方正仿宋简体"/>
          <w:b w:val="0"/>
          <w:bCs w:val="0"/>
          <w:color w:val="000000"/>
          <w:sz w:val="32"/>
          <w:szCs w:val="32"/>
        </w:rPr>
        <w:t>月</w:t>
      </w:r>
      <w:r>
        <w:rPr>
          <w:rFonts w:hint="default" w:ascii="Times New Roman" w:hAnsi="Times New Roman" w:eastAsia="方正仿宋简体" w:cs="Times New Roman"/>
          <w:b w:val="0"/>
          <w:bCs w:val="0"/>
          <w:color w:val="000000"/>
          <w:sz w:val="32"/>
          <w:szCs w:val="32"/>
        </w:rPr>
        <w:t>20</w:t>
      </w:r>
      <w:r>
        <w:rPr>
          <w:rFonts w:hint="default" w:ascii="Times New Roman" w:hAnsi="Times New Roman" w:eastAsia="方正仿宋简体" w:cs="方正仿宋简体"/>
          <w:b w:val="0"/>
          <w:bCs w:val="0"/>
          <w:color w:val="000000"/>
          <w:sz w:val="32"/>
          <w:szCs w:val="32"/>
        </w:rPr>
        <w:t>日第</w:t>
      </w:r>
      <w:r>
        <w:rPr>
          <w:rFonts w:hint="default" w:ascii="Times New Roman" w:hAnsi="Times New Roman" w:eastAsia="方正仿宋简体" w:cs="Times New Roman"/>
          <w:b w:val="0"/>
          <w:bCs w:val="0"/>
          <w:color w:val="000000"/>
          <w:sz w:val="32"/>
          <w:szCs w:val="32"/>
          <w:lang w:val="en-US" w:eastAsia="zh-CN"/>
        </w:rPr>
        <w:t>7</w:t>
      </w:r>
      <w:r>
        <w:rPr>
          <w:rFonts w:hint="default" w:ascii="Times New Roman" w:hAnsi="Times New Roman" w:eastAsia="方正仿宋简体" w:cs="Times New Roman"/>
          <w:b w:val="0"/>
          <w:bCs w:val="0"/>
          <w:color w:val="000000"/>
          <w:sz w:val="32"/>
          <w:szCs w:val="32"/>
        </w:rPr>
        <w:t>3</w:t>
      </w:r>
      <w:r>
        <w:rPr>
          <w:rFonts w:hint="default" w:ascii="Times New Roman" w:hAnsi="Times New Roman" w:eastAsia="方正仿宋简体" w:cs="方正仿宋简体"/>
          <w:b w:val="0"/>
          <w:bCs w:val="0"/>
          <w:color w:val="000000"/>
          <w:sz w:val="32"/>
          <w:szCs w:val="32"/>
        </w:rPr>
        <w:t>次区政府常务会议审议通过，现予印发。</w:t>
      </w:r>
    </w:p>
    <w:p w14:paraId="072CB3E0">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特此通知。</w:t>
      </w:r>
    </w:p>
    <w:p w14:paraId="0E478562">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02C9AC85">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上海市普陀区科学技术委员会</w:t>
      </w:r>
    </w:p>
    <w:p w14:paraId="7AE54817">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上海市普陀区财政局</w:t>
      </w:r>
    </w:p>
    <w:p w14:paraId="6844EFE5">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上海市普陀区发展和改革委员会</w:t>
      </w:r>
    </w:p>
    <w:p w14:paraId="426EF14B">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上海市普陀区投资促进办公室</w:t>
      </w:r>
    </w:p>
    <w:p w14:paraId="5A120798">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2024</w:t>
      </w:r>
      <w:r>
        <w:rPr>
          <w:rFonts w:hint="default"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12</w:t>
      </w:r>
      <w:r>
        <w:rPr>
          <w:rFonts w:hint="default" w:ascii="Times New Roman" w:hAnsi="Times New Roman" w:eastAsia="方正仿宋简体" w:cs="方正仿宋简体"/>
          <w:b w:val="0"/>
          <w:bCs w:val="0"/>
          <w:color w:val="000000"/>
          <w:sz w:val="32"/>
          <w:szCs w:val="32"/>
        </w:rPr>
        <w:t>月</w:t>
      </w:r>
      <w:r>
        <w:rPr>
          <w:rFonts w:hint="default" w:ascii="Times New Roman" w:hAnsi="Times New Roman" w:eastAsia="方正仿宋简体" w:cs="Times New Roman"/>
          <w:b w:val="0"/>
          <w:bCs w:val="0"/>
          <w:color w:val="000000"/>
          <w:sz w:val="32"/>
          <w:szCs w:val="32"/>
        </w:rPr>
        <w:t>3</w:t>
      </w:r>
      <w:r>
        <w:rPr>
          <w:rFonts w:hint="default" w:ascii="Times New Roman" w:hAnsi="Times New Roman" w:eastAsia="方正仿宋简体" w:cs="方正仿宋简体"/>
          <w:b w:val="0"/>
          <w:bCs w:val="0"/>
          <w:color w:val="000000"/>
          <w:sz w:val="32"/>
          <w:szCs w:val="32"/>
        </w:rPr>
        <w:t>日</w:t>
      </w:r>
    </w:p>
    <w:p w14:paraId="2800EDCB">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4E4DD599">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4C575204">
      <w:pPr>
        <w:tabs>
          <w:tab w:val="left" w:pos="2348"/>
        </w:tabs>
        <w:bidi w:val="0"/>
        <w:jc w:val="left"/>
        <w:rPr>
          <w:rFonts w:hint="default" w:ascii="Times New Roman" w:hAnsi="Times New Roman" w:eastAsia="方正仿宋简体" w:cs="方正仿宋简体"/>
          <w:b w:val="0"/>
          <w:bCs w:val="0"/>
          <w:color w:val="000000"/>
          <w:sz w:val="32"/>
          <w:szCs w:val="32"/>
        </w:rPr>
      </w:pPr>
    </w:p>
    <w:p w14:paraId="0B2E2AC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r>
        <w:rPr>
          <w:rFonts w:hint="eastAsia" w:ascii="Times New Roman" w:hAnsi="Times New Roman" w:eastAsia="方正小标宋简体" w:cs="方正小标宋简体"/>
          <w:sz w:val="44"/>
          <w:szCs w:val="44"/>
          <w:lang w:val="en-US" w:eastAsia="zh-CN"/>
        </w:rPr>
        <w:t>普陀区加快发展智能软件产业实施意见</w:t>
      </w:r>
    </w:p>
    <w:p w14:paraId="5320567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09E12A22">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为贯彻落实《国务院关于印发新时期促进集成电路产业和软件产业高质量发展若干政策的通知》(国发</w:t>
      </w:r>
      <w:r>
        <w:rPr>
          <w:rFonts w:hint="default" w:ascii="Times New Roman" w:hAnsi="Times New Roman" w:eastAsia="方正仿宋简体" w:cs="Times New Roman"/>
          <w:b w:val="0"/>
          <w:bCs w:val="0"/>
          <w:color w:val="000000"/>
          <w:sz w:val="32"/>
          <w:szCs w:val="32"/>
          <w:lang w:val="en-US" w:eastAsia="zh-CN"/>
        </w:rPr>
        <w:t>〔2020〕8</w:t>
      </w:r>
      <w:r>
        <w:rPr>
          <w:rFonts w:hint="eastAsia" w:ascii="Times New Roman" w:hAnsi="Times New Roman" w:eastAsia="方正仿宋简体" w:cs="方正仿宋简体"/>
          <w:b w:val="0"/>
          <w:bCs w:val="0"/>
          <w:color w:val="000000"/>
          <w:sz w:val="32"/>
          <w:szCs w:val="32"/>
          <w:lang w:val="en-US" w:eastAsia="zh-CN"/>
        </w:rPr>
        <w:t>号)和《上海市人民政府关于印发新时期促进上海市集成电路产业和软件产业高质量发展若干政策的通知》(沪府规</w:t>
      </w:r>
      <w:r>
        <w:rPr>
          <w:rFonts w:hint="default" w:ascii="Times New Roman" w:hAnsi="Times New Roman" w:eastAsia="方正仿宋简体" w:cs="Times New Roman"/>
          <w:b w:val="0"/>
          <w:bCs w:val="0"/>
          <w:color w:val="000000"/>
          <w:sz w:val="32"/>
          <w:szCs w:val="32"/>
          <w:lang w:val="en-US" w:eastAsia="zh-CN"/>
        </w:rPr>
        <w:t>〔2021〕18</w:t>
      </w:r>
      <w:r>
        <w:rPr>
          <w:rFonts w:hint="eastAsia" w:ascii="Times New Roman" w:hAnsi="Times New Roman" w:eastAsia="方正仿宋简体" w:cs="方正仿宋简体"/>
          <w:b w:val="0"/>
          <w:bCs w:val="0"/>
          <w:color w:val="000000"/>
          <w:sz w:val="32"/>
          <w:szCs w:val="32"/>
          <w:lang w:val="en-US" w:eastAsia="zh-CN"/>
        </w:rPr>
        <w:t>号)等文件精神，进一步推动普陀区集成电路产业发展，着力打造“苏河芯湾”，制定本实施意见(试行)。</w:t>
      </w:r>
    </w:p>
    <w:p w14:paraId="211AC3D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一、扶持对象</w:t>
      </w:r>
    </w:p>
    <w:p w14:paraId="756D9D26">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本意见适用于依法设立、信用记录良好、符合区域智能软件产业导向、创新水平高、发展前景好的企业和机构。</w:t>
      </w:r>
    </w:p>
    <w:p w14:paraId="052313C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二、扶持范围</w:t>
      </w:r>
    </w:p>
    <w:p w14:paraId="1AA06744">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聚焦自动化、数字化、网络化、智能化发展，围绕人工智能、大数据、云计算、网络游戏、工业互联网及信息安全、智能制造及机器人等方向，在元宇宙、人工智能大模型、算法算力等新型基础设施建设方面，以及未来智能产业、未来空间产业等未来产业领域，鼓励市场主体开展软硬件研发设计、系统集成与场景应用，促进相关领域企业技术创新、产业集群发展、园区能级提升、生态环境建设以及加速推进科技创新成果的产业化进程。</w:t>
      </w:r>
    </w:p>
    <w:p w14:paraId="1AB162C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三、扶持方式</w:t>
      </w:r>
    </w:p>
    <w:p w14:paraId="11CC28AC">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(一)支持产业集聚发展。</w:t>
      </w:r>
      <w:r>
        <w:rPr>
          <w:rFonts w:hint="eastAsia" w:ascii="Times New Roman" w:hAnsi="Times New Roman" w:eastAsia="方正仿宋简体" w:cs="方正仿宋简体"/>
          <w:b w:val="0"/>
          <w:bCs w:val="0"/>
          <w:color w:val="000000"/>
          <w:sz w:val="32"/>
          <w:szCs w:val="32"/>
          <w:lang w:val="en-US" w:eastAsia="zh-CN"/>
        </w:rPr>
        <w:t>对新引进或新设立的，有较强的创新能力的企业，经认定，可给予最高不超过</w:t>
      </w:r>
      <w:r>
        <w:rPr>
          <w:rFonts w:hint="default"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万元的一次性资助，分三年拨付。</w:t>
      </w:r>
    </w:p>
    <w:p w14:paraId="2C5FBC1A">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(二)支持创新企业培育。</w:t>
      </w:r>
      <w:r>
        <w:rPr>
          <w:rFonts w:hint="eastAsia" w:ascii="Times New Roman" w:hAnsi="Times New Roman" w:eastAsia="方正仿宋简体" w:cs="方正仿宋简体"/>
          <w:b w:val="0"/>
          <w:bCs w:val="0"/>
          <w:color w:val="000000"/>
          <w:sz w:val="32"/>
          <w:szCs w:val="32"/>
          <w:lang w:val="en-US" w:eastAsia="zh-CN"/>
        </w:rPr>
        <w:t>对新引进或新设立的相关领域企业，租赁办公场地自用的，经认定，可给予每年最高不超过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万元的资助，年限不超过三年;新购置自用办公用房的，可按实际发生购房款的</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default"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万元的一次性资助，分三年拨付。</w:t>
      </w:r>
    </w:p>
    <w:p w14:paraId="7993655B">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(三)支持成果研发转化。</w:t>
      </w:r>
      <w:r>
        <w:rPr>
          <w:rFonts w:hint="eastAsia" w:ascii="Times New Roman" w:hAnsi="Times New Roman" w:eastAsia="方正仿宋简体" w:cs="方正仿宋简体"/>
          <w:b w:val="0"/>
          <w:bCs w:val="0"/>
          <w:color w:val="000000"/>
          <w:sz w:val="32"/>
          <w:szCs w:val="32"/>
          <w:lang w:val="en-US" w:eastAsia="zh-CN"/>
        </w:rPr>
        <w:t>鼓励企业或机构自主开展或联合上下游产业链企业、科研平台、院所高校等开展产学研合作。对符合产业导向的技术研发项目，取得一定成果的，经认定，可按项目实际投入资金总额的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eastAsia"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万元的资助。</w:t>
      </w:r>
    </w:p>
    <w:p w14:paraId="55719EF2">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(四)支持企业能力提升。</w:t>
      </w:r>
      <w:r>
        <w:rPr>
          <w:rFonts w:hint="eastAsia" w:ascii="Times New Roman" w:hAnsi="Times New Roman" w:eastAsia="方正仿宋简体" w:cs="方正仿宋简体"/>
          <w:b w:val="0"/>
          <w:bCs w:val="0"/>
          <w:color w:val="000000"/>
          <w:sz w:val="32"/>
          <w:szCs w:val="32"/>
          <w:lang w:val="en-US" w:eastAsia="zh-CN"/>
        </w:rPr>
        <w:t>获得对企业能力提升有促进作用的涉密信息系统集成甲级资质、信息系统建设和服务能力评估</w:t>
      </w:r>
      <w:r>
        <w:rPr>
          <w:rFonts w:hint="eastAsia" w:ascii="Times New Roman" w:hAnsi="Times New Roman" w:eastAsia="方正仿宋简体" w:cs="Times New Roman"/>
          <w:b w:val="0"/>
          <w:bCs w:val="0"/>
          <w:color w:val="000000"/>
          <w:sz w:val="32"/>
          <w:szCs w:val="32"/>
          <w:lang w:val="en-US" w:eastAsia="zh-CN"/>
        </w:rPr>
        <w:t>CS4</w:t>
      </w:r>
      <w:r>
        <w:rPr>
          <w:rFonts w:hint="eastAsia" w:ascii="Times New Roman" w:hAnsi="Times New Roman" w:eastAsia="方正仿宋简体" w:cs="方正仿宋简体"/>
          <w:b w:val="0"/>
          <w:bCs w:val="0"/>
          <w:color w:val="000000"/>
          <w:sz w:val="32"/>
          <w:szCs w:val="32"/>
          <w:lang w:val="en-US" w:eastAsia="zh-CN"/>
        </w:rPr>
        <w:t>级及以上、信息技术服务运行维护服务能力成熟度二级及以上、</w:t>
      </w:r>
      <w:r>
        <w:rPr>
          <w:rFonts w:hint="eastAsia" w:ascii="Times New Roman" w:hAnsi="Times New Roman" w:eastAsia="方正仿宋简体" w:cs="Times New Roman"/>
          <w:b w:val="0"/>
          <w:bCs w:val="0"/>
          <w:color w:val="000000"/>
          <w:sz w:val="32"/>
          <w:szCs w:val="32"/>
          <w:lang w:val="en-US" w:eastAsia="zh-CN"/>
        </w:rPr>
        <w:t>CMMI 3</w:t>
      </w:r>
      <w:r>
        <w:rPr>
          <w:rFonts w:hint="eastAsia" w:ascii="Times New Roman" w:hAnsi="Times New Roman" w:eastAsia="方正仿宋简体" w:cs="方正仿宋简体"/>
          <w:b w:val="0"/>
          <w:bCs w:val="0"/>
          <w:color w:val="000000"/>
          <w:sz w:val="32"/>
          <w:szCs w:val="32"/>
          <w:lang w:val="en-US" w:eastAsia="zh-CN"/>
        </w:rPr>
        <w:t>级及以上</w:t>
      </w:r>
      <w:r>
        <w:rPr>
          <w:rFonts w:hint="eastAsia" w:ascii="Times New Roman" w:hAnsi="Times New Roman" w:eastAsia="方正仿宋简体" w:cs="Times New Roman"/>
          <w:b w:val="0"/>
          <w:bCs w:val="0"/>
          <w:color w:val="000000"/>
          <w:sz w:val="32"/>
          <w:szCs w:val="32"/>
          <w:lang w:val="en-US" w:eastAsia="zh-CN"/>
        </w:rPr>
        <w:t>、ICP</w:t>
      </w:r>
      <w:r>
        <w:rPr>
          <w:rFonts w:hint="eastAsia" w:ascii="Times New Roman" w:hAnsi="Times New Roman" w:eastAsia="方正仿宋简体" w:cs="方正仿宋简体"/>
          <w:b w:val="0"/>
          <w:bCs w:val="0"/>
          <w:color w:val="000000"/>
          <w:sz w:val="32"/>
          <w:szCs w:val="32"/>
          <w:lang w:val="en-US" w:eastAsia="zh-CN"/>
        </w:rPr>
        <w:t>许可证、</w:t>
      </w:r>
      <w:r>
        <w:rPr>
          <w:rFonts w:hint="eastAsia" w:ascii="Times New Roman" w:hAnsi="Times New Roman" w:eastAsia="方正仿宋简体" w:cs="Times New Roman"/>
          <w:b w:val="0"/>
          <w:bCs w:val="0"/>
          <w:color w:val="000000"/>
          <w:sz w:val="32"/>
          <w:szCs w:val="32"/>
          <w:lang w:val="en-US" w:eastAsia="zh-CN"/>
        </w:rPr>
        <w:t>CISP</w:t>
      </w:r>
      <w:r>
        <w:rPr>
          <w:rFonts w:hint="eastAsia" w:ascii="Times New Roman" w:hAnsi="Times New Roman" w:eastAsia="方正仿宋简体" w:cs="方正仿宋简体"/>
          <w:b w:val="0"/>
          <w:bCs w:val="0"/>
          <w:color w:val="000000"/>
          <w:sz w:val="32"/>
          <w:szCs w:val="32"/>
          <w:lang w:val="en-US" w:eastAsia="zh-CN"/>
        </w:rPr>
        <w:t>资质、</w:t>
      </w:r>
      <w:r>
        <w:rPr>
          <w:rFonts w:hint="eastAsia" w:ascii="Times New Roman" w:hAnsi="Times New Roman" w:eastAsia="方正仿宋简体" w:cs="Times New Roman"/>
          <w:b w:val="0"/>
          <w:bCs w:val="0"/>
          <w:color w:val="000000"/>
          <w:sz w:val="32"/>
          <w:szCs w:val="32"/>
          <w:lang w:val="en-US" w:eastAsia="zh-CN"/>
        </w:rPr>
        <w:t>CCRC</w:t>
      </w:r>
      <w:r>
        <w:rPr>
          <w:rFonts w:hint="eastAsia" w:ascii="Times New Roman" w:hAnsi="Times New Roman" w:eastAsia="方正仿宋简体" w:cs="方正仿宋简体"/>
          <w:b w:val="0"/>
          <w:bCs w:val="0"/>
          <w:color w:val="000000"/>
          <w:sz w:val="32"/>
          <w:szCs w:val="32"/>
          <w:lang w:val="en-US" w:eastAsia="zh-CN"/>
        </w:rPr>
        <w:t>资质、</w:t>
      </w:r>
      <w:r>
        <w:rPr>
          <w:rFonts w:hint="eastAsia" w:ascii="Times New Roman" w:hAnsi="Times New Roman" w:eastAsia="方正仿宋简体" w:cs="Times New Roman"/>
          <w:b w:val="0"/>
          <w:bCs w:val="0"/>
          <w:color w:val="000000"/>
          <w:sz w:val="32"/>
          <w:szCs w:val="32"/>
          <w:lang w:val="en-US" w:eastAsia="zh-CN"/>
        </w:rPr>
        <w:t>CESSCN</w:t>
      </w:r>
      <w:r>
        <w:rPr>
          <w:rFonts w:hint="eastAsia" w:ascii="Times New Roman" w:hAnsi="Times New Roman" w:eastAsia="方正仿宋简体" w:cs="方正仿宋简体"/>
          <w:b w:val="0"/>
          <w:bCs w:val="0"/>
          <w:color w:val="000000"/>
          <w:sz w:val="32"/>
          <w:szCs w:val="32"/>
          <w:lang w:val="en-US" w:eastAsia="zh-CN"/>
        </w:rPr>
        <w:t>资质、人工智能(大语言模型)上线备案、网络出版服务许可证、网络视听经营许可证等，经认定，可给予最高不超过</w:t>
      </w:r>
      <w:r>
        <w:rPr>
          <w:rFonts w:hint="eastAsia"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万元的一次性资助；对获得游戏版号，上线实际运营并取得一定营业收入的网络游戏产品，经认定，可给予最高不超过</w:t>
      </w:r>
      <w:r>
        <w:rPr>
          <w:rFonts w:hint="eastAsia"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万元的一次性资助；鼓励企业游戏产品出海，在海外上线运营、取得一定营业收入并在国内结算的，经认定，可给予企业最高不超过</w:t>
      </w:r>
      <w:r>
        <w:rPr>
          <w:rFonts w:hint="eastAsia"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万元的一次性资助。</w:t>
      </w:r>
    </w:p>
    <w:p w14:paraId="4AFFE35F">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(五)鼓励重大技术突破。</w:t>
      </w:r>
      <w:r>
        <w:rPr>
          <w:rFonts w:hint="eastAsia" w:ascii="Times New Roman" w:hAnsi="Times New Roman" w:eastAsia="方正仿宋简体" w:cs="方正仿宋简体"/>
          <w:b w:val="0"/>
          <w:bCs w:val="0"/>
          <w:color w:val="000000"/>
          <w:sz w:val="32"/>
          <w:szCs w:val="32"/>
          <w:lang w:val="en-US" w:eastAsia="zh-CN"/>
        </w:rPr>
        <w:t>对经认定具有自主知识产权，属于国内相关领域高端装备首台套应用突破、软件产品首版次示范应用的，可按首台套(首版次)销售金额的</w:t>
      </w:r>
      <w:r>
        <w:rPr>
          <w:rFonts w:hint="eastAsia"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eastAsia"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万元的资助;对获得国家或上海市的首台套(首版次)政策支持的，可给予最高不超过</w:t>
      </w:r>
      <w:r>
        <w:rPr>
          <w:rFonts w:hint="eastAsia"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万元的资助。</w:t>
      </w:r>
    </w:p>
    <w:p w14:paraId="3EA5DA01">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(六)支持智能算力应用。</w:t>
      </w:r>
      <w:r>
        <w:rPr>
          <w:rFonts w:hint="eastAsia" w:ascii="Times New Roman" w:hAnsi="Times New Roman" w:eastAsia="方正仿宋简体" w:cs="方正仿宋简体"/>
          <w:b w:val="0"/>
          <w:bCs w:val="0"/>
          <w:color w:val="000000"/>
          <w:sz w:val="32"/>
          <w:szCs w:val="32"/>
          <w:lang w:val="en-US" w:eastAsia="zh-CN"/>
        </w:rPr>
        <w:t>对企业购买或租用算力的，经认定，可按实际发生费用的</w:t>
      </w:r>
      <w:r>
        <w:rPr>
          <w:rFonts w:hint="eastAsia"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eastAsia"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万元的资助。</w:t>
      </w:r>
    </w:p>
    <w:p w14:paraId="140469FA">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(七)支持专业机构建设。</w:t>
      </w:r>
      <w:r>
        <w:rPr>
          <w:rFonts w:hint="eastAsia" w:ascii="Times New Roman" w:hAnsi="Times New Roman" w:eastAsia="方正仿宋简体" w:cs="方正仿宋简体"/>
          <w:b w:val="0"/>
          <w:bCs w:val="0"/>
          <w:color w:val="000000"/>
          <w:sz w:val="32"/>
          <w:szCs w:val="32"/>
          <w:lang w:val="en-US" w:eastAsia="zh-CN"/>
        </w:rPr>
        <w:t>对新引进或新设立的相关产业领域行业协会、企业联盟、人才培训(实训)基地等非盈利性机构，具有产业带动示范效应且促进产业集群发展的，经认定，可给予最高不超过</w:t>
      </w:r>
      <w:r>
        <w:rPr>
          <w:rFonts w:hint="eastAsia"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万元的一次性资助。</w:t>
      </w:r>
    </w:p>
    <w:p w14:paraId="36C686E0">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(八)支持科技载体建设。</w:t>
      </w:r>
      <w:r>
        <w:rPr>
          <w:rFonts w:hint="eastAsia" w:ascii="Times New Roman" w:hAnsi="Times New Roman" w:eastAsia="方正仿宋简体" w:cs="方正仿宋简体"/>
          <w:b w:val="0"/>
          <w:bCs w:val="0"/>
          <w:color w:val="000000"/>
          <w:sz w:val="32"/>
          <w:szCs w:val="32"/>
          <w:lang w:val="en-US" w:eastAsia="zh-CN"/>
        </w:rPr>
        <w:t>对获得国家或上海市级部门认定的相关领域专业性园区运营机构，经认定，对园区运营机构环境建设，可按实际投入资金总额的</w:t>
      </w:r>
      <w:r>
        <w:rPr>
          <w:rFonts w:hint="eastAsia"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以内比例，分别给予最高不超过</w:t>
      </w:r>
      <w:r>
        <w:rPr>
          <w:rFonts w:hint="eastAsia"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万元和</w:t>
      </w:r>
      <w:r>
        <w:rPr>
          <w:rFonts w:hint="eastAsia"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万元的资助。支持优秀科创人才和团队创新创业，入驻相关科创载体的，经认定，可给予相关科创人才和团队的新设立企业最高不超过</w:t>
      </w:r>
      <w:r>
        <w:rPr>
          <w:rFonts w:hint="eastAsia"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万元的一次性运营经费资助。</w:t>
      </w:r>
    </w:p>
    <w:p w14:paraId="43DD803F">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(九)支持成果体验展示。</w:t>
      </w:r>
      <w:r>
        <w:rPr>
          <w:rFonts w:hint="eastAsia" w:ascii="Times New Roman" w:hAnsi="Times New Roman" w:eastAsia="方正仿宋简体" w:cs="方正仿宋简体"/>
          <w:b w:val="0"/>
          <w:bCs w:val="0"/>
          <w:color w:val="000000"/>
          <w:sz w:val="32"/>
          <w:szCs w:val="32"/>
          <w:lang w:val="en-US" w:eastAsia="zh-CN"/>
        </w:rPr>
        <w:t>对租用场地建设相关领域的产品体验中心或展示中心的企业或机构，经认定，可按自用面积房租、展示设计建设、经(运)营维护等实际发生投入的</w:t>
      </w:r>
      <w:r>
        <w:rPr>
          <w:rFonts w:hint="eastAsia"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以内比例，给予每年最高不超过</w:t>
      </w:r>
      <w:r>
        <w:rPr>
          <w:rFonts w:hint="eastAsia"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w:t>
      </w:r>
    </w:p>
    <w:p w14:paraId="20EC314C">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(十)支持产业氛围营造。</w:t>
      </w:r>
      <w:r>
        <w:rPr>
          <w:rFonts w:hint="eastAsia" w:ascii="Times New Roman" w:hAnsi="Times New Roman" w:eastAsia="方正仿宋简体" w:cs="方正仿宋简体"/>
          <w:b w:val="0"/>
          <w:bCs w:val="0"/>
          <w:color w:val="000000"/>
          <w:sz w:val="32"/>
          <w:szCs w:val="32"/>
          <w:lang w:val="en-US" w:eastAsia="zh-CN"/>
        </w:rPr>
        <w:t>对举办相关领域具有一定影响力的峰会、论坛、展览会、博览会等活动，具有带动示范效应且促进区域产业集聚的，经认定，可按实际投入资金总额的</w:t>
      </w:r>
      <w:r>
        <w:rPr>
          <w:rFonts w:hint="eastAsia"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eastAsia"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万元的资助。对参与具有影响力的相关产业峰会、论坛、展览会等活动，经认定，对参展单位可按活动实际发生的注册费、展位费、搭建费等费用的</w:t>
      </w:r>
      <w:r>
        <w:rPr>
          <w:rFonts w:hint="eastAsia"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以内比例，给予总额最高不超过</w:t>
      </w:r>
      <w:r>
        <w:rPr>
          <w:rFonts w:hint="eastAsia"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万元的资助。</w:t>
      </w:r>
    </w:p>
    <w:p w14:paraId="75D46408">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(十一)</w:t>
      </w:r>
      <w:r>
        <w:rPr>
          <w:rFonts w:hint="eastAsia" w:ascii="Times New Roman" w:hAnsi="Times New Roman" w:eastAsia="方正仿宋简体" w:cs="方正仿宋简体"/>
          <w:b w:val="0"/>
          <w:bCs w:val="0"/>
          <w:color w:val="000000"/>
          <w:sz w:val="32"/>
          <w:szCs w:val="32"/>
          <w:lang w:val="en-US" w:eastAsia="zh-CN"/>
        </w:rPr>
        <w:t>由区投资促进领导小组认定的，对产业发展具有引领和带动作用的重大项目，经认定，可给予一定资助。</w:t>
      </w:r>
    </w:p>
    <w:p w14:paraId="2B2BC8C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四、使用管理</w:t>
      </w:r>
    </w:p>
    <w:p w14:paraId="19CEE229">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(一)区科委根据本意见制定实施流程和细则，落实项目审核、跟踪、评估等工作。本政策条款若与上海市、普陀区制定的其他政策有重复交叉的，按照“从高不重复”原则予以支持。</w:t>
      </w:r>
    </w:p>
    <w:p w14:paraId="5BEA6AC6">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(二)各重点地区投资促进中心负责为申报单位提供扶持项目申请、形式审查等服务，在区科委完成项目审核后负责向申报单位答复，并配合区科委做好项目管理服务工作。</w:t>
      </w:r>
    </w:p>
    <w:p w14:paraId="412923FA">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(三)区科委负责编制年度专项资金预算，并按程序向区财政局申请拨款，区财政局负责执行相关资金的拨付，在项目过程中会同审计部门对专项资金的使用管理情况进行监督管理。</w:t>
      </w:r>
    </w:p>
    <w:p w14:paraId="1F450B46">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(四)本意见按照《普陀区产业政策绩效评估管理办法》，实行绩效评估管理。</w:t>
      </w:r>
    </w:p>
    <w:p w14:paraId="7BF8AE1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五、附则</w:t>
      </w:r>
    </w:p>
    <w:p w14:paraId="043BDC1B">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(一)扶持对象享受本区各类专项资金总和原则上参照研发投入、创新水平和规模增速等作为综合评估依据。</w:t>
      </w:r>
    </w:p>
    <w:p w14:paraId="2EB014A4">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实行产业专项资金全过程信用管理。申请本政策扶持的企业或机构，将接受信用审查，过去三年内存在严重失信行为或违法行为的，取消申请资格。企业或机构在享受扶持过程中存在失信行为，经查实的，按照有关规定报送市、区公共信用信息服务平台。扶持对象存在弄虚作假、骗取专项资金等违法违规行为，经查实的，将立即取消一切资金拨付并追缴已拨付资金，依法追究相关责任。</w:t>
      </w:r>
    </w:p>
    <w:p w14:paraId="0AF6A4BF">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(三)本意见自</w:t>
      </w:r>
      <w:r>
        <w:rPr>
          <w:rFonts w:hint="default" w:ascii="Times New Roman" w:hAnsi="Times New Roman" w:eastAsia="方正仿宋简体" w:cs="Times New Roman"/>
          <w:b w:val="0"/>
          <w:bCs w:val="0"/>
          <w:color w:val="000000"/>
          <w:sz w:val="32"/>
          <w:szCs w:val="32"/>
          <w:lang w:val="en-US" w:eastAsia="zh-CN"/>
        </w:rPr>
        <w:t>2025</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日起施行，有效期至</w:t>
      </w:r>
      <w:r>
        <w:rPr>
          <w:rFonts w:hint="eastAsia"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31</w:t>
      </w:r>
      <w:r>
        <w:rPr>
          <w:rFonts w:hint="eastAsia" w:ascii="Times New Roman" w:hAnsi="Times New Roman" w:eastAsia="方正仿宋简体" w:cs="方正仿宋简体"/>
          <w:b w:val="0"/>
          <w:bCs w:val="0"/>
          <w:color w:val="000000"/>
          <w:sz w:val="32"/>
          <w:szCs w:val="32"/>
          <w:lang w:val="en-US" w:eastAsia="zh-CN"/>
        </w:rPr>
        <w:t>日。区科委</w:t>
      </w:r>
      <w:r>
        <w:rPr>
          <w:rFonts w:hint="eastAsia" w:ascii="Times New Roman" w:hAnsi="Times New Roman" w:eastAsia="方正仿宋简体" w:cs="Times New Roman"/>
          <w:b w:val="0"/>
          <w:bCs w:val="0"/>
          <w:color w:val="000000"/>
          <w:sz w:val="32"/>
          <w:szCs w:val="32"/>
          <w:lang w:val="en-US" w:eastAsia="zh-CN"/>
        </w:rPr>
        <w:t>2023</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日印发的《普陀区加快发展智能软件产业实施意见》(普科合规范</w:t>
      </w:r>
      <w:r>
        <w:rPr>
          <w:rFonts w:hint="eastAsia" w:ascii="Times New Roman" w:hAnsi="Times New Roman" w:eastAsia="方正仿宋简体" w:cs="Times New Roman"/>
          <w:b w:val="0"/>
          <w:bCs w:val="0"/>
          <w:color w:val="000000"/>
          <w:sz w:val="32"/>
          <w:szCs w:val="32"/>
          <w:lang w:val="en-US" w:eastAsia="zh-CN"/>
        </w:rPr>
        <w:t>〔2023〕4</w:t>
      </w:r>
      <w:r>
        <w:rPr>
          <w:rFonts w:hint="eastAsia" w:ascii="Times New Roman" w:hAnsi="Times New Roman" w:eastAsia="方正仿宋简体" w:cs="方正仿宋简体"/>
          <w:b w:val="0"/>
          <w:bCs w:val="0"/>
          <w:color w:val="000000"/>
          <w:sz w:val="32"/>
          <w:szCs w:val="32"/>
          <w:lang w:val="en-US" w:eastAsia="zh-CN"/>
        </w:rPr>
        <w:t>号)同时废止。</w:t>
      </w:r>
    </w:p>
    <w:p w14:paraId="1D7BA8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Times New Roman" w:hAnsi="Times New Roman" w:eastAsia="方正仿宋_GB2312" w:cs="方正仿宋_GB2312"/>
          <w:b w:val="0"/>
          <w:bCs w:val="0"/>
          <w:color w:val="000000"/>
          <w:kern w:val="2"/>
          <w:sz w:val="32"/>
          <w:szCs w:val="32"/>
          <w:lang w:val="en-US" w:eastAsia="zh-CN" w:bidi="ar-SA"/>
        </w:rPr>
      </w:pPr>
    </w:p>
    <w:p w14:paraId="32AB1D35">
      <w:pPr>
        <w:rPr>
          <w:rFonts w:ascii="Times New Roman" w:hAnsi="Times New Roman" w:eastAsia="宋体" w:cs="Times New Roman"/>
        </w:rPr>
      </w:pPr>
    </w:p>
    <w:p w14:paraId="758E9E9D">
      <w:pPr>
        <w:snapToGrid w:val="0"/>
        <w:spacing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西藏着力推动清洁能源产业发展</w:t>
      </w:r>
    </w:p>
    <w:p w14:paraId="3174554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西藏水能、太阳能、风能资源丰富，能源优势得天独厚，开发潜力巨大，在实现碳达峰、碳中和目标中肩负着重要的使命和责任。近年来，西藏着力挖掘清洁能源潜能，持续推进一批清洁能源项目建设，以风、光等为代表的清洁能源产业取得长足发展。</w:t>
      </w:r>
    </w:p>
    <w:p w14:paraId="2DDC113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lang w:val="en-US" w:eastAsia="zh-CN"/>
        </w:rPr>
        <w:t>一、</w:t>
      </w:r>
      <w:r>
        <w:rPr>
          <w:rFonts w:hint="eastAsia" w:ascii="Times New Roman" w:hAnsi="Times New Roman" w:eastAsia="方正黑体简体" w:cs="方正黑体简体"/>
          <w:sz w:val="32"/>
          <w:szCs w:val="32"/>
        </w:rPr>
        <w:t>项目建设如火如荼</w:t>
      </w:r>
    </w:p>
    <w:p w14:paraId="76B350D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在昌都市大唐八宿风电项目现场，一排排高大的“风车”矗立其间，不远处七八辆运输车辆来回穿梭，百米高的风机上，工人正在高空作业。</w:t>
      </w:r>
    </w:p>
    <w:p w14:paraId="302FAC6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这个风电项目是藏东南地区的第一个风电项目，规划建设20台5兆瓦风电机组，其中最高的机组在海拔5200米，是目前已投产风电项目中海拔最高和超高海拔地区单机容量最大的风电项目。今年4月项目开工以来，历时6个月完成全部20台风机吊装作业。该风电项目建成投产后不仅能有效优化西藏的能源结构，而且可以在冬季用电高峰期保障当地电力安全供应。</w:t>
      </w:r>
    </w:p>
    <w:p w14:paraId="092E047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据大唐八宿风电项目总指挥王洪浪介绍，项目投产以后，一年可以发2.23亿度电，相当于节约标煤7.31万吨，减少二氧化碳排量18.28万吨。自10月31日投产以来，截至12月10日8时，已累计发电超2200万千瓦时。</w:t>
      </w:r>
    </w:p>
    <w:p w14:paraId="1931CEE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近年来，我区充分发挥清洁能源方面的优势，把潜在的资源优势转化为高质量发展的厚积优势，以资源有效利用、能源合理开发、加快科技创新为重要抓手，引领产业转型升级、集聚高质量发展新动能新优势。</w:t>
      </w:r>
    </w:p>
    <w:p w14:paraId="3A4B119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山南市依托清洁能源基地资源，初步建成了中车山南清洁能源装备产业园，夯实了西藏清洁能源装备产业链发展的基础；那曲市色尼区欧玛亭嘎村，矗立着25座大风机，已日夜不停地转动了200多天；坐落于山南市措美县哲古镇的西藏措美哲古风电场，是我国首个超高海拔风电项目，它填补了我国超高海拔地区风力发电开发建设的行业空白……</w:t>
      </w:r>
    </w:p>
    <w:p w14:paraId="33D1E01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一个个清洁能源项目在我区正有序推进、逐步落实落地。</w:t>
      </w:r>
    </w:p>
    <w:p w14:paraId="599865A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二、</w:t>
      </w:r>
      <w:r>
        <w:rPr>
          <w:rFonts w:hint="eastAsia" w:ascii="Times New Roman" w:hAnsi="Times New Roman" w:eastAsia="方正黑体简体" w:cs="方正黑体简体"/>
          <w:sz w:val="32"/>
          <w:szCs w:val="32"/>
        </w:rPr>
        <w:t>政策优势持续释放</w:t>
      </w:r>
    </w:p>
    <w:p w14:paraId="20F51E0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日前，世界海拔最高的风储一体化项目——吉措百兆瓦风电储能一体化项目在那曲市色尼区正式开工。</w:t>
      </w:r>
    </w:p>
    <w:p w14:paraId="49FE509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西藏拥有丰富的清洁能源资源，水力资源可开发量1.8亿千瓦，光伏资源可开发量98亿千瓦，风能资源可开发量1.1亿千瓦，发展潜力巨大。</w:t>
      </w:r>
    </w:p>
    <w:p w14:paraId="6FA3EB0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数据显示，截至11月6日，国网西藏电力2024年“藏电外送”电量17.91亿千瓦时，将西藏清洁能源外送到华北、华中、华东等5个地区14个省市，为我区创造经济效益约4.9亿元，助推中东部等地区节能降耗，减煤55万吨、减排二氧化碳137万吨、二氧化硫4万吨。</w:t>
      </w:r>
    </w:p>
    <w:p w14:paraId="07897E1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除了得天独厚的能源优势，西藏还以政策驱动清洁能源高质量发展。</w:t>
      </w:r>
    </w:p>
    <w:p w14:paraId="255A9E6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近年来，我区印发了《关于促进西藏自治区光伏产业高质量发展的意见》，研究制定了《西藏自治区促进清洁能源产业高质量发展条例》，印发了《西藏自治区“十四五”及中长期综合能源发展规划》，并编制完成《西藏建设国家清洁能源基地规划（2022—2035年）》；召开2024年西藏清洁能源绿色发展学术交流会、2024第五届西藏清洁能源应用技术交流会，为推进西藏地区清洁能源转型，实现“双碳”目标建言献策；在基础研究、技术研发、示范应用等方面，全方位支持清洁能源技术创新，打通科技创新成果转移转化路径。</w:t>
      </w:r>
    </w:p>
    <w:p w14:paraId="2D25791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今年的政府工作报告还指出，我区将持续推进金沙江上游、藏东南等清洁能源基地及电力外送通道建设。</w:t>
      </w:r>
    </w:p>
    <w:p w14:paraId="20BCDEF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未来，随着技术的不断进步和市场规模的不断扩大，我区清洁能源产业还将迎来更多的发展机遇。</w:t>
      </w:r>
    </w:p>
    <w:p w14:paraId="7FA2299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三、</w:t>
      </w:r>
      <w:r>
        <w:rPr>
          <w:rFonts w:hint="eastAsia" w:ascii="Times New Roman" w:hAnsi="Times New Roman" w:eastAsia="方正黑体简体" w:cs="方正黑体简体"/>
          <w:sz w:val="32"/>
          <w:szCs w:val="32"/>
        </w:rPr>
        <w:t>发展成果落地见效</w:t>
      </w:r>
    </w:p>
    <w:p w14:paraId="48DA57B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进入十月，天气逐渐转凉，阿里地区措勤县扎日南木错社区的札布家里却温暖如春。</w:t>
      </w:r>
    </w:p>
    <w:p w14:paraId="5C1C431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札布告诉记者：“这是因为有了集中供暖，冬天的生活也更便利、舒适了。”</w:t>
      </w:r>
    </w:p>
    <w:p w14:paraId="4C3D86A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今年，自治区住建厅以特许经营模式实施桑珠孜区、色尼区、林周县、曲松县、工布江达县、贡觉县和措勤县7个县（区）城区清洁能源集中供暖试点建设。计划新建及改造供暖总面积622.41万平方米，建成后能满足20万干部群众的供暖需求。</w:t>
      </w:r>
    </w:p>
    <w:p w14:paraId="4D95B83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在拉萨市曲水县茶巴拉乡色麦村，总投资6.2亿元的西藏华电拉萨曲水茶巴拉100MW光伏发电项目，正在如火如荼地建设中。</w:t>
      </w:r>
    </w:p>
    <w:p w14:paraId="0EDCDD6F">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据介绍，该项目采用先进的光伏发电技术，项目建成后预计每年可为电网提供电量1.84亿度。同时，项目直接带动当地群众增收2811万元。</w:t>
      </w:r>
    </w:p>
    <w:p w14:paraId="6C2DAD0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我区大力开发利用清洁能源，不仅给当地提供了源源不竭的能源动力，产生了巨大的经济效益，而且在促进我国能源和电力结构转型、碳中和以及能源结构调整中起着重要作用。</w:t>
      </w:r>
    </w:p>
    <w:p w14:paraId="1A19E10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自2015年首次“藏电外送”以来，实现清洁能源外送电量157.9亿千瓦时，为我区创造经济效益超42亿元，为中东部等地区减煤485万吨、减排二氧化碳1208万吨、二氧化硫36万吨，为助力西藏清洁能源消纳、服务全区经济社会高质量发展贡献力量。</w:t>
      </w:r>
    </w:p>
    <w:p w14:paraId="4C648C9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从燃烧牛粪、电暖气取暖到清洁能源集中供暖，从用上电到用好电，从满足自身需求到深入实施“藏电外送”和“西电东送”，一批批清洁能源项目将更多的绿色资源吹向千家万户。</w:t>
      </w:r>
    </w:p>
    <w:p w14:paraId="7CBFCAC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p>
    <w:p w14:paraId="01DF5CB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p>
    <w:p w14:paraId="0C24CC70">
      <w:pPr>
        <w:widowControl w:val="0"/>
        <w:spacing w:after="160" w:line="570" w:lineRule="exact"/>
        <w:ind w:firstLine="940" w:firstLineChars="200"/>
        <w:jc w:val="both"/>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云南省人民政府关于印发《云南省政府投资基金支持产业高质量发展实施方案》的通知</w:t>
      </w:r>
    </w:p>
    <w:p w14:paraId="12B966E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各州（市）人民政府，省直各委、办、厅、局：</w:t>
      </w:r>
    </w:p>
    <w:p w14:paraId="57A23DF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现将《云南省政府投资基金支持产业高质量发展实施方案》印发给你们，请认真抓好贯彻落实。</w:t>
      </w:r>
    </w:p>
    <w:p w14:paraId="7769609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云南省人民政府</w:t>
      </w:r>
    </w:p>
    <w:p w14:paraId="48A94DE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2024年12月21日</w:t>
      </w:r>
    </w:p>
    <w:p w14:paraId="7779039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（此件公开发布）</w:t>
      </w:r>
    </w:p>
    <w:p w14:paraId="68256E60">
      <w:pPr>
        <w:spacing w:line="570" w:lineRule="exact"/>
        <w:ind w:firstLine="640" w:firstLineChars="200"/>
        <w:rPr>
          <w:rFonts w:ascii="Times New Roman" w:hAnsi="Times New Roman" w:eastAsia="方正仿宋简体" w:cs="Times New Roman"/>
          <w:sz w:val="32"/>
          <w:szCs w:val="22"/>
        </w:rPr>
      </w:pPr>
    </w:p>
    <w:p w14:paraId="723EE785">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云南省政府投资基金支持产业高质量发展实施方案</w:t>
      </w:r>
    </w:p>
    <w:p w14:paraId="1A2E9EF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贯彻落实党的二十大和二十届三中全会精神，充分发挥财政资金引导和撬动作用，规范政府投资基金管理，壮大耐心资本，带动社会资本支持我省产业高质量发展，根据《私募投资基金监督管理条例》（国务院令第762号）、《政府投资基金暂行管理办法》（财预〔2015〕210号）等规定，结合我省实际，制定本方案。</w:t>
      </w:r>
    </w:p>
    <w:p w14:paraId="0287A2A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一、目标任务</w:t>
      </w:r>
    </w:p>
    <w:p w14:paraId="67CE40C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构建政府投资基金运作体系。围绕“3815”战略发展目标和产业强省建设要求，紧密结合产业需求结构、供给体系、增长动能等实际，因地制宜发展新质生产力，推动“有为政府”与“有效市场”高效结合，构建“省级引导基金＋重点产业母基金＋子基金”的政府投资基金运作体系，以省级引导基金带动一批重点产业母基金建设，再带动一批子基金落地。从2025年起，省级行业主管部门会同省财政厅将产业类专项资金按一定比例转变投入方式，用于政府投资基金出资，力争5年内构建500亿元以上规模的基金体系，带动社会资本投资规模不低于1000亿元。</w:t>
      </w:r>
    </w:p>
    <w:p w14:paraId="2AA844E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支持重点产业高质量发展。紧紧围绕发展壮大资源经济、园区经济、口岸经济设立政府投资基金，巩固提升绿色能源、烟草、有色金属“老三样”，培育发展绿色铝、硅光伏、新能源电池“新三样”，做专做精生物医药、新材料、先进装备制造“特三样”，做优做强高原特色农业、文化旅游、现代物流“大三样”，促进产业转型升级、上下贯通、纵向成链、横向成群，形成现代产业生态体系，实现强基础、补短板、锻长板、提水平、促升级的产业发展目标。</w:t>
      </w:r>
    </w:p>
    <w:p w14:paraId="3FECA70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提高财政资金使用效益。通过政府投资基金改补为投、无偿变有偿、分散变集中，发挥财政资金乘数效应，带动“大资源”支持产业“大发展”。推动政府投资基金与银行、保险、担保、资管公司等金融机构及产业资本形成合力，建立“投贷联动”、“投保联动”、“投担联动”、“投投联动”机制，充分利用和发挥各方资源优势，促进创新链、产业链、资金链、人才链深度融合，提高财政资金使用效益。</w:t>
      </w:r>
    </w:p>
    <w:p w14:paraId="054D84AC">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二、基本原则</w:t>
      </w:r>
    </w:p>
    <w:p w14:paraId="6FB5816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政府投资基金按照“政府引导、市场运作、科学决策、防范风险”的原则实施投资运营管理。</w:t>
      </w:r>
    </w:p>
    <w:p w14:paraId="002A709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（一）政府引导。立足我省产业基础、资源禀赋，加大政府投入，引导带动社会资本参与，构建“省级引导基金＋重点产业母基金＋子基金”的政府投资基金运作体系。</w:t>
      </w:r>
    </w:p>
    <w:p w14:paraId="7CA2009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（二）市场运作。建立健全收益让渡、尽职免责、分类评价等激励约束机制，择优遴选管理机构，实行市场化运作、专业化管理，提升基金运作效益。</w:t>
      </w:r>
    </w:p>
    <w:p w14:paraId="657C4E0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（三）科学决策。建立健全基金“募投管退”运行机制，科学合理开展投资决策，优化投资环境，激发投资运营活力，确保实现基金政策目标。</w:t>
      </w:r>
    </w:p>
    <w:p w14:paraId="1FDE3A3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防范风险。对基金实施全过程监督管理，建立健全内部控制和外部监管制度，完善政府出资提前退出机制，切实防范基金运作风险。基金各出资方按照“利益共享、风险共担”的原则，明确约定收益分配和亏损负担方式。</w:t>
      </w:r>
    </w:p>
    <w:p w14:paraId="574A4F2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三、运营管理</w:t>
      </w:r>
    </w:p>
    <w:p w14:paraId="60F8117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规范基金设立及审批机制。第一级省级引导基金（以下简称引导基金）为经省人民政府审批、省金控集团已设立并管理运营的云南省重点产业投资基金合伙企业（有限合伙），认缴规模60亿元，由省财政厅分期注资省金控集团，首期出资23亿元。</w:t>
      </w:r>
    </w:p>
    <w:p w14:paraId="259EDA0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第二级重点产业母基金（以下简称母基金）由省级行业主管部门以项目储备为前提，充分研究设立可行性和必要性，牵头拟制基金方案，会同省财政厅按程序报省人民政府审批设立。省级行业主管部门须指定省属国有企业作为出资人代表，并会同省财政厅将产业类专项资金按一定比例转变投入方式分期注资，积极引入社会资本。符合母基金设立条件但省级行业主管部门年内难以安排资金实缴出资到位的，可按程序报省人民政府申请引导基金给予适当支持。</w:t>
      </w:r>
    </w:p>
    <w:p w14:paraId="2E30855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第三级子基金由母基金管理机构报母基金投资决策委员会审批设立，须引入社会资本和母基金同步出资。</w:t>
      </w:r>
    </w:p>
    <w:p w14:paraId="4A535C6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明确基金投资定位。引导基金主要投资省委、省政府确定的重点领域和薄弱环节，存续期原则上不超过15年，经省人民政府审批最多可延长2年。母基金、子基金根据功能定位分为创业投资类、重点产业类、特定类，并实施分类管理。</w:t>
      </w:r>
    </w:p>
    <w:p w14:paraId="3E27E46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创业投资类。围绕壮大战略性新兴产业、超前布局未来产业，聚焦新一代信息技术、人工智能、新材料、生物医药等新领域、新赛道及颠覆性、前沿性技术攻关，支持科技成果转化和创新平台打造，培育耐心资本，投早、投小、投长期、投硬科技，主要投资种子期、初创期企业，总存续期原则上不超过15年。</w:t>
      </w:r>
    </w:p>
    <w:p w14:paraId="44B0BC3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重点产业类。围绕先进制造、高原特色农业等重点领域，聚焦优势产业延链补链强链，带动区域发展，支持传统产业转型升级和现代化产业体系建设，主要投资引入成长期、成熟期企业，总存续期原则上不超过12年。</w:t>
      </w:r>
    </w:p>
    <w:p w14:paraId="77494E9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特定类。围绕国家重大战略和省委、省政府工作要求，“一事一议”设立基金，开展特定投资。</w:t>
      </w:r>
    </w:p>
    <w:p w14:paraId="071FE00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优化基金投资方式。引导基金根据产业发展需要，按程序报省人民政府批准后可投资母基金和直接投资项目，对单支母基金的认缴出资额原则上不超过引导基金认缴规模的20%且不超过母基金认缴规模的25%。母基金经省人民政府审批可直接投资项目，根据投资决策委员会决策可新设子基金、参股存量基金，对子基金出资比例：创业投资类不超过子基金认缴规模的60%、重点产业类不超过50%，特定类基金及参与国家级基金不受上述比例限制。子基金按照市场化投资决策程序直接开展项目投资，不得再投资基金。政府投资基金对单个项目投资不超过其认缴规模的20%，不得对所投资项目控股，且不为第一大股东。各级基金及管理机构关联方在省内的投资额原则上不得低于政府实缴出资额。</w:t>
      </w:r>
    </w:p>
    <w:p w14:paraId="7DA47CA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规范基金管理运作。政府投资基金应坚持政策指导与市场运作相结合，按照安全合规、兼顾效益的原则开展基金运营管理，基金管理机构应具备相应募资能力、投研能力、出资实力及管理经验。引导基金管理机构为省金控集团，省财政厅进行指导监督；母基金管理机构由省级行业主管部门视政府出资情况指定省属国有企业或开展市场化遴选；子基金管理机构由省级行业主管部门指导母基金管理机构开展市场化遴选。</w:t>
      </w:r>
    </w:p>
    <w:p w14:paraId="06167DF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五）完善基金退出机制。政府投资基金应积极拓宽退出路径，包括基金份额转让、并购、境内/境外IPO上市后股票减持、股东及管理层回购、股权协议转让以及基金合同约定的退出方式等。健全政府出资提前退出机制，明确提前退出条件和程序。</w:t>
      </w:r>
    </w:p>
    <w:p w14:paraId="40BD6D0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六）加强基金风险防控。政府投资基金应建立健全财务管理、投资管理、风险管理等内部控制和财会监督、审计检查、考核评价等外部监管制度，明确基金日常运作和风险管理等程序，防范基金运营风险。基金管理机构要加强基金穿透监管，密切跟踪基金财务状况，切实做到科学管理、防控风险、安全运营。</w:t>
      </w:r>
    </w:p>
    <w:p w14:paraId="2436D5A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七）建立激励约束机制。政府投资基金应分类建立科学合理并覆盖基金全生命周期的绩效评价体系，把握评价整体性，不过度考核单支子基金或单个项目盈亏，评价结果作为基金存续、计提管理费、改进管理、调整出资、优化投资方向以及实施奖罚的重要依据。健全尽职免责及容亏机制，设置原则上不超过30%的投资损失容忍率，创业投资类及特定类基金经审批可适当放宽。创业投资类基金投资损失容忍率放宽后不超过60%，投资种子期企业可经审批另行约定。政府出资取得的投资收益可向合作对象适当让利。</w:t>
      </w:r>
    </w:p>
    <w:p w14:paraId="75CF975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四、工作要求</w:t>
      </w:r>
    </w:p>
    <w:p w14:paraId="64F2EA6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政府投资基金是财政资金管理方式的创新，涉及面广、专业性强、社会影响大，各地各部门要高度重视，加强组织领导，完善工作机制，形成工作合力。</w:t>
      </w:r>
    </w:p>
    <w:p w14:paraId="5FD7BF9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完善制度体系。省财政厅要尽快研究出台政府投资基金管理办法和管理机构遴选指南；加强对政府投资基金出资的预算约束，按照集中管理、统一调配、分类拨付的原则筹措落实财政出资；督促省金控集团规范运作引导基金，组织实施引导基金监督检查，对政府投资基金开展重点绩效评价。</w:t>
      </w:r>
    </w:p>
    <w:p w14:paraId="3968BCD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压实主体责任。省级行业主管部门要加大产业类专项资金改革力度，做实项目储备，加快基金落地，强化基金监管。要会同省财政厅根据母基金设立方案和实际需求，分年度将产业类专项资金按不低于30%的比例转变投入方式，用于母基金出资，并进一步清理盘活存量资金，整合小、散、乱等效用不明显专项资金，加大对基金的投入。要高度重视项目储备在基金运作中的关键作用，会同省发展改革委、省财政厅根据产业规划，推动基金与项目有机衔接，积极挖掘符合基金投资的项目，建立动态项目储备库，做好基金投资指引。要在完成可行性和必要性研究的基础上，尽快推进高原特色农业、先进制造业和科技创新等领域母基金设立，一个部门原则上选择一个重点领域，成熟一支设立一支。要履行基金监督指导主体责任，对已设立基金日常运作实施全过程监督，督促基金投资进度，视情况委派观察员或投资决策委员会成员，开展绩效评价，定期收集分析基金运营情况并向省人民政府报告。</w:t>
      </w:r>
    </w:p>
    <w:p w14:paraId="02F9F1C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强化联动协作。各地各部门要创新思路，做好政策协同，打造优质的营商环境和投资生态，在基金工商注册登记、办公场所、项目落地等方面提供便利条件，打造基金集聚区；通过积极发展一批链主企业，培育一批优质链员企业，发挥链主企业的辐射和带动作用；鼓励政府投资基金管理机构与国家级基金、头部投资机构建立合作，引进和培育高端人才，与行业专家、科研机构和社会中介等形成合力，推动产学研用深度融合。省金融管理局要会同省财政厅、省审计厅等联合制定政府投资基金尽职免责工作指引。省审计厅要适时组织对基金管理使用情况开展审计。省政府督查室要及时对各部门工作推进落实情况进行督查。</w:t>
      </w:r>
    </w:p>
    <w:p w14:paraId="7E400FC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规范州（市）基金设立。各州（市）要严格执行政府投资基金相关制度规定，科学规范设立基金，充分考虑财政承受能力和项目储备情况等，合理确定基金规模和投资范围，避免资金闲置。年度预算中未足额保障“三保”、债务付息等必保支出的，不得安排资金新设基金。省级政府投资基金不参与州（市）基金设立，各州（市）可根据自身情况出资母基金和子基金，基金优先给予出资州（市）返投支持。</w:t>
      </w:r>
    </w:p>
    <w:p w14:paraId="0AF014C0">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3B13BB12">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云南省发展和改革委员会等4部门关于印发《创业投资支持科技创新和产业高质量发展若干政策措施》的通知</w:t>
      </w:r>
    </w:p>
    <w:p w14:paraId="36099FC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2025年1月22日</w:t>
      </w:r>
    </w:p>
    <w:p w14:paraId="1588713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创业投资事关科技创新、产业升级和高质量发展，发展创业投资是促进科技、产业、金融良性循环的重要举措。为深入贯彻落实党中央、国务院决策部署及省委、省政府工作要求，积极支持创业投资做大做强，激发创新创业活力，更好发挥创业投资“小资本大作用”，促进科技型企业成长，推动产业结构升级和质效提升，现提出以下政策措施。</w:t>
      </w:r>
    </w:p>
    <w:p w14:paraId="6AD08211">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一、加快推动创业投资发展壮大</w:t>
      </w:r>
    </w:p>
    <w:p w14:paraId="13252C9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大力培育创业投资机构。积极招引全国知名创业投资机构，鼓励和支持中央企业、地方国有企业、民营企业等各类经营主体，行业骨干企业、科研机构、创新创业平台机构等参与创业投资，依法依规牵头或参与设立创业投资企业。（省发展改革委、省工业和信息化厅、省科技厅、省国资委、省投资促进局按职责分工负责）</w:t>
      </w:r>
    </w:p>
    <w:p w14:paraId="0039779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引导支持创业投资基金落地。充分发挥政府投资基金作用，推动设立云南省科技创新母基金，积极吸引各类金融资本、产业资本、全国优秀投资机构围绕培育战略性新兴产业、布局未来产业，聚焦新领域、新赛道及颠覆性、前沿性技术攻关，支持科技成果转化和创新平台打造，推动投早、投小、投长期、投硬科技，培育耐心资本。（省工业和信息化厅、省科技厅、省财政厅、省金融管理局按职责分工负责）</w:t>
      </w:r>
    </w:p>
    <w:p w14:paraId="2814C613">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二、加力培育创新创业主体和项目</w:t>
      </w:r>
    </w:p>
    <w:p w14:paraId="7B7E86E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围绕重点产业提升研发创新水平。围绕绿色能源、烟草、有色金属“老三样”产品结构上移、加快转型升级，绿色铝、硅光伏、新能源电池“新三样”延伸产业链、提高附加值，生物医药、新材料、先进装备制造“特三样”高端化发展、竞争力提升，高原特色现代农业、文化旅游、现代物流“大三样”业态创新、能级提升，坚持需求导向和应用导向，统筹用好既有部门预算资金，优化完善资金分配方式和管理模式，引导支持核心技术研发和创新能力提升，推动已取得领先水平的基础研究成果加快产业化，在新赛道上挖掘培育新主体。（省发展改革委、省工业和信息化厅、省科技厅、省交通运输厅、省农业农村厅、省商务厅、省文化和旅游厅、省能源局按职责分工负责）</w:t>
      </w:r>
    </w:p>
    <w:p w14:paraId="7105074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全力促进科技成果转化。建设全省科技成果转移转化公共服务平台，支持全国范围内高等学校、科研院所和企业等机构以“技术入股+现金入股”方式转化科技成果，创办、领办科技型企业，探索建设科技成果转化概念验证中心和中试（基地）平台。依托云南高等研究院推动实现更多基础研究成果转化。支持在滇成果转化取得实质性进展的省外科研团队依托成果转化所在机构离岸申报顶尖团队，最高给予3000万元项目经费支持。经省内技术合同认定登记机构登记的技术合同年度交易额在500万元（含）至3000万元（含）之间的单位，按技术交易额的1%给予奖励，超过3000万元的部分按5‰给予奖励，每家每年补助最高不超过100万元。（省科技厅、省财政厅按职责分工负责）</w:t>
      </w:r>
    </w:p>
    <w:p w14:paraId="7E97582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五）引导加大对科技型企业的创业投资力度。支持创业投资机构加大对行业科技领军企业、产业链上下游科技型企业的投资力度。创业投资机构对省内科技型企业发生股权投资时，在实缴投资满2年后，省财政依规按实际完成股权投资额的一定比例给予创业投资机构投资风险补助，单笔投资获得的补助金额最高100万元，对同一企业投资获得的补助金额累计最高200万元；发生并确认损失时，依规按确认的投资损失额的一定比例给予创业投资机构投资损失补偿，单笔投资损失获得的补偿金额最高100万元，对同一企业投资获得的损失补偿金额累计最高200万元。（省科技厅、省财政厅按职责分工负责）</w:t>
      </w:r>
    </w:p>
    <w:p w14:paraId="75CB9ED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（六）多渠道引育创新创业主体。持续开展“科技入滇</w:t>
      </w:r>
      <w:bookmarkStart w:id="0" w:name="OLE_LINK1"/>
      <w:r>
        <w:rPr>
          <w:rFonts w:hint="eastAsia" w:ascii="Times New Roman" w:hAnsi="Times New Roman" w:eastAsia="方正仿宋简体" w:cs="Times New Roman"/>
          <w:sz w:val="32"/>
          <w:szCs w:val="22"/>
        </w:rPr>
        <w:t>”</w:t>
      </w:r>
      <w:bookmarkEnd w:id="0"/>
      <w:r>
        <w:rPr>
          <w:rFonts w:hint="eastAsia" w:ascii="Times New Roman" w:hAnsi="Times New Roman" w:eastAsia="方正仿宋简体" w:cs="Times New Roman"/>
          <w:sz w:val="32"/>
          <w:szCs w:val="22"/>
        </w:rPr>
        <w:t>暨“双招双引”系列活动，通过腾冲科学家论坛推动一批科研平台、科技型企业、科技成果、人才团队、合作项目入滇落地。持续打造“彩云汇”科创品牌，优化升级“彩云汇”创新创业大赛，提升大赛品牌影响力，加快构建科技型企业招引平台、投融资平台，着力培育创新创业优质主体和项目。（省工业和信息化厅、省科技厅按职责分工负责）</w:t>
      </w:r>
    </w:p>
    <w:p w14:paraId="2B9034E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三、持续开展创业投资与创新创业项目对接</w:t>
      </w:r>
    </w:p>
    <w:p w14:paraId="07DE5AB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七）积极争取国家创业投资基金支持。加快发展生物医药、新材料、先进装备制造等战略性新兴产业，绿色铝、硅光伏、新能源电池等优势产业，卫星应用、低空经济、氢能及储能、先进半导体等未来产业，积极开展项目培育。持续组织动员符合要求的具有创业投资需求的初创期、种子期、早中期创新创业企业和科技成果转化项目，对接争取国家新兴产业创业投资引导基金、国家中小企业发展基金、国家科技成果转化引导基金、国家创业投资引导基金的投资支持。（省发展改革委、省工业和信息化厅、省科技厅按职责分工负责）</w:t>
      </w:r>
    </w:p>
    <w:p w14:paraId="4EA2B28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八）建立健全创业投资项目对接机制。组建创业投资机构库和创新创业项目库，常态化组织遴选符合条件的创业投资企业、天使投资人、政府投资基金及其他符合条件的私募股权投资机构，以及科技型企业、专精特新中小企业、新型农业投资主体、创新创业和科技成果转化项目等分别入库，汇集和展示创业投资企业和创新创业项目信息，供双方按照市场化、法治化原则，自愿自主开展对接。（省发展改革委、省工业和信息化厅、省科技厅、省财政厅、省人力资源社会保障厅、省农业农村厅、云南证监局按职责分工负责）</w:t>
      </w:r>
    </w:p>
    <w:p w14:paraId="3AA0AF1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九）组织开展创业投资对接活动。因地制宜开展形式灵活多样、主体多元的创业投资与创新创业项目对接活动。发挥沪深北证券交易所、全国股转公司云南服务基地作用，依托云南省股权交易中心，组织开展面向科技型企业、专精特新中小企业的投融资路演、行业交流等活动，加强符合条件的企业与创业投资机构对接。积极引导云南实验室、技术创新中心、科技企业孵化器等创新平台加强科研成果与创业投资机构对接。（省发展改革委、省科技厅、省金融管理局按职责分工负责）</w:t>
      </w:r>
    </w:p>
    <w:p w14:paraId="0959410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四、扎实推动创业投资管理优化提质</w:t>
      </w:r>
    </w:p>
    <w:p w14:paraId="06D2530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优化完善国资创业投资管理。探索建立健全符合创业投资行业特点和发展规律的省内国有创业投资风险管控、监督考核、激励约束、尽职容错和责任豁免机制。优化考核评价机制，更加注重对国资创投机构整体效益和长周期收益水平的考核，弱化对单个项目投资收益和短期获利的要求。合理设置投资损失容忍率，提高对投资科创类企业项目发生损失或未能实现预期目标的容忍度，未能实现预期目标，但符合相关规定条件、标准和决策程序，且勤勉尽责未谋取私利的管理机构和有关人员，依规予以适用尽职容错和责任豁免。（省国资委负责）</w:t>
      </w:r>
    </w:p>
    <w:p w14:paraId="2138579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一）建立健全创业投资退出机制。深入推进企业上市行动，做好企业上市服务，加大对创业投资机构被投企业的上市辅导力度，鼓励通过被投企业上市、挂牌、并购及协议转让等方式拓宽创业投资退出渠道。推进云南省区域性股权市场“专精特新”专板建设，建立健全我省区域性股权市场与高层次资本市场之间互联互通路径，支持鼓励创业投资机构投资专板挂牌企业，并通过上市（挂牌）等渠道退出。（省金融管理局、云南证监局牵头，省发展改革委参与）</w:t>
      </w:r>
    </w:p>
    <w:p w14:paraId="17DA2150">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五、积极营造创业投资发展良好环境</w:t>
      </w:r>
    </w:p>
    <w:p w14:paraId="1C5F5A0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二）健全完善科技金融服务体系。督促指导银行保险机构深化科技金融组织管理机制建设，加强科技型企业全生命周期金融服务，规范与外部投资机构的合作，积极探索“贷款+外部直投”等业务模式，优化风险评审模型和业务流程，强化考核激励，健全完善尽职免责和容错纠错机制，提升科技保险保障作用，加大融资辅导培育。鼓励银行机构提高对科技型企业兼并重组的金融服务水平，积极稳妥开展并购贷款业务，根据企业细分领域和现金流特点差异化设置承贷比例及贷款期限，完善并购融资、研发融资、风险管理、资金归集、债券承销等全方位、综合化的金融服务。（省科技厅、省金融管理局、中国人民银行云南省分行、云南金融监管局按职责分工负责）</w:t>
      </w:r>
    </w:p>
    <w:p w14:paraId="6202380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三）着力壮大科技贷款产品供给。引导银行机构创新推广“科创贷”、“善科贷”、“创业创新积分贷”等产品，推动丰富银行机构、担保机构、创业投资机构合作模式，加强资源整合运用，满足科创企业各类金融需求。充分发挥科技贷款风险补偿制度优势，单笔科技贷款损失给予最高70%的损失补偿，科技贷款年度风险补偿总额上限最高1亿元，支持科技型企业加速发展。（省科技厅、省财政厅、中国人民银行云南省分行、云南金融监管局按职责分工负责）</w:t>
      </w:r>
    </w:p>
    <w:p w14:paraId="7B7EED4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四）持续提升创业投资政务服务质效。持续提升创业投资企业和创业投资管理企业登记管理规范化水平，优化创业投资企业注册流程，遵照《创业投资企业管理暂行办法》明确的备案程序要求，为符合条件且自主申请的创业投资企业开展备案工作。全面贯彻落实创业投资企业相关税收优惠政策，做好政策宣传和纳税服务工作，对享受创业投资企业税收优惠政策的企业，加强跟踪分析和风险防控，提升政策落实质效。引导和规范创业投资机构开展境外投资，做好企业境外投资项目备案工作，提高境外投资管理便利性和有效性。（省发展改革委、省财政厅、省商务厅、省市场监管局、省税务局、云南证监局按职责分工负责）</w:t>
      </w:r>
    </w:p>
    <w:p w14:paraId="4D0C4BD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五）引进培养创业投资专业人才。鼓励将创投人才纳入高层次人才引进、人才安居范围，营造更为优良的创业环境和宜居环境。支持符合专项资格条件的创业投资专业人才申报云南省“兴滇英才支持计划”，并按规定享受有关待遇及服务。鼓励全省高等院校结合办学定位和学科专业布局，开发相关课程，培养创业投资专业人才。完善国有创业投资企业法人治理结构，市场化选聘具有较强专业背景和丰富运作经验的管理人员，健全完善与行业特点相适应的薪酬制度。（省委组织部、省教育厅、省国资委按职责分工负责）</w:t>
      </w:r>
    </w:p>
    <w:p w14:paraId="4D9CFD5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各地各部门要把促进创业投资高质量发展作为大力</w:t>
      </w:r>
      <w:r>
        <w:rPr>
          <w:rFonts w:hint="eastAsia" w:ascii="Times New Roman" w:hAnsi="Times New Roman" w:eastAsia="方正仿宋简体" w:cs="Times New Roman"/>
          <w:sz w:val="32"/>
          <w:szCs w:val="22"/>
          <w:lang w:val="en"/>
        </w:rPr>
        <w:t>支持科技创新、</w:t>
      </w:r>
      <w:r>
        <w:rPr>
          <w:rFonts w:hint="eastAsia" w:ascii="Times New Roman" w:hAnsi="Times New Roman" w:eastAsia="方正仿宋简体" w:cs="Times New Roman"/>
          <w:sz w:val="32"/>
          <w:szCs w:val="22"/>
        </w:rPr>
        <w:t>促进</w:t>
      </w:r>
      <w:r>
        <w:rPr>
          <w:rFonts w:hint="eastAsia" w:ascii="Times New Roman" w:hAnsi="Times New Roman" w:eastAsia="方正仿宋简体" w:cs="Times New Roman"/>
          <w:sz w:val="32"/>
          <w:szCs w:val="22"/>
          <w:lang w:val="en"/>
        </w:rPr>
        <w:t>产业</w:t>
      </w:r>
      <w:r>
        <w:rPr>
          <w:rFonts w:hint="eastAsia" w:ascii="Times New Roman" w:hAnsi="Times New Roman" w:eastAsia="方正仿宋简体" w:cs="Times New Roman"/>
          <w:sz w:val="32"/>
          <w:szCs w:val="22"/>
        </w:rPr>
        <w:t>高质量发展</w:t>
      </w:r>
      <w:r>
        <w:rPr>
          <w:rFonts w:hint="eastAsia" w:ascii="Times New Roman" w:hAnsi="Times New Roman" w:eastAsia="方正仿宋简体" w:cs="Times New Roman"/>
          <w:sz w:val="32"/>
          <w:szCs w:val="22"/>
          <w:lang w:val="en"/>
        </w:rPr>
        <w:t>、</w:t>
      </w:r>
      <w:r>
        <w:rPr>
          <w:rFonts w:hint="eastAsia" w:ascii="Times New Roman" w:hAnsi="Times New Roman" w:eastAsia="方正仿宋简体" w:cs="Times New Roman"/>
          <w:sz w:val="32"/>
          <w:szCs w:val="22"/>
        </w:rPr>
        <w:t>推动经济转型升级的重要举措，压实主体责任，精心组织实施，一体抓好《国务院办公厅关于印发〈促进创业投资高质量发展的若干政策措施〉的通知》（国办发〔2024〕31号）贯彻落实，强化正面宣传引导，营造有利于创业投资的良好舆论氛围。省发展改革委会同相关部门健全完善工作机制，强化沟通协调，形成工作合力，协调解决工作推进中的重点难点问题，共同推动我省创业投资高质量发展。</w:t>
      </w:r>
    </w:p>
    <w:p w14:paraId="464A4F91">
      <w:pPr>
        <w:spacing w:line="570" w:lineRule="exact"/>
        <w:ind w:firstLine="640" w:firstLineChars="200"/>
        <w:rPr>
          <w:rFonts w:ascii="Times New Roman" w:hAnsi="Times New Roman" w:eastAsia="方正仿宋简体" w:cs="Times New Roman"/>
          <w:sz w:val="32"/>
          <w:szCs w:val="22"/>
        </w:rPr>
      </w:pPr>
    </w:p>
    <w:p w14:paraId="5F318040">
      <w:pPr>
        <w:spacing w:line="570" w:lineRule="exact"/>
        <w:ind w:firstLine="640" w:firstLineChars="200"/>
        <w:rPr>
          <w:rFonts w:ascii="Times New Roman" w:hAnsi="Times New Roman" w:eastAsia="方正仿宋简体" w:cs="Times New Roman"/>
          <w:sz w:val="32"/>
          <w:szCs w:val="22"/>
        </w:rPr>
      </w:pPr>
    </w:p>
    <w:p w14:paraId="14D7CC30">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3A6E6831">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昆明市人民政府办公室关于印发昆明市擦亮“四季如春营商环境”品牌 助力产业高质量发展行动方案的通知</w:t>
      </w:r>
    </w:p>
    <w:p w14:paraId="6A09E382">
      <w:pPr>
        <w:spacing w:line="570" w:lineRule="exact"/>
        <w:ind w:firstLine="640" w:firstLineChars="200"/>
        <w:rPr>
          <w:rFonts w:ascii="Times New Roman" w:hAnsi="Times New Roman" w:eastAsia="方正仿宋简体" w:cs="Times New Roman"/>
          <w:sz w:val="32"/>
          <w:szCs w:val="22"/>
        </w:rPr>
      </w:pPr>
    </w:p>
    <w:p w14:paraId="2807E02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各县（市）、区人民政府，市政府各委办局，滇中新区管委会，各开发（度假）区、自贸试验（经济合作）区管委会，各直属机构，市属企业：</w:t>
      </w:r>
    </w:p>
    <w:p w14:paraId="52EA74D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《昆明市擦亮“四季如春营商环境”品牌  助力产业高质量发展行动方案》已经市人民政府同意，现印发给你们，请认真贯彻执行。</w:t>
      </w:r>
    </w:p>
    <w:p w14:paraId="70C246B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昆明市人民政府办公室</w:t>
      </w:r>
    </w:p>
    <w:p w14:paraId="505BC69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2024年12月6日</w:t>
      </w:r>
    </w:p>
    <w:p w14:paraId="65A6242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（本文有删减）</w:t>
      </w:r>
    </w:p>
    <w:p w14:paraId="18A814DC">
      <w:pPr>
        <w:spacing w:line="570" w:lineRule="exact"/>
        <w:ind w:firstLine="643"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b/>
          <w:bCs/>
          <w:sz w:val="32"/>
          <w:szCs w:val="22"/>
        </w:rPr>
        <w:t>昆明市擦亮“四季如春营商环境”品牌 </w:t>
      </w:r>
      <w:r>
        <w:rPr>
          <w:rFonts w:ascii="Times New Roman" w:hAnsi="Times New Roman" w:eastAsia="方正仿宋简体" w:cs="Times New Roman"/>
          <w:b/>
          <w:bCs/>
          <w:sz w:val="32"/>
          <w:szCs w:val="22"/>
        </w:rPr>
        <w:t>助力产业高质量发展行动方案</w:t>
      </w:r>
    </w:p>
    <w:p w14:paraId="4B4E8D9A">
      <w:pPr>
        <w:spacing w:line="570" w:lineRule="exact"/>
        <w:ind w:firstLine="640" w:firstLineChars="200"/>
        <w:rPr>
          <w:rFonts w:ascii="Times New Roman" w:hAnsi="Times New Roman" w:eastAsia="方正仿宋简体" w:cs="Times New Roman"/>
          <w:sz w:val="32"/>
          <w:szCs w:val="22"/>
        </w:rPr>
      </w:pPr>
    </w:p>
    <w:p w14:paraId="717DAF2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深入贯彻落实全省优化营商环境大会精神，紧扣市委、市政府“大抓产业、主攻工业”的目标定位，将“营商”与“产业”强关联，将优化营商环境融入抓项目、兴产业、促招商全过程，持续擦亮“四季如春营商环境”品牌，助力昆明产业高质量发展。根据《云南省营商环境争创一流行动方案》要求，结合昆明实际，制定本方案。</w:t>
      </w:r>
    </w:p>
    <w:p w14:paraId="786C37D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一、重点任务</w:t>
      </w:r>
    </w:p>
    <w:p w14:paraId="5DB8C5F6">
      <w:pPr>
        <w:widowControl w:val="0"/>
        <w:spacing w:after="80" w:line="570" w:lineRule="exact"/>
        <w:ind w:firstLine="603" w:firstLineChars="200"/>
        <w:contextualSpacing/>
        <w:jc w:val="center"/>
        <w:rPr>
          <w:rFonts w:ascii="Times New Roman" w:hAnsi="Times New Roman" w:eastAsia="方正仿宋简体" w:cs="Times New Roman"/>
          <w:b/>
          <w:spacing w:val="-10"/>
          <w:kern w:val="28"/>
          <w:sz w:val="32"/>
          <w:szCs w:val="56"/>
          <w:lang w:val="en-US" w:eastAsia="zh-CN" w:bidi="ar-SA"/>
        </w:rPr>
      </w:pPr>
      <w:r>
        <w:rPr>
          <w:rFonts w:hint="eastAsia" w:ascii="Times New Roman" w:hAnsi="Times New Roman" w:eastAsia="方正仿宋简体" w:cs="Times New Roman"/>
          <w:b/>
          <w:spacing w:val="-10"/>
          <w:kern w:val="28"/>
          <w:sz w:val="32"/>
          <w:szCs w:val="56"/>
          <w:lang w:val="en-US" w:eastAsia="zh-CN" w:bidi="ar-SA"/>
        </w:rPr>
        <w:t>（一）聚焦产业集聚升级，打造竞争有序的统一市场</w:t>
      </w:r>
    </w:p>
    <w:p w14:paraId="559A8B5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严格执行市场准入负面清单制度。全面清理在市场准入负面清单之外违规设立的许可事项，开展市场准入效能评估，推动“非禁即入”普遍落实。严禁以各种形式对民间投资主体设置显性或隐性歧视条款、准入门槛，全面清理违规设置的企业跨区域经营和迁移限制条件。</w:t>
      </w:r>
    </w:p>
    <w:p w14:paraId="47E7B22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深化企业开办、变更、注销领域“高效办成一件事”改革。完善、畅通企业退出制度和渠道，简化企业跨区域迁移涉税涉费、统计等事项办理程序，为符合条件的经营主体提供跨区域迁移业务“一件事”便捷服务。</w:t>
      </w:r>
    </w:p>
    <w:p w14:paraId="0B765EC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3．推行电子营业执照、电子印章实现多场景应用。拓展电子营业执照、电子印章跨区域、跨部门、跨行业互通共享应用，实现电子印章全流程网上申领、100%免费发放，持续降低企业制度性交易成本。</w:t>
      </w:r>
    </w:p>
    <w:p w14:paraId="517118A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健全公平竞争审查配套制度。强化公平竞争审查制度刚性约束，及时清理废除妨碍统一市场和公平竞争的措施。开展滥用行政权力排除、限制竞争执法质效专项整治行动。坚决整治招商引资“画饼”、“内卷”、恶性竞争行为。</w:t>
      </w:r>
    </w:p>
    <w:p w14:paraId="4480A62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5．推进公共资源交易规范透明高效廉洁。持续破除公共资源交易和政府采购领域隐性壁垒。推进公共资源交易服务标准化建设。运用网格化监管系统，实现投诉举报全闭环处理监管。</w:t>
      </w:r>
    </w:p>
    <w:p w14:paraId="686408C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6．推动经营主体发展壮大。积极引导各类经营主体向现代工业、现代农业、文旅、数字经济聚集。深入实施“个转企”行动，大力培育农业产业化优势企业、“四上”企业、高新技术企业，推动经营主体量质齐升。强化招商引资“一盘棋”统筹，构建优势互补、产业联动、区域协调、错位发展的招商格局。</w:t>
      </w:r>
    </w:p>
    <w:p w14:paraId="1BFB8B9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（二）聚焦产业要素保障，打造成本最优的投资沃土</w:t>
      </w:r>
    </w:p>
    <w:p w14:paraId="08AD12B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7．推进工业项目“标准地”改革。进一步提高土地节约、集约利用水平，加强“标准地”出让政策指导和企业服务，深化区域评估，优化单个项目审批，全力促进项目早落地、早建设、早投产。</w:t>
      </w:r>
    </w:p>
    <w:p w14:paraId="640CD21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8．探索推进“工业上楼”。落实《昆明市人民政府办公室关于印发昆明市推进高层工业楼宇经济发展实施意见（试行）的通知》（昆政办〔2024〕6号）要求，规划和引导绿色集约、高端高效先进制造业和生产性服务业“进园上楼”，创新“工业上楼”模式，构建产业链上下游就在“上下楼”的产业生态。</w:t>
      </w:r>
    </w:p>
    <w:p w14:paraId="4E9249D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9．抢抓新一轮设备更新和消费品以旧换新机遇。打好“财政补贴+金融工具+平台支持+企业让利”组合拳，把促消费与工业企业去库存相结合，全力释放内需潜力，切实增强经济发展动能。常态化推动扩大制造业中长期贷款投放。</w:t>
      </w:r>
    </w:p>
    <w:p w14:paraId="2C9FA4E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10．切实提升园区发展质量效益。建立园区要素保障提前介入机制。建立资源要素差别化配置机制，推动生产要素向优势产业、重大项目和重点产业链供应链企业集聚。强化园区与产业链“链长”、园区与所在县区常态化联动协作机制。积极推进园区管理体制改革，持续增强园区活力。</w:t>
      </w:r>
    </w:p>
    <w:p w14:paraId="74286A2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11．完善金融服务体系。持续拓展“融信服昆明专区”功能和覆盖面，丰富和创新金融产品。深入推进普惠金融发展示范区建设，统筹“线上+线下”及“政府+金融机构”资源。完善知识产权质押融资服务体系，鼓励金融机构开展知识产权质押融资工作。</w:t>
      </w:r>
    </w:p>
    <w:p w14:paraId="21ABE91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12．加大人才引育力度。全面构建人才引进、培养、激励、服务保障制度体系。制定人才安居工程实施意见，让重大招商引资项目和人才在昆明落得下、留得住、发展好。</w:t>
      </w:r>
    </w:p>
    <w:p w14:paraId="779A878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13．提升就业服务能力。构建“用工企业+用工平台+务工人员”的新型就业服务模式，促进产业、企业、就业“三业”联动。加大企业空缺岗位归集力度，精准服务重点企业用工需求。优化劳动争议纠纷处理机制，持续提升劳动保障维权服务质效。</w:t>
      </w:r>
    </w:p>
    <w:p w14:paraId="63DE9CE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14．提升企业自主创新能力。提高创新链整体效能，支持上下游企业联合省内外高校、科研院所开展产学研合作。鼓励企业参加“彩云汇”创新创业大赛，组织双创孵化载体积极申报省级科技企业孵化器、众创空间。</w:t>
      </w:r>
    </w:p>
    <w:p w14:paraId="77D2118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（三）聚焦产业健康发展，打造公平法治的宜商高地</w:t>
      </w:r>
    </w:p>
    <w:p w14:paraId="7C7F847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15．持续强化法治化保障。深入推进法治政府建设，贯彻落实《优化营商环境条例》、《云南省优化营商环境条例》、《云南省法治化营商环境全面提质23条措施》，加快推进《昆明市营商环境条例》立法工作，营造稳定、公平、透明、可预期的法治化营商环境。</w:t>
      </w:r>
    </w:p>
    <w:p w14:paraId="6118A58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16．加强司法服务保障。推进昆明中央法务区建设，健全公共法律服务体系，加快培育和汇聚国内外高端优质法律服务资源。深化以审判为中心的诉讼制度改革，推动“智慧法院”、“数字法院”建设。深化案件繁简分流改革，提升审判执行质效。</w:t>
      </w:r>
    </w:p>
    <w:p w14:paraId="018A492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17．健全完善矛盾纠纷多元化解工作机制。适应新兴产业发展态势，做优行业性专业性调解，健全金融、互联网等领域调解组织。畅通与工会、行政机关、行业协会、商会等对接渠道，实现诉前调解与人民调解、行业性专业性调解有效衔接、无缝对接，提高纠纷解决效率。</w:t>
      </w:r>
    </w:p>
    <w:p w14:paraId="378312E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18．有效维护胜诉民营企业权益。平等保护各种所有制经济主体，不断完善执行工作机制，综合运用各种强制执行措施，提升涉民营企业案件执行到位率。</w:t>
      </w:r>
    </w:p>
    <w:p w14:paraId="2834EC5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19．建立健全信用评价体系。加快推动经营主体公共信用综合评价工作，持续拓展信用应用场景，建立健全失信行为认定、记录、信息共享机制。开展“屡禁不止、屡罚不改”专项治理，督促失信主体及时完成失信纠正后的信用修复。</w:t>
      </w:r>
    </w:p>
    <w:p w14:paraId="7A9AB0C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强化监管体制创新。建立健全行政裁量权基准制度，推动严格规范公正文明执法。积极推行柔性执法包容审慎监管。落实“企业安静期”，规范涉企行政检查。加强涉企收费监督管理，坚决查处乱收费、乱罚款、乱摊派行为。</w:t>
      </w:r>
    </w:p>
    <w:p w14:paraId="6AC9C9F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21．持续推进防范化解拖欠中小企业账款。严格执行《保障中小企业款项支付条例》、《昆明市保障中小企业款项支付投诉处置办法（试行）》等法规及政策文件，常态化开展防范和化解拖欠中小企业账款工作，依法依规、积极稳妥处理好企业诉求。</w:t>
      </w:r>
    </w:p>
    <w:p w14:paraId="741B3B0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22．强化知识产权全链条保护。推进重点产业知识产权保护协作，构建多层次知识产权公共服务体系，加强行政监管、司法保护、仲裁调解、行业自律等协同衔接机制。提升全市知识产权民事案件一审服判息诉率。</w:t>
      </w:r>
    </w:p>
    <w:p w14:paraId="103BC6E8">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（四）聚焦产业生态最优，打造便捷高效的政务品牌</w:t>
      </w:r>
    </w:p>
    <w:p w14:paraId="368D68A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23．推动政务服务线上线下融合发展。推行政务“智办”，全市政务服务事项网上可办率、全程网办率分别达99.9%和96%以上。深化“跨省通办”，推进异地事项全程网办。实行“1+7”清单化管理，健全“高效办成一件事”重点事项清单管理机制和常态化推进机制，深化“e办通”自助服务功能，不断提升企业群众办事满意度、获得感。</w:t>
      </w:r>
    </w:p>
    <w:p w14:paraId="3188FCF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24．创新推出“明白办”政务服务新品牌。以“明白查”、“明白办”、“明白找”、“明白享”、“明白服”、“明白评”六个明白为抓手，推动政务服务水平提档升级。</w:t>
      </w:r>
    </w:p>
    <w:p w14:paraId="7C60F8F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25．深化惠企政策精准直达。健全完善惠企政策精准直达机制，以“一单两库”为抓手，搭建线上线下服务平台，推动“企业找政策”向“政策找企业”转变。</w:t>
      </w:r>
    </w:p>
    <w:p w14:paraId="768737E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26．深化工程建设项目审批制度改革。建立健全市政接入工程联合服务和数据共享机制，深入推进水电气网联合报装“一件事一次办”，优化市政公用设施报装“一站式”服务，保障投资建设项目早落地、早开工、早投用。</w:t>
      </w:r>
    </w:p>
    <w:p w14:paraId="77EBB2C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27．提升纳税服务水平。简化涉税业务办理，推进智慧税务建设，实现税费服务中、高频事项“全程网办”。持续推动各类税费减免优惠政策“直达快享”。</w:t>
      </w:r>
    </w:p>
    <w:p w14:paraId="3194711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28．健全企业重大项目服务机制。巩固“妈妈式”帮办代办服务体系，健全完善招商引资“重中之重”项目协同审批帮办代办服务工作机制，聚焦重大项目、特殊群体，推进“上门办”、“入户办”。</w:t>
      </w:r>
    </w:p>
    <w:p w14:paraId="482DB0E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（五）聚焦提升国际竞争力，打造包容并蓄的辐射中心</w:t>
      </w:r>
    </w:p>
    <w:p w14:paraId="71BCDCF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29．建立多层次常态化外资企业沟通服务体系。积极开展政策宣传，全面落实外商投资准入前国民待遇加负面清单管理制度。推进外商投资企业准入登记“应准尽准”，高水平服务企业“引进来”、“走出去”。</w:t>
      </w:r>
    </w:p>
    <w:p w14:paraId="081755D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30．扩大国际贸易“单一窗口”覆盖范围。加强智慧口岸建设，进一步完善磨憨（铁路）智慧口岸模块功能和运行管理系统，创新跨境贸易服务，提高口岸通行效能。加大对“单一窗口”业务培训和政策解读力度，为企业提供及时全面的通关便利化服务。</w:t>
      </w:r>
    </w:p>
    <w:p w14:paraId="682564D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31．落实AEO（经认证的经营者）企业便利化措施。支持和协助企业申请AEO认证，指导AEO企业申请经核准出口商，鼓励企业用好成员国降税承诺和区域原产地累积规则。</w:t>
      </w:r>
    </w:p>
    <w:p w14:paraId="7E7D8E0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32．持续提升国际陆港中心中转集散效率。推动成立昆明国际陆港集团。依托“两核两翼”战略发展规划，推动与河口、磨憨、瑞丽三大边境口岸的合作，构建“航空+铁路+公路+口岸”的国际多式联运体系。</w:t>
      </w:r>
    </w:p>
    <w:p w14:paraId="1B89693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33．强化跨境产能合作。统筹推进跨境贸易、跨境物流、跨境电商、跨境劳务等领域开放合作，促进产业转型升级。打造国际化产业集群，争取各类开放政策支持，形成产能合作示范效应。</w:t>
      </w:r>
    </w:p>
    <w:p w14:paraId="58B5119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34．积极探索自贸制度创新。聚焦RCEP（区域全面经济伙伴关系协定）综合服务示范区建设，探索国内市场规则与国际高标准经贸规则对接，纵深推进改革开放。开展QFLP（合格境外有限合伙人）境内投资试点工作，建立知识产权跨境协作和保护机制，探索形成一批可复制可推广的制度创新经验案例。</w:t>
      </w:r>
    </w:p>
    <w:p w14:paraId="3CC17995">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（六）聚焦企业服务需求，擦亮“四季如春营商环境”品牌</w:t>
      </w:r>
    </w:p>
    <w:p w14:paraId="24BC2A1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35．把昆明发展机遇转化为企业发展红利。聚焦全市主导产业发展需求和趋势，用好进出口货物“快通模式+提前报关+澜湄快线”业务模式，打造“滇中+中老铁路+磨憨—磨丁合作区”等开放组合；发挥“四区联动”、“飞地园区”优势，提速昆明承接产业转移园区、磨憨沿边产业园区建设。深化昆台产业合作，带动更多台商台企到昆投资兴业。</w:t>
      </w:r>
    </w:p>
    <w:p w14:paraId="648636B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36．集中办成10件惠企实事。围绕重大项目、优质项目需求，每年在全市范围内征集梳理10件惠企实事，扎实推进各项要素保障工作，持续打造全方位靠前服务的投资软环境，为项目建设提供有力支撑。</w:t>
      </w:r>
    </w:p>
    <w:p w14:paraId="17A27EF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37．用好一张政务服务事项清单。推动实现同一事项在全市范围内不同层级同要素管理、同标准办理。开展全市政务服务清单执行情况“回头看”专项行动，确保线下办理“最多跑一次”。</w:t>
      </w:r>
    </w:p>
    <w:p w14:paraId="0E3065D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38．及时回应企业诉求。健全政企常态化沟通交流机制，持续畅通“信、访、网、电”四位一体营商环境投诉渠道，精准开展“局长坐诊接诉”，面对面为企业纾困解难，实现“有诉必应、接诉快办”。</w:t>
      </w:r>
    </w:p>
    <w:p w14:paraId="3DDBC64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39．定期公布一批典型案例。建立案例通报机制，定期评选公布一批创新案例，通过典型引路，实现“同类事，同样办”。对不担当、不作为等损害营商环境的反面典型进行通报和曝光。</w:t>
      </w:r>
    </w:p>
    <w:p w14:paraId="251ACCE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40．提升营商环境数字化水平。应用大数据、区块链、人工智能等新技术，推动政务服务由人力服务向人机交互转变，由经验判断向数据分析转变。建成昆明市政务信息共享交换平台，重点推进城市大脑核心中枢项目建设，协调省级部门实现昆明数据回流，推动政务数据跨层级、跨部门、跨地域交换共享。</w:t>
      </w:r>
    </w:p>
    <w:p w14:paraId="508E646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41．携手企业共建共享一流营商环境。深入推进清廉云南建设昆明实践优化营商环境“暖心行动”，坚决防范靠行贿获利的“破窗效应”。修订完善昆明市亲清政商关系行为清单，规范政商交往行为。</w:t>
      </w:r>
    </w:p>
    <w:p w14:paraId="034B818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42．坚持和加强党的全面领导。健全完善“六位一体”营商环境工作体系。鼓励各级党委、政府主要负责同志多到企业现场办公，切实解决企业的急难愁盼问题。加强营商环境队伍建设，推动在优化营商环境一线考察识别干部。</w:t>
      </w:r>
    </w:p>
    <w:p w14:paraId="2C333A30">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二、保障措施</w:t>
      </w:r>
    </w:p>
    <w:p w14:paraId="3D49C57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加强组织领导。把优化营商环境作为“一把手”工程，夯实主体责任，真抓实干深化改革。加强市、县协同联动，充分调动基层优化营商环境积极性和创造性，鼓励探索创新，支持先行先试，始终保持推进营商环境改革的强劲态势。</w:t>
      </w:r>
    </w:p>
    <w:p w14:paraId="1C56AAC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压实工作责任。坚持目标导向，将工作任务事项化、清单化挂表推进。市政务服务局以“三单一函”形式对改革成效进行跟踪调度，确保工作取得实效、实现年度目标。相关工作推进落实情况每季度末月25日前反馈至市政务服务局（营商环境处，67418331）。</w:t>
      </w:r>
    </w:p>
    <w:p w14:paraId="0ADE95F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营造浓厚氛围。全市各级各部门要充分用好传统媒体和新媒体平台，加强政策发布、解读、宣传，及时总结优化营商环境改革经验，提升昆明营商环境的美誉度，厚植“人人都是营商环境，事事关乎营商环境，处处彰显营商环境”的理念和氛围。</w:t>
      </w:r>
    </w:p>
    <w:p w14:paraId="7BAC9A5D">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昆明市人民政府办公室关于支持创新型产业用地发展的指导意见</w:t>
      </w:r>
    </w:p>
    <w:p w14:paraId="72C6C2EC">
      <w:pPr>
        <w:spacing w:line="570" w:lineRule="exact"/>
        <w:ind w:firstLine="640" w:firstLineChars="200"/>
        <w:rPr>
          <w:rFonts w:ascii="Times New Roman" w:hAnsi="Times New Roman" w:eastAsia="方正仿宋简体" w:cs="Times New Roman"/>
          <w:sz w:val="32"/>
          <w:szCs w:val="22"/>
        </w:rPr>
      </w:pPr>
      <w:r>
        <w:rPr>
          <w:rFonts w:ascii="Times New Roman" w:hAnsi="Times New Roman" w:eastAsia="方正仿宋简体" w:cs="Times New Roman"/>
          <w:sz w:val="32"/>
          <w:szCs w:val="22"/>
        </w:rPr>
        <w:t>各县（市）、区人民政府，市政府各委办局，滇中新区管委会，各开发（度假）区、自贸试验（经济合作）区管委会，各直属机构：</w:t>
      </w:r>
    </w:p>
    <w:p w14:paraId="6C6130E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加快构建昆明市现代产业体系，促进创新型产业发展，进一步保障实体经济空间、集约利用国土空间和优化产业要素配置，结合昆明市实际，经市人民政府同意，现就支持昆明市创新型产业用地发展提出如下意见。</w:t>
      </w:r>
    </w:p>
    <w:p w14:paraId="3CDAC85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一、创新型产业用地的内涵及适用范围</w:t>
      </w:r>
    </w:p>
    <w:p w14:paraId="0E479777">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（一）适用范围</w:t>
      </w:r>
    </w:p>
    <w:p w14:paraId="416918C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本意见适用于五华区、盘龙区、官渡区、西山区、呈贡区、晋宁区、高新区、经开区辖区范围。滇中新区直管区范围内参照执行。创新型产业用地是指主要用于融合研发、设计、检测、小试、中试、新经济等无污染创新型产业及配套服务项目的工业用地。其项目用房包括产业用房和配套用房：</w:t>
      </w:r>
    </w:p>
    <w:p w14:paraId="4E54E87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产业用房是指直接用于项目生产、研发、设计、测试、小试、中试、勘察、检验、检测等功能用途的用房；</w:t>
      </w:r>
    </w:p>
    <w:p w14:paraId="4D9D7F2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配套用房是指为满足职住平衡、新型产业配套等需求，修建的食堂、小型商业、集体宿舍及员工倒班房等提供配套服务功能的用房。</w:t>
      </w:r>
    </w:p>
    <w:p w14:paraId="5FFBE707">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（二）用地分类</w:t>
      </w:r>
    </w:p>
    <w:p w14:paraId="286DC19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按本意见供地的项目，依据《自然资源部关于印发（国土空间调查、规划、用途管制用地用海分类指南）的通知》（自然资发〔2023〕234号），在国土空间一级“10工矿用地”类、二级“1001工业用地”类下，增设三级类“100100创新型产业用地”。</w:t>
      </w:r>
    </w:p>
    <w:p w14:paraId="26C8086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二、加强规划引导</w:t>
      </w:r>
    </w:p>
    <w:p w14:paraId="4DEC854E">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（三）规划布局管控</w:t>
      </w:r>
    </w:p>
    <w:p w14:paraId="37FCB1A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在引进创新型产业项目时，属地人民政府（管委会）应结合昆明市产业功能分区和布局结构，引导创新型产业空间合理分布，鼓励盘活存量，利用现状存量工业用地进行更新。创新型产业用地应规划布局于产业集聚、交通便捷、配套完善的产城融合区域；主城二环路以内只能利用现状存量工业用地布局创新型产业用地。除现状存量工业用地更新利用外，五华区、高新区、经开区、滇中新区直管区的创新型产业用地原则上布局于产业园区内。</w:t>
      </w:r>
    </w:p>
    <w:p w14:paraId="7D71E5A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属地人民政府（管委会）根据创新型产业用地需求，研究提出实施方案，做好具体地块的选址论证工作，进一步研究和细化创新型产业用地的适用区域、准入标准、管控要求和管控措施、明确建设规模、范围、布局和产业定位等，科学制定创新型产业用地经济技术指标，报市工业和信息化局、市自然资源规划局审查同意后，按程序纳入国土空间规划。</w:t>
      </w:r>
    </w:p>
    <w:p w14:paraId="2566D9A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再开发存量工业用地涉及“6+1”行业（有色金属冶金、石油加工、化工、焦化、电锁、制革等行业及从事过危险废物贮存、利用、处置的关闭搬迁企业）和配套服务功能的，应当按有关规定进行土壤污染状况调查及治理。</w:t>
      </w:r>
    </w:p>
    <w:p w14:paraId="479DA2F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（四）控制性指标要求</w:t>
      </w:r>
    </w:p>
    <w:p w14:paraId="49A4303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创新型产业用地的容积率原则上不低于2.0。属地人民政府（管委会）结合产业引进、城市空间形态、公共服务和市政配套承载力等要求，在控制性详细规划中合理确定创新型产业用地的容积率、建筑密度、建筑高度等规划指标。</w:t>
      </w:r>
    </w:p>
    <w:p w14:paraId="0F7BFD41">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（五）规划审批要求</w:t>
      </w:r>
    </w:p>
    <w:p w14:paraId="4A4C608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在规划审批时，应在申报规划设计方案的总平面图和单体平面图中分别列为产业用房及配套用房。产业用房的地上建筑面积不小于总地上建筑面积的70%，配套用房的地上建筑面积不大于总地上建筑面积的30%；配套用房不得单独提前建设；产业用房严禁用作住宅以及商业、餐饮、宾馆等经营性用途；创新型产业用地建筑设计宜采用公共走廊、公共卫生间式布局，不得设置出挑阳台、飘窗，不得采用住宅单元式布局和住宅套型式功能设计。配套用房鼓励按照适应性原则相对集中布局。停车位按每100平方米地上建筑面积配建0.5个停车位的标准执行。</w:t>
      </w:r>
    </w:p>
    <w:p w14:paraId="3929894F">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三、保障土地供应</w:t>
      </w:r>
    </w:p>
    <w:p w14:paraId="584A11A4">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（六）土地出让方式</w:t>
      </w:r>
    </w:p>
    <w:p w14:paraId="0F58B9F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创新型产业用地应以招标、拍卖、挂牌方式出让国有建设用地使用权，可采用长期租赁、先租后让、弹性年期方式供应。实行先租后让、招标、拍卖、挂牌程序可在租赁供应时实施，在承租方达到合同约定条件后需办理出让的，可采取协议方式出让。</w:t>
      </w:r>
    </w:p>
    <w:p w14:paraId="50B2F4C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鼓励探索“标准地”的方式供应创新型产业用地，对拟供应的创新型产业用地开展环境影响评价、节能评估、安全风险评估、地质灾害危险性评估、压覆重要矿产资源评估、考古调查勘探等前期评估工作。鼓励研究确定拟供应“标准地”的规划建设指标（包括容积率、建筑密度、绿地率、限高、配套设施比例、人防等）、环境指标（包括单位排放量、单位能耗等指标）、经济指标（包括亩均投资强度、亩均产值等）以及其他准入条件、管控和监管内容，并纳入投资监管协议管理，建成投产后，按照既定标准进行验收及后续监管。</w:t>
      </w:r>
    </w:p>
    <w:p w14:paraId="10BF716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（七）土地出让价格及城市基础设施配套费计收</w:t>
      </w:r>
    </w:p>
    <w:p w14:paraId="20B32B8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根据创新型产业用地特征，建立创新型产业差别化地价管理制度，创新型产业用地出让起价按70%工业和30%商服用地的基准地价与市场评估价两者择高确定。</w:t>
      </w:r>
    </w:p>
    <w:p w14:paraId="5C0D710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已供应土地调整为创新型产业用地的，项目开发主体应当按用途调整后的土地评估结果补缴土地出让金，如评估结果出现负值，政府不予退返土地出让金。</w:t>
      </w:r>
    </w:p>
    <w:p w14:paraId="4FFE80C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创新型产业项目的城市基础设施配套费收费标准，根据工业及其他用房收费标准收取。</w:t>
      </w:r>
    </w:p>
    <w:p w14:paraId="52280242">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（八）不动产登记</w:t>
      </w:r>
    </w:p>
    <w:p w14:paraId="2A70AAE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按本意见供地的项目，规划条件明确用地性质为创新型产业用地的，土地使用权用途按国家标准《土地利用现状分类》（GB/T21010-2017）二级类登记为“工业”，房屋、构筑物所有权用途按规划审批用途登记，在不动产权证书附记中注明“创新型产业用地”以示区别。</w:t>
      </w:r>
    </w:p>
    <w:p w14:paraId="37CEE30B">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（九）分割转让</w:t>
      </w:r>
    </w:p>
    <w:p w14:paraId="0D92783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1.创新型产业用地的配套用房不得分割转让。</w:t>
      </w:r>
    </w:p>
    <w:p w14:paraId="40A4B55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按照产业准入条件通过达产考核的项目，经属地人民政府（管委会）批准后，产业用房可按不超过项目范围内总地上建筑面积的50%分割转让，分割单元须按幢、按层确定。属地人民政府（管委会）拥有按其销售价格进行回购的优先权，属地人民政府（管委会）放弃回购的产业用房可在市场上进行转让，引进的受让企业必须符合创新型产业准入条件并与属地人民政府（管委会）签订协议。</w:t>
      </w:r>
    </w:p>
    <w:p w14:paraId="7D3EC69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产业用房在市场上进行二次转让的，转让方应将一定比例的增值收益进行分成（五华区、盘龙区、官渡区、西山区、呈贡区、晋宁区缴入市级财政，滇中新区直管区、高新区、经开区缴入同级财政），具体如下：</w:t>
      </w:r>
    </w:p>
    <w:p w14:paraId="7306CFA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完成首次转让登记未届满3年（含）的，增值收益按100%的比例上缴;（2）完成首次转让登记届满3年未满5年（含）的,增值收益按50%的比例上缴；（3）完成首次转让登记届满5年的，增值收益按20%的比例上缴。（增值收益指产业用房二次转让的交易价格扣减原销售价格及转让方受让该产业用房时已缴纳的有关税费后的余额）</w:t>
      </w:r>
    </w:p>
    <w:p w14:paraId="445B27FD">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四、完善准入制度</w:t>
      </w:r>
    </w:p>
    <w:p w14:paraId="619ABD39">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（十）严格用地准入管理</w:t>
      </w:r>
    </w:p>
    <w:p w14:paraId="0FD97CE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由市工业和信息化局会同市级有关部门制定创新型产业分类指导目录，属地人民政府（管委会）结合创新型产业用地适用区域的实际情况，进一步细化产业用地的准入门槛、管控要求和监管措施等有关准入标准。根据创新型产业用地准入标准，属地人民政府（管委会）组织进行用地准入审查，审查意见作为创新型产业用地的申请依据。创新型产业用地的开发主体及可分割用房的受让主体应为合法注册、符合准入标准且未列入失信联合惩戒黑名单的法人单位。</w:t>
      </w:r>
    </w:p>
    <w:p w14:paraId="5D12C4DA">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（十一）健全用地办理流程</w:t>
      </w:r>
    </w:p>
    <w:p w14:paraId="15AB53D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1.方案编制与申报。由拟供地储备主体、招商引资项目主体或产权主体编制创新型产业用地实施方案，向属地人民政府（管委会）提交申请。用地实施方案内容应包括申报主体资格、项目拟选址范围、上位规划情况、土地污染调查及治理措施（有土壤污染风险地块）、地块建筑和场地布局方案、产业内容、建设时序、自持比例、投资强度、年产出比、节能环保、环境影响评价等有关内容。   </w:t>
      </w:r>
    </w:p>
    <w:p w14:paraId="1088162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准入条件审查。属地人民政府（管委会）建立资格审查制度，对各类主体申报的创新型产业用地实施方案进行审查并出具意见，对符合准入条件的，方可按程序开展规划土地保障的有关工作；对不符合准入条件的，应作退回处理。</w:t>
      </w:r>
    </w:p>
    <w:p w14:paraId="08660A1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3.规划用地保障。审查通过且满足控制性详细规划管控要求的项目，按程序办理后续的规划土地手续；涉及需编制或修改控制性详细规划的，经市自然资源规划局审查同意后，按程序开展控制性详细规划编制或修改。</w:t>
      </w:r>
    </w:p>
    <w:p w14:paraId="737DD74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4.规划条件办理。有关审查通过后，各拟供地储备主体、招商引资项目主体或产权主体向属地人民政府（管委会）申请办理规划条件。高新区控制性详细规划的创新型产业用地代码由 M4 统一规范为创新型产业用地（100100），无需开展控制性详细规划修改，按本意见办理创新型产业用地规划条件。</w:t>
      </w:r>
    </w:p>
    <w:p w14:paraId="170402B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5.供地手续办理。在确定供地方案和交易条件时，应明确产业准入条件、产业内容、建设时序、自持比例、投资强度、年产出比、节能环保、分割转让要求以及相应的违约处置措施等内容，并纳入投资监管协议管理，完成土地出让金等相关税费申报缴纳后，方可办理土地供地手续。</w:t>
      </w:r>
    </w:p>
    <w:p w14:paraId="4ECA270B">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五、严格监督管理</w:t>
      </w:r>
    </w:p>
    <w:p w14:paraId="06493D4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（十二）加强后续监管</w:t>
      </w:r>
    </w:p>
    <w:p w14:paraId="394BF9A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属地人民政府（管委会）履行主体责任，按照土地出让（租赁）合同及有关的监管内容，建立全周期的创新型产业用地监管机制。在约定达产时间后3个月内，组织完成达产验收评估；加强对开发主体的生产经营活动、年产出比、节能环保、使用功能等的监管和评估，评估结果报市工业和信息化局及涉及的市级有关职能部门备案；其中在达产验收后的5年内，应分年度进行监管和评估。评估工作按“优、良、中、差”四级进行评定。</w:t>
      </w:r>
    </w:p>
    <w:p w14:paraId="0CD2E35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根据评定结果在增值收益上缴及其他政策方面给予奖惩；经评估违反监管有关内容的，给予“差”评定，由属地人民政府（管委会）责令限期整改。探索建立创新型产业用地退出机制。如有违法违规问题，由有关部门依法依规处理。对于开发主体失信行为，依法纳入昆明市公共信用信息共享平台，列入企业信用记录和信用档案，依法依规实施信用惩戒。</w:t>
      </w:r>
    </w:p>
    <w:p w14:paraId="10E6F68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六、压实工作责任</w:t>
      </w:r>
    </w:p>
    <w:p w14:paraId="150C8DB2">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rPr>
      </w:pPr>
      <w:r>
        <w:rPr>
          <w:rFonts w:hint="eastAsia" w:ascii="Times New Roman" w:hAnsi="Times New Roman" w:eastAsia="方正楷体简体" w:cs="Times New Roman"/>
          <w:b/>
          <w:kern w:val="2"/>
          <w:sz w:val="32"/>
          <w:szCs w:val="40"/>
          <w:lang w:val="en-US" w:eastAsia="zh-CN" w:bidi="ar-SA"/>
        </w:rPr>
        <w:t>（十三）落实部门职责</w:t>
      </w:r>
    </w:p>
    <w:p w14:paraId="204704E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市级部门要结合职能职责主动做好创新型产业用地的服务和保障工作，加强对创新型产业用地的规划编制、项目申报、项目审批等方面的指导和监管。市工业和信息化局负责制定创新型产业分类指导目录，对达产验收和使用功能后续监管进行指导；市自然资源规划局负责创新型产业用地规划管理、土地供应、不动产登记有关工作的指导和审查；市生态环境局负责明确创新型产业用地环保准入要求，对后续的环保监管进行指导；市滇池管理局负责审查创新型产业用地是否符合滇池保护要求及应采取的有关措施；市发展改革委负责创新型产业用地项目备案的指导和审查；市投资促进局负责创新型产业用地招商的指导；市住房城乡建设局负责创新型产业用地工程建设的指导和审查；市城市管理局负责对未经规划、建设主管部门审批擅自开工建设或未按规划、建设主管部门审批要求进行建设的违法违规行为的行政处罚。</w:t>
      </w:r>
    </w:p>
    <w:p w14:paraId="664893E6">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七、其他</w:t>
      </w:r>
    </w:p>
    <w:p w14:paraId="0F79B03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本意见自公布之日起执行。高新区已供应的创新型产业用地（M4）按《昆明高新区创新型产业用地（M4）管理实施意见（试行）》实施管理。</w:t>
      </w:r>
    </w:p>
    <w:p w14:paraId="21DA052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本意见由市自然资源规划局、市工业和信息化局负责解释。</w:t>
      </w:r>
    </w:p>
    <w:p w14:paraId="02391E3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昆明市人民政府办公室</w:t>
      </w:r>
    </w:p>
    <w:p w14:paraId="0B0DF37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2024年12月23日</w:t>
      </w:r>
    </w:p>
    <w:p w14:paraId="6F8608D7">
      <w:pPr>
        <w:widowControl/>
        <w:spacing w:line="240" w:lineRule="auto"/>
        <w:ind w:firstLine="0" w:firstLineChars="0"/>
        <w:jc w:val="left"/>
        <w:rPr>
          <w:rFonts w:ascii="Times New Roman" w:hAnsi="Times New Roman" w:eastAsia="方正仿宋简体" w:cs="Times New Roman"/>
          <w:sz w:val="32"/>
          <w:szCs w:val="22"/>
        </w:rPr>
      </w:pPr>
      <w:r>
        <w:rPr>
          <w:rFonts w:ascii="Times New Roman" w:hAnsi="Times New Roman" w:eastAsia="方正仿宋简体" w:cs="Times New Roman"/>
          <w:sz w:val="32"/>
          <w:szCs w:val="22"/>
        </w:rPr>
        <w:br w:type="page"/>
      </w:r>
    </w:p>
    <w:p w14:paraId="485D3189">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rPr>
      </w:pPr>
      <w:r>
        <w:rPr>
          <w:rFonts w:hint="eastAsia" w:ascii="Times New Roman" w:hAnsi="Times New Roman" w:eastAsia="方正小标宋简体" w:cs="Times New Roman"/>
          <w:spacing w:val="15"/>
          <w:kern w:val="2"/>
          <w:sz w:val="44"/>
          <w:szCs w:val="28"/>
          <w:lang w:val="en-US" w:eastAsia="zh-CN" w:bidi="ar-SA"/>
        </w:rPr>
        <w:t>丽江市人民政府办公室关于印发《丽江市推进民宿高质量发展试点工作方案》的通知</w:t>
      </w:r>
    </w:p>
    <w:p w14:paraId="6E1825B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来源：丽江市人民政府办公室          2025-02-10 09:56:00</w:t>
      </w:r>
    </w:p>
    <w:p w14:paraId="3DB728B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各县(区)人民政府,市直有关部门,省属驻丽有关单位:</w:t>
      </w:r>
    </w:p>
    <w:p w14:paraId="3E20677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《丽江市推进民宿高质量发展试点工作方案》已经市人民政府同意,现印发给你们,请结合实际认真抓好贯彻落实。</w:t>
      </w:r>
    </w:p>
    <w:p w14:paraId="705D215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丽江市人民政府办公室</w:t>
      </w:r>
    </w:p>
    <w:p w14:paraId="28ACDB5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2025年2月10日</w:t>
      </w:r>
    </w:p>
    <w:p w14:paraId="1CFF86DE">
      <w:pPr>
        <w:spacing w:line="570" w:lineRule="exact"/>
        <w:ind w:firstLine="640" w:firstLineChars="200"/>
        <w:rPr>
          <w:rFonts w:ascii="Times New Roman" w:hAnsi="Times New Roman" w:eastAsia="方正仿宋简体" w:cs="Times New Roman"/>
          <w:sz w:val="32"/>
          <w:szCs w:val="22"/>
        </w:rPr>
      </w:pPr>
    </w:p>
    <w:p w14:paraId="42FC9AA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丽江市推进民宿高质量发展试点工作方案</w:t>
      </w:r>
    </w:p>
    <w:p w14:paraId="09F066D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为牢牢把握省委、省政府把丽江市作为全省民宿规范发展试点的良好机遇,加强和规范民宿管理,提升民宿服务品质,进一步促进全域旅游高质量发展,根据文化和旅游部等10部门《关于促进乡村民宿高质量发展的指导意见》(文旅市场发〔2022〕77号),结合丽江实际,特制定本方案。</w:t>
      </w:r>
    </w:p>
    <w:p w14:paraId="52AB2C0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一、总体要求</w:t>
      </w:r>
    </w:p>
    <w:p w14:paraId="51C73D5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指导思想。以习近平新时代中国特色社会主义思想为指导,全面贯彻落实党的二十大和二十届二中、三中全会精神,立足丽江旅游业资源优势和市场潜力,着力提升服务品质、规范行业行为、优化营商环境、加快转型升级,构建覆盖全面、布局合理、规模适度、特色鲜明的民宿接待体系,推动民宿实现质的有效提升和量的合理增长,为全面推进乡村振兴和建设世界文化旅游名城作出积极贡献。</w:t>
      </w:r>
    </w:p>
    <w:p w14:paraId="55D57AC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发展目标。到2026年底,实现全市民宿从规模到质量的大力提升,使民宿规划更加科学、结构更加合理、发展更加有序、特色更加鲜明、内涵更加丰富、服务更加规范。力争到2026年底,新建成10个具有鲜明地方特色、有深度优质体验的精品民宿群,打造示范作用好、带动能力强、市场美誉度高的丽江民族特色民宿品牌。</w:t>
      </w:r>
    </w:p>
    <w:p w14:paraId="68373E3C">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二、适用范围</w:t>
      </w:r>
    </w:p>
    <w:p w14:paraId="46E50D5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本方案所称民宿,是指城市和乡村居民依法依规利用自己拥有所有权或者使用权的闲置土地、房屋,通过自建自营、租赁他人等形式提供住宿及配套消费,且已依法登记的住宅设施。</w:t>
      </w:r>
    </w:p>
    <w:p w14:paraId="69275BF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三、主要任务</w:t>
      </w:r>
    </w:p>
    <w:p w14:paraId="2F07E64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(一)科学规划空间布局</w:t>
      </w:r>
    </w:p>
    <w:p w14:paraId="29F98A6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是依托世界文化旅游名城规划布局,以两山、一城、两镇、三湖(玉龙雪山、老君山;大研古城;白沙古镇、束河古镇;泸沽湖、程海、拉市海)区域为重点,编制《丽江市民宿产业发展规划(2025—2026)》,与国民经济和社会发展规划、国土空间规划、交通规划等有效衔接。系统规划培育民宿精品店,打造民宿样板村,布局民宿集聚区,推动民宿集聚化、特色化、品牌化、主题化、规范化发展。二是在民宿整体规划中,同步规划周边基础设施,结合“千万工程”示范村和乡村旅居重点村建设、农村危房和农房抗震改造、农村人居环境整治提升等工作,支持民宿集聚区和样板村完善道路、供水供电、通讯网络、标识标牌、旅游厕所、停车场、污水垃圾处理设施、路灯照明系统等基础设施配套建设,系统提升周边公共服务水平。</w:t>
      </w:r>
    </w:p>
    <w:p w14:paraId="01E7304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牵头单位:市发展改革委</w:t>
      </w:r>
    </w:p>
    <w:p w14:paraId="0549500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责任单位:市文化和旅游局、市自然资源和规划局、市住房城乡建设局、市交通运输局、市农业农村局、市林草局、市生态环境局</w:t>
      </w:r>
    </w:p>
    <w:p w14:paraId="3B910A6E">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(二)摸清底数分类登记</w:t>
      </w:r>
    </w:p>
    <w:p w14:paraId="4DC661A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组织开展民宿信息采集全量登记,摸清民宿底数。依据民宿证照完备情况及房屋安全标准,实施民宿分级管理制度,实行动态调整,促使不达标民宿达标转化,持续扩大合规民宿的规模。</w:t>
      </w:r>
    </w:p>
    <w:p w14:paraId="1C51750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牵头单位:市公安局</w:t>
      </w:r>
    </w:p>
    <w:p w14:paraId="735514E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责任单位:市自然资源和规划局、市住房城乡建设局、市生态环境局、市农业农村局、市林草局、市市场监管局、市卫生健康委、市文化和旅游局、市商务局、市消防救援支队</w:t>
      </w:r>
    </w:p>
    <w:p w14:paraId="562E365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(三)经营准入一站审批</w:t>
      </w:r>
    </w:p>
    <w:p w14:paraId="1A35777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依托政务服务中心,建立联合审批工作机制,全面梳理优化民宿手续办理材料、流程等,形成民宿开办联审表,开设民宿申办审批绿色通道,实现联合受理、联合审查、联合踏勘、一站式审批,提供便捷规范的政务服务。</w:t>
      </w:r>
    </w:p>
    <w:p w14:paraId="7359C3E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牵头单位:市政务服务管理局</w:t>
      </w:r>
    </w:p>
    <w:p w14:paraId="1CDBC9E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责任单位:市自然资源和规划局、市住房城乡建设局、市生态环境局、市农业农村局、市林草局、市市场监管局、市公安局、市卫生健康委、市文化和旅游局、市商务局、市消防救援支队</w:t>
      </w:r>
    </w:p>
    <w:p w14:paraId="5EB337D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(四)支持民宿集群发展</w:t>
      </w:r>
    </w:p>
    <w:p w14:paraId="5955124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县(区)立足实际,优化整合旅游资源,多渠道开展民宿招商引资工作;吸纳各类资本参与民宿建设,力争民宿数量有较大提升;鼓励通过连锁、加盟、合资等模式,引进品牌民宿项目和开发团队,推动丽江民族民宿品牌建设;鼓励民宿“合作社”经营模式,由合作社实行“统一宣传营销、统一门店管理、统一服务标准”的会员制经营管理,促进民宿集群化发展。</w:t>
      </w:r>
    </w:p>
    <w:p w14:paraId="20BF70F5">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牵头单位:市投资促进局</w:t>
      </w:r>
    </w:p>
    <w:p w14:paraId="003EACF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责任单位:市文化和旅游局、市商务局、市农业农村局,各县(区)人民政府</w:t>
      </w:r>
    </w:p>
    <w:p w14:paraId="7F8E785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(五)加强资金支持</w:t>
      </w:r>
    </w:p>
    <w:p w14:paraId="6F31C4A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全面优化资金配置,统筹利用各级财政衔接推进乡村振兴补助资金、东西部协作资金、定点帮扶资金等现有资金,积极争取中央预算内投资、超长期特别国债、地方政府债券等资金,在符合资金管理办法基础上,支持民宿发展中社会公益服务、公共基础设施、农业农村设施等项目建设。鼓励社会资本积极参与民宿建设。</w:t>
      </w:r>
    </w:p>
    <w:p w14:paraId="051ABB4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牵头单位:市财政局</w:t>
      </w:r>
    </w:p>
    <w:p w14:paraId="03F8812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责任单位:市发展改革委、市工业和信息化局、市农业农村局,各县(区)人民政府</w:t>
      </w:r>
    </w:p>
    <w:p w14:paraId="6127EA7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(六)加大政策推动</w:t>
      </w:r>
    </w:p>
    <w:p w14:paraId="36A2DBF4">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运用税收优惠、财政补助、贷款贴息等方式,调动农民群众、社会资本参与民宿发展;鼓励金融机构提供有利于民宿发展的金融产品;对符合条件的民宿企业,按规定享受增值税小规模纳税人减免增值税、小型微利企业所得税优惠、个体工商户经营所得减半征收个人所得税等税收优惠政策。</w:t>
      </w:r>
    </w:p>
    <w:p w14:paraId="3650FD5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牵头单位:市财政局</w:t>
      </w:r>
    </w:p>
    <w:p w14:paraId="5AE2FAF8">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责任单位:市商务局、市税务局、中国人民银行丽江市分行,各县(区)人民政府</w:t>
      </w:r>
    </w:p>
    <w:p w14:paraId="56C76FA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(七)落实监管责任</w:t>
      </w:r>
    </w:p>
    <w:p w14:paraId="3CA3453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职能部门要结合自身职责,进一步规范民宿经营服务行为,指导民宿产业健康有序发展。一是严格落实登记制度,引导和支持民宿经营者按照行业标准规范经营管理;二是严格落实治安和消防管理,指导、督促民宿建立各项安全管理制度和落实安全防范措施;定期组织消防救援和应急培训,确保消防设施完好,人员熟知消防知识、熟练灭火求生技能。三是严格落实食品安全监管,查处无照、无证经营行为。四是严格落实房屋安全监测,设立房屋安全业主咨询窗口,公布名录,指导业主开展安全鉴定。五是严格落实环境保护监管,完善各类污染防治措施,加强水源监管和排污检测,指导民宿经营者配备必须环保设施设备。六是严格落实日常巡查,加强日常巡查管理,指导民宿依法取得建筑工程施工许可证或房屋安全鉴定合格证明,及时纠正违法经营行为。</w:t>
      </w:r>
    </w:p>
    <w:p w14:paraId="14A7750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牵头单位:市公安局</w:t>
      </w:r>
    </w:p>
    <w:p w14:paraId="0FE268C3">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责任单位:市住房城乡建设局、市应急管理局、市卫生健康委、市市场监管局、市文化和旅游局、市生态环境局、市农业农村局、市林草局、市消防救援支队,各县(区)人民政府</w:t>
      </w:r>
    </w:p>
    <w:p w14:paraId="5242339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(八)打造特色精品民宿</w:t>
      </w:r>
    </w:p>
    <w:p w14:paraId="52B3595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深入挖掘丽江特色历史文化、边屯文化、民族文化、民俗礼仪等文化元素融入民宿开发建设;鼓励支持民宿与非遗传承人、特色工艺传承人、非遗传习基地开发研学民宿、亲子民宿等;鼓励民宿集聚区依法依规开展住宿、餐饮、游乐、体验等分类经营,构建分工明确、各负其责、有序发展的宿集新模式。</w:t>
      </w:r>
    </w:p>
    <w:p w14:paraId="06FD681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牵头单位:市文化和旅游局</w:t>
      </w:r>
    </w:p>
    <w:p w14:paraId="09D881F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责任单位:市农业农村局、市商务局、市市场监管局,各县(区)人民政府</w:t>
      </w:r>
    </w:p>
    <w:p w14:paraId="1A64BED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(九)建强队伍规范管理</w:t>
      </w:r>
    </w:p>
    <w:p w14:paraId="673355B1">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是在民宿企业相对集中区域,组织民宿从业人员、景区志愿者、巡逻警力、一村一辅警、属地综治中心等多方力量,共同组建素质过硬的志愿者服务队,开展治安防控、矛盾纠纷化解、消防巡查和初期火灾扑救,服务企业、服务游客等工作,以群防群控为基础,调动群众的内在潜力,着力打造“共建共治共享”的社会治理格局。二是组织文旅、公安、消防、住建、自规、卫健、市场监管、农业农村等部门联合执法,围绕民宿内餐饮油烟、垃圾分类、食品安全、消防安全、治安管理等方面进行“双随机、一公开”检查,针对发现的隐患现场给予指导,督促民宿经营单位规范操作,并责令其限期改正;对违法违规经营行为依法依规查处,并公示行政处罚信息,对严重违法失信者实施联合惩戒。建立以信用监管为基础的监管机制,推行“红黑榜积分制”,定期通报违规事件处理情况。三是制定《丽江市民宿初次轻微违法行为不予处罚事项清单》,对初次轻微违法情形,且符合适用条件的,不予行政处罚。对当事人的违法行为依法不予行政处罚的,灵活运用引导、说服、教育等非强制性执法方式,从源头上防止和减少违法行为,引导经营主体强化法律意识、诚信意识,促进严格规范公正文明执法,为民宿高质量发展创造良好的法治环境。四是按季度组织对民宿开展治安状况评星,用绿色、黄色、红色3色开展分类治安监管,督促民宿加强自身安全措施,提供高品质安全服务。</w:t>
      </w:r>
    </w:p>
    <w:p w14:paraId="1B21250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牵头单位:市文化和旅游局、市公安局</w:t>
      </w:r>
    </w:p>
    <w:p w14:paraId="6B151B40">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责任单位:市市场监管局、市自然资源和规划局、市生态环境局、市住房城乡建设局、市农业农村局、市卫生健康委、市税务局、市消防救援支队、团市委,各县(区)人民政府</w:t>
      </w:r>
    </w:p>
    <w:p w14:paraId="315DE16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(十)建设数据共享机制</w:t>
      </w:r>
    </w:p>
    <w:p w14:paraId="60E0D02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以基础摸排备案数据和公安入住登记数为依据,在确保数据安全和保护公民隐私的基础上,定期向税务、文旅、市场监管、消防等部门提供入住统计数字,各职能部门根据推送数量,依照职责职能和有关行业标准规范,开展事中、事后监督管理。</w:t>
      </w:r>
    </w:p>
    <w:p w14:paraId="548741E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牵头单位:市公安局</w:t>
      </w:r>
    </w:p>
    <w:p w14:paraId="07DB477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责任单位:市文化和旅游局、市市场监管局、市住房城乡建设局、市农业农村局、市税务局、市消防救援支队</w:t>
      </w:r>
    </w:p>
    <w:p w14:paraId="7D0D37C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(十一)引导行业自律规范</w:t>
      </w:r>
    </w:p>
    <w:p w14:paraId="30A2A2C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是在线旅游经营服务平台企业为民宿企业提供预订服务的,应按规定对民宿经营者进行实名登记和经营资质审核,防止人企不符、证照不全的民宿企业通过网络平台从事相关经营活动。未获得国家旅游住宿等级的旅游住宿单位,不得使用相关称谓和标识。民宿经营者提供汽车租赁、婚纱摄影及其他娱乐休闲服务等内容的,须取得相关资质后方可开展相关业务,并严格遵守相关行业管理的法规和规范,不断提升服务品质,打造服务品牌。二是发挥好丽江市民宿行业协会作用,制定服务规范,参与民宿等级的评定和复核,为会员提供信息咨询、产品推广、培训交流、争议协调等服务,指导会员依法诚信经营、依法纳税、依法纳统,增强民宿自我管理、自我发展能力。</w:t>
      </w:r>
    </w:p>
    <w:p w14:paraId="2A608C0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牵头单位:市文化和旅游局</w:t>
      </w:r>
    </w:p>
    <w:p w14:paraId="2F42507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责任单位:市市场监管局、市商务局、市交通运输局、市税务局,各县(区)人民政府</w:t>
      </w:r>
    </w:p>
    <w:p w14:paraId="075EF292">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(十二)夯实人才支撑举措</w:t>
      </w:r>
    </w:p>
    <w:p w14:paraId="59364DCD">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做强民宿产业人才建设,引导文化、科技、设计等专业人才,参与民宿项目的投资开发和运营管理。鼓励文创团队、民宿团队入驻丽江,为民宿产业发展提供智力支撑和专业服务。由行业主管部门定期开展民宿产业相关技能培训,积极在民宿相对集中区域开办专场培训班,不断提高民宿管理服务水平。发挥本土人才力量,利用民宿产业就业方式灵活等特点,引导当地居民从事民宿服务工作,鼓励民宿为在校大学生提供社会实践或实习岗位。</w:t>
      </w:r>
    </w:p>
    <w:p w14:paraId="6FC702B9">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牵头单位:市人力资源社会保障局</w:t>
      </w:r>
    </w:p>
    <w:p w14:paraId="02BC38F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责任单位:市文化和旅游局、市商务局、市住房城乡建设局、团市委,各县(区)人民政府</w:t>
      </w:r>
    </w:p>
    <w:p w14:paraId="67355AD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四、实施步骤</w:t>
      </w:r>
    </w:p>
    <w:p w14:paraId="05C627F7">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(一)摸底发动阶段(2025年2月至4月)</w:t>
      </w:r>
    </w:p>
    <w:p w14:paraId="362FE576">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组建丽江市民宿高质量发展工作专班开展具体工作;市公安局组织对全市民宿全面摸底排查,汇总形成丽江市民宿基础信息台账,并落实规范登记,公示安全评星;市发展改革委组织编制《丽江市民宿产业发展规划(2025-2026)》,确定打造区域和点位;市文化和旅游局组织制定丽江市促进民宿高质量发展奖惩办法、丽江市民宿初次轻微违法行为不予处罚事项清单,组建民宿行业协会;市政务服务管理局组织制定“一站式审批”机制并启动运行。</w:t>
      </w:r>
    </w:p>
    <w:p w14:paraId="2A43EF5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(二)组织实施阶段(2025年5月至2026年9月)</w:t>
      </w:r>
    </w:p>
    <w:p w14:paraId="7183666B">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各牵头单位和责任单位根据职能职责,认领任务,细化措施,主动工作,针对推进中发现的问题,不断完善改进措施,推动任务落实。力争两年内成功打造10个精品民宿群和一批示范作用好、带动能力强、具有较高知名度和影响力的品牌民宿,全面形成布局合理、规模适度、内涵丰富、特色鲜明、服务优质的民宿发展新格局。</w:t>
      </w:r>
    </w:p>
    <w:p w14:paraId="0D4E6C5C">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(三)巩固提升阶段(2026年10月至12月)</w:t>
      </w:r>
    </w:p>
    <w:p w14:paraId="33146DF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全面梳理汇总民宿高质量发展试点工作中的好经验、好做法,总结试点工作中的路径、亮点、经验、成效,形成丽江经验供全省参考借鉴。</w:t>
      </w:r>
    </w:p>
    <w:p w14:paraId="26F132E8">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rPr>
      </w:pPr>
      <w:r>
        <w:rPr>
          <w:rFonts w:hint="eastAsia" w:ascii="Times New Roman" w:hAnsi="Times New Roman" w:eastAsia="方正黑体简体" w:cs="Times New Roman"/>
          <w:kern w:val="2"/>
          <w:sz w:val="32"/>
          <w:szCs w:val="48"/>
          <w:lang w:val="en-US" w:eastAsia="zh-CN" w:bidi="ar-SA"/>
        </w:rPr>
        <w:t>五、保障措施</w:t>
      </w:r>
    </w:p>
    <w:p w14:paraId="137D1FCF">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一)加强组织领导。建立丽江市民宿高质量发展工作专班,由副市长、市公安局局长担任召集人,市发展改革委等21家市级有关单位和各县(区)人民政府为成员。工作专班下设办公室在市公安局,由市公安局分管领导兼任办公室主任。工作专班负责民宿发展过程中重大事项的决策及管理过程中涉及全局性、政策性问题的协调和处置。</w:t>
      </w:r>
    </w:p>
    <w:p w14:paraId="484FA64A">
      <w:pPr>
        <w:spacing w:line="570" w:lineRule="exact"/>
        <w:ind w:firstLine="640" w:firstLineChars="200"/>
        <w:rPr>
          <w:rFonts w:ascii="Times New Roman" w:hAnsi="Times New Roman" w:eastAsia="方正仿宋简体" w:cs="Times New Roman"/>
          <w:sz w:val="32"/>
          <w:szCs w:val="22"/>
        </w:rPr>
      </w:pPr>
      <w:r>
        <w:rPr>
          <w:rFonts w:hint="eastAsia" w:ascii="Times New Roman" w:hAnsi="Times New Roman" w:eastAsia="方正仿宋简体" w:cs="Times New Roman"/>
          <w:sz w:val="32"/>
          <w:szCs w:val="22"/>
        </w:rPr>
        <w:t>(二)完善工作机制。建立联席会议制度,强化部门间协调联动,在规划建设、规范管理、公共服务、环境营造、数据共享、安全保障等方面同向发力,解决民宿发展中的突出问题,形成政府管理、部门联动、行业自律、企业履责、社会监督的综合治理格局。</w:t>
      </w:r>
    </w:p>
    <w:p w14:paraId="67135CE1">
      <w:pPr>
        <w:spacing w:line="570" w:lineRule="exact"/>
        <w:ind w:firstLine="640" w:firstLineChars="200"/>
        <w:rPr>
          <w:rFonts w:hint="eastAsia" w:ascii="Times New Roman" w:hAnsi="Times New Roman" w:eastAsia="方正仿宋简体" w:cs="方正仿宋简体"/>
          <w:sz w:val="32"/>
          <w:szCs w:val="32"/>
        </w:rPr>
      </w:pPr>
      <w:r>
        <w:rPr>
          <w:rFonts w:hint="eastAsia" w:ascii="Times New Roman" w:hAnsi="Times New Roman" w:eastAsia="方正仿宋简体" w:cs="Times New Roman"/>
          <w:sz w:val="32"/>
          <w:szCs w:val="22"/>
        </w:rPr>
        <w:t>(三)强化责任担当。牵头单位主动担起抓总职责,既要做好职能范围内工作,也要统筹各责任单位做好所牵头负责的全部工作,责任单位要积极配合做好相关工作,不得推诿扯皮、敷衍塞责,全力推动丽江民宿高质量发展。</w:t>
      </w:r>
    </w:p>
    <w:p w14:paraId="6E2CA65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p>
    <w:p w14:paraId="46E5CB8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p>
    <w:p w14:paraId="1472D1E7">
      <w:pPr>
        <w:widowControl w:val="0"/>
        <w:bidi w:val="0"/>
        <w:spacing w:after="80"/>
        <w:contextualSpacing/>
        <w:jc w:val="center"/>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广州市农业农村局关于开展</w:t>
      </w:r>
      <w:r>
        <w:rPr>
          <w:rFonts w:hint="default" w:ascii="Times New Roman" w:hAnsi="Times New Roman" w:eastAsia="方正小标宋简体" w:cs="Times New Roman"/>
          <w:color w:val="000000"/>
          <w:spacing w:val="-10"/>
          <w:kern w:val="28"/>
          <w:sz w:val="44"/>
          <w:szCs w:val="56"/>
          <w:lang w:val="en-US" w:eastAsia="zh-CN" w:bidi="ar-SA"/>
        </w:rPr>
        <w:t>2024—2025</w:t>
      </w:r>
      <w:r>
        <w:rPr>
          <w:rFonts w:hint="eastAsia" w:ascii="Times New Roman" w:hAnsi="Times New Roman" w:eastAsia="方正小标宋简体" w:cs="Times New Roman"/>
          <w:color w:val="000000"/>
          <w:spacing w:val="-10"/>
          <w:kern w:val="28"/>
          <w:sz w:val="44"/>
          <w:szCs w:val="56"/>
          <w:lang w:val="en-US" w:eastAsia="zh-CN" w:bidi="ar-SA"/>
        </w:rPr>
        <w:t>年广州市级财政农业农村项目（花卉产业高质量发展专题）入库申报工作的通知</w:t>
      </w:r>
    </w:p>
    <w:p w14:paraId="49D97F2A">
      <w:pPr>
        <w:spacing w:line="540" w:lineRule="atLeast"/>
        <w:jc w:val="center"/>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p>
    <w:p w14:paraId="481F5A1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各区农业农村局，各有关单位：</w:t>
      </w:r>
    </w:p>
    <w:p w14:paraId="483E7B7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为落实《广州市花卉产业高质量发展三年行动方案（2024—2026年）》（以下简称行动方案）工作部署，推动广州市花卉产业高质量发展，按照市财政局关于市级财政资金项目入库有关工作要求，现组织开展2024—2025年市级财政农业农村项目（花卉产业高质量发展专题）入库申报工作，有关工作事项通知如下。</w:t>
      </w:r>
    </w:p>
    <w:p w14:paraId="3B78AFA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黑体简体" w:cs="Times New Roman"/>
          <w:color w:val="000000"/>
          <w:sz w:val="32"/>
          <w:szCs w:val="48"/>
        </w:rPr>
        <w:t>一、总体要求</w:t>
      </w:r>
    </w:p>
    <w:p w14:paraId="6909CE2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为按时按质完成行动方案中各项政策任务，充分发挥财政资金效益，请你们高度重视，积极组织开展2024—2025年广州市级财政农业农村项目（花卉产业高质量发展专题）入库储备工作。</w:t>
      </w:r>
    </w:p>
    <w:p w14:paraId="07AACCB1">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申报2024年市级财政农业农村项目资金的项目，需2024年11月底前完成建设；申报2025年市级财政农业农村项目资金的项目，需2025年11月底前完成建设。</w:t>
      </w:r>
    </w:p>
    <w:p w14:paraId="4CBD724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所有财政资金项目均应入库，申报建设内容入库前应未开工，并按要求提供各项申报材料，形成一批成熟度高、可行性强、惠农效果好的储备项目，切实促进我市花卉产业高质量发展。</w:t>
      </w:r>
    </w:p>
    <w:p w14:paraId="73DA504A">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黑体简体" w:cs="Times New Roman"/>
          <w:color w:val="000000"/>
          <w:sz w:val="32"/>
          <w:szCs w:val="48"/>
        </w:rPr>
        <w:t>　二、申报范围</w:t>
      </w:r>
    </w:p>
    <w:p w14:paraId="1D86A32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主要包括农业产业转型升级、农业科研、农产品市场体系建设等重点类别。我局制定了《2024—2025年度广州市农业农村局市级财政预算项目（花卉产业高质量发展专题）申报储备方向清单》，明确了储备项目类别、支出内容、申报主体及相关申报要求（详见附件1）。请你们结合清单、相关政策任务及工作实际等组织开展储备工作。</w:t>
      </w:r>
    </w:p>
    <w:p w14:paraId="39CFEC4E">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（二）有以下情形的不纳入申报范围：</w:t>
      </w:r>
    </w:p>
    <w:p w14:paraId="3CA2117E">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1.申报单位被纳入严重违法失信企业名单的；</w:t>
      </w:r>
    </w:p>
    <w:p w14:paraId="6FB848E2">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2.项目用地手续不完备的；</w:t>
      </w:r>
    </w:p>
    <w:p w14:paraId="7A0AB1D2">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3.项目重复申报的；（如国家级花卉产业园专项资金已储备项目转为申报本专题资金的，则不再作为产业园专项资金储备项目）</w:t>
      </w:r>
    </w:p>
    <w:p w14:paraId="2F5D6596">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4.区财政不能保障项目评估验收经费的；</w:t>
      </w:r>
    </w:p>
    <w:p w14:paraId="305CCB0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5.项目成熟度不足的其他情形。</w:t>
      </w:r>
    </w:p>
    <w:p w14:paraId="4EB27082">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（三）“惠农政策补助补贴”“新型农业经营主体培育”“植物疫病防控”类项目按《广州市农业农村项目与资金管理办法》及其相应的项目申报文件要求入库储备。</w:t>
      </w:r>
    </w:p>
    <w:p w14:paraId="560319AA">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黑体简体" w:cs="Times New Roman"/>
          <w:color w:val="000000"/>
          <w:sz w:val="32"/>
          <w:szCs w:val="48"/>
        </w:rPr>
        <w:t>三、报送要求</w:t>
      </w:r>
    </w:p>
    <w:p w14:paraId="206FD93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（一）网上申报</w:t>
      </w:r>
    </w:p>
    <w:p w14:paraId="7744241F">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项目须通过广州市农业农村项目资金信息管理系统（https://112.94.68.237/portal，以下简称项目库系统）进行网上申报（申报样表见附件2）。各区农业农村局、区属事业单位及农业经营主体等在项目库系统通过“项目申报-在线填报-新增申报-2024年（或2025年）市级财政农业农村项目（各区项目申报储备入口）”进行申报；市农业农村局机关处室、局属单位及其他单位通过“项目申报-在线填报-新增申报-2024年（或2025年）市级财政农业农村项目（市级项目申报储备入口）”进行申报。之前已入库未批复安排项目需重新核实支出内容、预算明细等进行修改完善后申报。</w:t>
      </w:r>
    </w:p>
    <w:p w14:paraId="3CAF2CD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市、区农业农村局对申报入库项目进行审核，指导申报单位按有关规定对项目内容以及资金使用绩效目标等进行修改完善。审核通过的，由市、区农业农村局经项目库系统纳入本级储备库；对需要修改的，退回申报单位修改；对不符合通知要求或相关规定的，予以淘汰。</w:t>
      </w:r>
    </w:p>
    <w:p w14:paraId="707497D0">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（二）申报材料</w:t>
      </w:r>
    </w:p>
    <w:p w14:paraId="00E58A96">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1.申报公文及《202X年度市级财政预算项目入库储备汇总表》（附件3），由区农业农村局、各有关单位汇总本辖区或本单位项目后正式报送市农业农村局。</w:t>
      </w:r>
    </w:p>
    <w:p w14:paraId="545AD20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2.申报项目需在项目库系统上传提供以下材料，材料不齐全的不予立项：</w:t>
      </w:r>
    </w:p>
    <w:p w14:paraId="0A1C780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（1）主体身份信息材料（列明营业执照、身份证号等）；</w:t>
      </w:r>
    </w:p>
    <w:p w14:paraId="1431AA8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（2）需要使用土地的，须对照我市规划和自然资源、农业农村、林业园林等部门的相关规定，提供土地流转合同、设施农业用地备案、建设用地报批等方面的证明材料；</w:t>
      </w:r>
    </w:p>
    <w:p w14:paraId="1B435316">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（3）申报现代农业设施建设类项目的，须附送项目实施方案（提纲见附件4）；</w:t>
      </w:r>
    </w:p>
    <w:p w14:paraId="5C1DDA11">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（4）《广州市农业农村财政资金项目申报承诺书》（附件5，模板可在项目库系统中下载）。</w:t>
      </w:r>
    </w:p>
    <w:p w14:paraId="19C48AE1">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（三）申报时限</w:t>
      </w:r>
    </w:p>
    <w:p w14:paraId="0FF5AC2A">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度项目申报受理截止时间为2024年8月15日，请各区农业农村局、各有关单位务必在2024年8月18日前将申报公文、《2024年度市级财政预算项目申报入库汇总表》等相关申报材料报送市农业农村局；2025年度项目申报受理截止时间为2024年8月25日，请各区农业农村局、各有关单位务必在2024年8月30日前将申报公文、《2025年度市级财政预算项目申报入库汇总表》等相关申报材料报送市农业农村局。</w:t>
      </w:r>
    </w:p>
    <w:p w14:paraId="13884AA1">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附件：1.</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"https://cms.gz.gov.cn/gzzcwjk/storage/material/2024/08/09/f13c3bc45bed08e98ad2e9e1a51d262c.xlsx"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202X年度广州市农业农村局市级财政预算项目（花卉产业高质量发展）申报储备方向清单.xlsx</w:t>
      </w:r>
      <w:r>
        <w:rPr>
          <w:rFonts w:hint="eastAsia" w:ascii="Times New Roman" w:hAnsi="Times New Roman" w:eastAsia="方正仿宋简体" w:cs="Times New Roman"/>
          <w:color w:val="000000"/>
          <w:kern w:val="0"/>
          <w:sz w:val="32"/>
          <w:szCs w:val="32"/>
          <w:u w:val="single"/>
        </w:rPr>
        <w:fldChar w:fldCharType="end"/>
      </w:r>
    </w:p>
    <w:p w14:paraId="54A6E41D">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2.广州市级财政补助农业农村项目申报表（样表）</w:t>
      </w:r>
    </w:p>
    <w:p w14:paraId="0C792A55">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3.202X年度市级财政预算项目（花卉产业高质量发展专题）入库储备汇总表</w:t>
      </w:r>
    </w:p>
    <w:p w14:paraId="4C305AA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4.农业设施建设项目实施方案（编写提纲）</w:t>
      </w:r>
    </w:p>
    <w:p w14:paraId="365983EE">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5.广州市农业农村财政资金项目申报承诺书</w:t>
      </w:r>
    </w:p>
    <w:p w14:paraId="1488DA33">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"https://cms.gz.gov.cn/gzzcwjk/storage/material/2024/08/09/8a08871dca49a7cce483e93def94da1c.docx"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附件2-5.docx</w:t>
      </w:r>
      <w:r>
        <w:rPr>
          <w:rFonts w:hint="eastAsia" w:ascii="Times New Roman" w:hAnsi="Times New Roman" w:eastAsia="方正仿宋简体" w:cs="Times New Roman"/>
          <w:color w:val="000000"/>
          <w:kern w:val="0"/>
          <w:sz w:val="32"/>
          <w:szCs w:val="32"/>
          <w:u w:val="single"/>
        </w:rPr>
        <w:fldChar w:fldCharType="end"/>
      </w:r>
    </w:p>
    <w:p w14:paraId="7EAFE943">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广州市农业农村局</w:t>
      </w:r>
    </w:p>
    <w:p w14:paraId="48D746DD">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2024年8月8日</w:t>
      </w:r>
    </w:p>
    <w:p w14:paraId="15E6B01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（联系人：宿庆连，联系方式：31215694）</w:t>
      </w:r>
    </w:p>
    <w:p w14:paraId="43C23EAE">
      <w:pPr>
        <w:rPr>
          <w:rFonts w:ascii="Times New Roman" w:hAnsi="Times New Roman" w:eastAsia="方正仿宋简体" w:cs="Times New Roman"/>
          <w:color w:val="000000"/>
          <w:sz w:val="32"/>
          <w:szCs w:val="32"/>
        </w:rPr>
      </w:pPr>
    </w:p>
    <w:p w14:paraId="4B110F24">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广州市工业和信息化局关于印发《广州市推动物联网产业高质量发展行动计划（</w:t>
      </w:r>
      <w:r>
        <w:rPr>
          <w:rFonts w:hint="default" w:ascii="Times New Roman" w:hAnsi="Times New Roman" w:eastAsia="方正小标宋简体" w:cs="Times New Roman"/>
          <w:color w:val="000000"/>
          <w:spacing w:val="-10"/>
          <w:kern w:val="28"/>
          <w:sz w:val="44"/>
          <w:szCs w:val="56"/>
          <w:lang w:val="en-US" w:eastAsia="zh-CN" w:bidi="ar-SA"/>
        </w:rPr>
        <w:t>2024-2028</w:t>
      </w:r>
      <w:r>
        <w:rPr>
          <w:rFonts w:hint="eastAsia" w:ascii="Times New Roman" w:hAnsi="Times New Roman" w:eastAsia="方正小标宋简体" w:cs="Times New Roman"/>
          <w:color w:val="000000"/>
          <w:spacing w:val="-10"/>
          <w:kern w:val="28"/>
          <w:sz w:val="44"/>
          <w:szCs w:val="56"/>
          <w:lang w:val="en-US" w:eastAsia="zh-CN" w:bidi="ar-SA"/>
        </w:rPr>
        <w:t>年）》的通知</w:t>
      </w:r>
    </w:p>
    <w:p w14:paraId="6C78979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各区政府，各有关单位：</w:t>
      </w:r>
    </w:p>
    <w:p w14:paraId="4AE6B79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经市人民政府同意，现将《广州市推动物联网产业高质量发展行动计划（2024-2028年）》印发给你们，请遵照执行。执行中遇到问题，请径向市工业和信息化局反映。</w:t>
      </w:r>
    </w:p>
    <w:p w14:paraId="4A5F5260">
      <w:pPr>
        <w:widowControl/>
        <w:spacing w:line="480" w:lineRule="auto"/>
        <w:rPr>
          <w:rFonts w:hint="eastAsia" w:ascii="Times New Roman" w:hAnsi="Times New Roman" w:eastAsia="方正仿宋简体" w:cs="宋体"/>
          <w:color w:val="000000"/>
          <w:kern w:val="0"/>
          <w:sz w:val="32"/>
          <w:szCs w:val="32"/>
        </w:rPr>
      </w:pPr>
    </w:p>
    <w:p w14:paraId="7B1A3D91">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广州市工业和信息化局</w:t>
      </w:r>
    </w:p>
    <w:p w14:paraId="4A5CDB9E">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2024年8月16日</w:t>
      </w:r>
    </w:p>
    <w:p w14:paraId="151865A9">
      <w:pPr>
        <w:widowControl/>
        <w:spacing w:line="480" w:lineRule="auto"/>
        <w:jc w:val="right"/>
        <w:rPr>
          <w:rFonts w:hint="eastAsia" w:ascii="Times New Roman" w:hAnsi="Times New Roman" w:eastAsia="方正仿宋简体" w:cs="宋体"/>
          <w:color w:val="000000"/>
          <w:kern w:val="0"/>
          <w:sz w:val="32"/>
          <w:szCs w:val="32"/>
        </w:rPr>
      </w:pPr>
    </w:p>
    <w:p w14:paraId="61306345">
      <w:pPr>
        <w:widowControl/>
        <w:spacing w:line="480" w:lineRule="auto"/>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广州市推动物联网产业高质量发展行动计划（2024-2028年）</w:t>
      </w:r>
    </w:p>
    <w:p w14:paraId="72916C7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习近平总书记关于制造强国、网络强国、数字中国的重要论述，加快发展以物联网技术为核心的新质生产力，充分发挥物联网在推动数字经济发展、赋能传统产业转型升级方面的引领作用，结合我市实际，制定本行动计划。</w:t>
      </w:r>
    </w:p>
    <w:p w14:paraId="1A0C6F5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黑体简体" w:cs="Times New Roman"/>
          <w:color w:val="000000"/>
          <w:sz w:val="32"/>
          <w:szCs w:val="48"/>
        </w:rPr>
        <w:t>一、工作思路</w:t>
      </w:r>
    </w:p>
    <w:p w14:paraId="0EB30ED0">
      <w:pPr>
        <w:widowControl/>
        <w:spacing w:line="480" w:lineRule="auto"/>
        <w:rPr>
          <w:rFonts w:hint="eastAsia" w:ascii="Times New Roman" w:hAnsi="Times New Roman" w:eastAsia="等线" w:cs="Times New Roman"/>
          <w:color w:val="000000"/>
          <w:szCs w:val="22"/>
        </w:rPr>
      </w:pPr>
      <w:r>
        <w:rPr>
          <w:rFonts w:hint="eastAsia" w:ascii="Times New Roman" w:hAnsi="Times New Roman" w:eastAsia="方正仿宋简体" w:cs="宋体"/>
          <w:color w:val="000000"/>
          <w:kern w:val="0"/>
          <w:sz w:val="32"/>
          <w:szCs w:val="32"/>
        </w:rPr>
        <w:t>　　以习近平新时代中国特色社会主义思想为指导，主动把握万物智联时代人工智能等新技术加速突破、“数+碳”转型赋能发展机遇，以智能传感器和智能物联网操作系统为技术底座推动高水平科技自立自强，加速推进全面感知、泛在连接、安全可信的物联网新型基础设施建设，促进物联网应用在制造业、智慧城市、智能网联汽车、低空经济等领域的全面创新发展，加快赋能新型工业化建设，打造具有国际竞争力的物联网技术创新策源地、物联网产业发展高地、物联网创新应用示范地，建设智能物联网之城。</w:t>
      </w:r>
    </w:p>
    <w:p w14:paraId="06D7E594">
      <w:pPr>
        <w:widowControl/>
        <w:spacing w:line="480" w:lineRule="auto"/>
        <w:rPr>
          <w:rFonts w:hint="eastAsia" w:ascii="Times New Roman" w:hAnsi="Times New Roman" w:eastAsia="方正仿宋简体" w:cs="宋体"/>
          <w:b/>
          <w:bCs/>
          <w:color w:val="000000"/>
          <w:kern w:val="36"/>
          <w:sz w:val="32"/>
          <w:szCs w:val="32"/>
        </w:rPr>
      </w:pPr>
      <w:r>
        <w:rPr>
          <w:rFonts w:hint="eastAsia" w:ascii="Times New Roman" w:hAnsi="Times New Roman" w:eastAsia="方正黑体简体" w:cs="Times New Roman"/>
          <w:color w:val="000000"/>
          <w:sz w:val="32"/>
          <w:szCs w:val="48"/>
        </w:rPr>
        <w:t>　　二、工作目标</w:t>
      </w:r>
    </w:p>
    <w:p w14:paraId="1B66186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构建“1234”物联网产业发展工作体系，依托全国先进制造业基地和中国软件名城的发展优势，围绕全面建成数产融合的全球标杆城市“一个目标”，聚焦智能传感器、智能物联网操作系统软硬协同“两大底座”，开展实施产业集群培育、基础设施建设、示范应用引领“三大工程”，重点推动增城区、黄埔区、海珠区、番禺区打造“四区支撑”、多业并举的产业发展格局，建设自主创新、融合应用、竞争力强的物联网全产业链群。</w:t>
      </w:r>
    </w:p>
    <w:p w14:paraId="146909A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到2028年，建设2个以上物联网产业相关的特色园区，培育不少于150家物联网相关的专精特新“小巨人”企业，形成300个以上可复制、可推广的物联网应用典型案例，技术改造投资实现倍增。</w:t>
      </w:r>
    </w:p>
    <w:p w14:paraId="0AFC184B">
      <w:pPr>
        <w:widowControl/>
        <w:spacing w:line="480" w:lineRule="auto"/>
        <w:rPr>
          <w:rFonts w:hint="eastAsia" w:ascii="Times New Roman" w:hAnsi="Times New Roman" w:eastAsia="方正仿宋简体" w:cs="宋体"/>
          <w:b/>
          <w:bCs/>
          <w:color w:val="000000"/>
          <w:kern w:val="36"/>
          <w:sz w:val="32"/>
          <w:szCs w:val="32"/>
        </w:rPr>
      </w:pPr>
      <w:r>
        <w:rPr>
          <w:rFonts w:hint="eastAsia" w:ascii="Times New Roman" w:hAnsi="Times New Roman" w:eastAsia="方正仿宋简体" w:cs="宋体"/>
          <w:b/>
          <w:bCs/>
          <w:color w:val="000000"/>
          <w:kern w:val="36"/>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Times New Roman"/>
          <w:color w:val="000000"/>
          <w:sz w:val="32"/>
          <w:szCs w:val="48"/>
        </w:rPr>
        <w:t>三、工作任务</w:t>
      </w:r>
    </w:p>
    <w:p w14:paraId="7D628915">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（一）打造自主创新技术支撑</w:t>
      </w:r>
    </w:p>
    <w:p w14:paraId="1E01B4B7">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1.推进物联网芯片研发。</w:t>
      </w:r>
      <w:r>
        <w:rPr>
          <w:rFonts w:hint="eastAsia" w:ascii="Times New Roman" w:hAnsi="Times New Roman" w:eastAsia="方正仿宋简体" w:cs="宋体"/>
          <w:color w:val="000000"/>
          <w:kern w:val="0"/>
          <w:sz w:val="32"/>
          <w:szCs w:val="32"/>
        </w:rPr>
        <w:t>组织实施《广州市关于聚焦特色工艺半导体产业高质量发展的若干措施》，持续壮大我市特色工艺半导体产业，助力广州打造国家集成电路产业发展“第三极”核心承载区。积极引进和培育物联网芯片企业。支持广汽集团联合产业上下游企业开展关键零部件协同攻关，提升产业链安全韧性水平。（市工业和信息化局牵头，市科技局配合）</w:t>
      </w:r>
    </w:p>
    <w:p w14:paraId="6FEBD02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2.建设智能传感器发展高地。</w:t>
      </w:r>
      <w:r>
        <w:rPr>
          <w:rFonts w:hint="eastAsia" w:ascii="Times New Roman" w:hAnsi="Times New Roman" w:eastAsia="方正仿宋简体" w:cs="宋体"/>
          <w:color w:val="000000"/>
          <w:kern w:val="0"/>
          <w:sz w:val="32"/>
          <w:szCs w:val="32"/>
        </w:rPr>
        <w:t>规划布局广州智能传感器产业园，锚定以智能传感器等为主的集成电路特色产业布局，高标准建设增城泛半导体（智能传感器）省级特色园。加快推进增芯、越海、中微广州、广东工研院中试线、智达星空科技等泛半导体产业重点项目建设，打造智能传感器制造、高端装备、材料、先进封装测试的全产业链集群。推动黄埔湾区集成电路产业园建设，面向智能传感器产业链关键环节开展研发创新、技术攻关和产业化发展。（市工业和信息化局牵头，增城区、黄埔区政府配合）</w:t>
      </w:r>
    </w:p>
    <w:p w14:paraId="373AB4B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3.推进开源鸿蒙生态建设。</w:t>
      </w:r>
      <w:r>
        <w:rPr>
          <w:rFonts w:hint="eastAsia" w:ascii="Times New Roman" w:hAnsi="Times New Roman" w:eastAsia="方正仿宋简体" w:cs="宋体"/>
          <w:color w:val="000000"/>
          <w:kern w:val="0"/>
          <w:sz w:val="32"/>
          <w:szCs w:val="32"/>
        </w:rPr>
        <w:t>强化与龙头企业战略合作，推动共建广州市开源鸿蒙生态创新中心，搭建生态构建、技术评测、产业聚集、技术创新、人才培养和行业创新等服务平台。推动广州市企业与开源项目合作，面向行业应用场景和消费等领域，开发开源鸿蒙等物联网操作系统商业发行版，打造广州特色的物联网开源生态。开展广州市软件特色园入库工作，推动特色园汇聚开源鸿蒙商用发行版企业、原生应用企业及其他公共服务机构入驻，加强应用供给能力。（市工业和信息化局牵头，各区政府配合）</w:t>
      </w:r>
    </w:p>
    <w:p w14:paraId="59E6697D">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（二）培育高端高智的物联网产业集群</w:t>
      </w:r>
    </w:p>
    <w:p w14:paraId="3E9C61C2">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4.推动新型显示产业基地建设。</w:t>
      </w:r>
      <w:r>
        <w:rPr>
          <w:rFonts w:hint="eastAsia" w:ascii="Times New Roman" w:hAnsi="Times New Roman" w:eastAsia="方正仿宋简体" w:cs="宋体"/>
          <w:color w:val="000000"/>
          <w:kern w:val="0"/>
          <w:sz w:val="32"/>
          <w:szCs w:val="32"/>
        </w:rPr>
        <w:t>推动超视界第10.5代面板、广州国显AMOLED模组、广州华星T9、广州创维智能产业创新基地、视源电子智能制造及中试基地等重大项目加快建设及产能释放。推动超高清视频产业发展与智能传感器应用的相互促进。（市工业和信息化局牵头，黄埔区、增城区政府配合）</w:t>
      </w:r>
    </w:p>
    <w:p w14:paraId="3E5153E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5.打造物联网软件产业集群。</w:t>
      </w:r>
      <w:r>
        <w:rPr>
          <w:rFonts w:hint="eastAsia" w:ascii="Times New Roman" w:hAnsi="Times New Roman" w:eastAsia="方正仿宋简体" w:cs="宋体"/>
          <w:color w:val="000000"/>
          <w:kern w:val="0"/>
          <w:sz w:val="32"/>
          <w:szCs w:val="32"/>
        </w:rPr>
        <w:t>遴选一批物联网操作系统领域的创新研发项目，对符合条件的项目按《广州市重点领域研发计划优化提升方案》予以支持。（市科技局牵头）支持将自主创新技术路线的物联网软件产品纳入我市首版次软件研发项目支持范围。加快推进省核心软件攻关和应用推广，依托粤港澳大湾区国家技术创新中心工业软件发展中心、中国工业互联网研究院广东分院、华为（白云）工业互联网创新中心等载体，推动工业软件、工业互联网与开源鸿蒙生态融合创新。（市工业和信息化局、科技局牵头）</w:t>
      </w:r>
    </w:p>
    <w:p w14:paraId="244C867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6.培育人工智能物联网产业。</w:t>
      </w:r>
      <w:r>
        <w:rPr>
          <w:rFonts w:hint="eastAsia" w:ascii="Times New Roman" w:hAnsi="Times New Roman" w:eastAsia="方正仿宋简体" w:cs="宋体"/>
          <w:color w:val="000000"/>
          <w:kern w:val="0"/>
          <w:sz w:val="32"/>
          <w:szCs w:val="32"/>
        </w:rPr>
        <w:t>高水平建设国家新一代人工智能创新发展试验区、国家人工智能创新应用先导区。遴选汽车、装备、家居、能源等行业骨干制造企业，协同人工智能大模型企业，集成自主创新智能传感器和操作系统，共同打造行业大模型共性解决方案。支持省级人工智能产业园区提质增效，加快中国人工智能（广州）产业园建设。建设人工智能与数字经济广东省实验室（广州），加强大模型关键技术攻关，支持研发具有多模态数据、知识深度融合的垂直领域大模型。（市工业和信息化局牵头，海珠区、增城区、黄埔区、番禺区政府配合）</w:t>
      </w:r>
    </w:p>
    <w:p w14:paraId="25CE003C">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（三）夯实物联网基础设施根基</w:t>
      </w:r>
    </w:p>
    <w:p w14:paraId="434CE24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7.提升信息网络枢纽能级。</w:t>
      </w:r>
      <w:r>
        <w:rPr>
          <w:rFonts w:hint="eastAsia" w:ascii="Times New Roman" w:hAnsi="Times New Roman" w:eastAsia="方正仿宋简体" w:cs="宋体"/>
          <w:color w:val="000000"/>
          <w:kern w:val="0"/>
          <w:sz w:val="32"/>
          <w:szCs w:val="32"/>
        </w:rPr>
        <w:t>推进南沙（粤港澳）数据服务试验区建设。（南沙区牵头，市工业和信息化局、政务和数据局配合）持续推进5G网络覆盖，专题开展重点场所专项优化行动，进一步提升应用需求场所的网络覆盖质量。有序推动智慧灯杆试点，强化5G网络站址供给和支撑智能网联汽车等路面应用发展。探索推进5G-A、卫星互联网等新一代通信技术布局，推动多通信手段融合应用。（市工业和信息化局牵头，各区政府配合）</w:t>
      </w:r>
    </w:p>
    <w:p w14:paraId="113B54B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8.全面发展融合基础设施。</w:t>
      </w:r>
      <w:r>
        <w:rPr>
          <w:rFonts w:hint="eastAsia" w:ascii="Times New Roman" w:hAnsi="Times New Roman" w:eastAsia="方正仿宋简体" w:cs="宋体"/>
          <w:color w:val="000000"/>
          <w:kern w:val="0"/>
          <w:sz w:val="32"/>
          <w:szCs w:val="32"/>
        </w:rPr>
        <w:t>推进智能网联基础设施建设，开展全息感知路口试点建设，扩大5G+LTE-V2X车联网应用范围。在黄埔、海珠、花都和番禺四个示范区协同构建车联网示范应用环境。积极开展广州市智慧城市基础设施与智能网联汽车协同发展试点建设，实现路端的感知、计算、通信一体化能力建设。推动广州工业互联网标识解析国家顶级节点扩容增能，加快二级节点建设，培育建设国家级跨行业跨领域、特色专业型工业互联网平台。（市工业和信息化局、公安局、政务和数据局、交通运输局，各相关区政府按职责分工负责）</w:t>
      </w:r>
    </w:p>
    <w:p w14:paraId="062367B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9.优化算力资源布局。</w:t>
      </w:r>
      <w:r>
        <w:rPr>
          <w:rFonts w:hint="eastAsia" w:ascii="Times New Roman" w:hAnsi="Times New Roman" w:eastAsia="方正仿宋简体" w:cs="宋体"/>
          <w:color w:val="000000"/>
          <w:kern w:val="0"/>
          <w:sz w:val="32"/>
          <w:szCs w:val="32"/>
        </w:rPr>
        <w:t>探索推动智能算力协同调度，实现对全市智算资源的统筹调度，支撑人工智能物联网加速发展。推动国家超级计算广州中心、国家超算中心南沙分中心、琶洲智算中心、广州人工智能公共算力中心智算算力提质扩容。探索支持算力中心建设、运营的服务方式方法，为创新主体提供多元化优质普惠算力。统筹推进广州人工智能与数字经济试验区，支持海珠区建设人工智能大模型应用示范区。（市工业和信息化局、科技局牵头）</w:t>
      </w:r>
    </w:p>
    <w:p w14:paraId="1BE09FC4">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（四）发力全场景物联网应用示范</w:t>
      </w:r>
    </w:p>
    <w:p w14:paraId="4A8C372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10.建设智能网联汽车应用示范区。</w:t>
      </w:r>
      <w:r>
        <w:rPr>
          <w:rFonts w:hint="eastAsia" w:ascii="Times New Roman" w:hAnsi="Times New Roman" w:eastAsia="方正仿宋简体" w:cs="宋体"/>
          <w:color w:val="000000"/>
          <w:kern w:val="0"/>
          <w:sz w:val="32"/>
          <w:szCs w:val="32"/>
        </w:rPr>
        <w:t>推进智能网联汽车准入试点，加快智能网联汽车应用示范。建立健全自动驾驶法律法规，培育自动驾驶出行服务新模式新业态。支持建设广州市智能网联汽车安全监测平台，探索推进全市全域开放自动驾驶商业化示范运营。推动广州市企业加快车机App鸿蒙原生应用开发。鼓励汽车、装备、电子等企业上游零部件近地化配套，加大芯片、智能传感器等物联网相关产品采购。（市工业和信息化局牵头）</w:t>
      </w:r>
    </w:p>
    <w:p w14:paraId="0E09B5B9">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11.推进智慧城市应用示范。</w:t>
      </w:r>
      <w:r>
        <w:rPr>
          <w:rFonts w:hint="eastAsia" w:ascii="Times New Roman" w:hAnsi="Times New Roman" w:eastAsia="方正仿宋简体" w:cs="宋体"/>
          <w:color w:val="000000"/>
          <w:kern w:val="0"/>
          <w:sz w:val="32"/>
          <w:szCs w:val="32"/>
        </w:rPr>
        <w:t>建圈强链，培育物联感知产业生态。通过政府授权运营机制吸引全市物联感知领域链主企业参与建设全市物联感知体系，引导社会多元资本参与，发挥相关投资基金、中介服务机构、领军人才作用，实现投资、建设、运营一体化，逐步建立物联感知数据生产、治理、运营、收益的完整生态链，共同培育资源协同、集聚共生的物联产业生态，带动全市物联产业的高质量发展。推动开源鸿蒙技术应用。（市政务和数据局、工业和信息化局牵头）</w:t>
      </w:r>
    </w:p>
    <w:p w14:paraId="1A6F960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12.加快低空经济应用。</w:t>
      </w:r>
      <w:r>
        <w:rPr>
          <w:rFonts w:hint="eastAsia" w:ascii="Times New Roman" w:hAnsi="Times New Roman" w:eastAsia="方正仿宋简体" w:cs="宋体"/>
          <w:color w:val="000000"/>
          <w:kern w:val="0"/>
          <w:sz w:val="32"/>
          <w:szCs w:val="32"/>
        </w:rPr>
        <w:t>促进城市管理领域民用无人驾驶航空器、视频智能分析等技术的综合应用，试点开展民用无人驾驶航空器全自动航飞。推动低空数据、视频数据、物联感知数据等数据共享应用。加强低空智能航空器在国土、林业、农业、环保、交通、气象、水文、应急、公安、海关、边海防、建设、海洋、“百千万工程”等领域的应用，拓展物流配送、城市空中交通、旅游休闲等民用无人驾驶航空器商业化应用场景。（市发展改革委、工业和信息化局、规划和自然资源局、生态环境局、交通运输局、农业农村局、应急管理局、城市管理综合执法局、气象局，广州空港经济区管委会按职责分工负责）</w:t>
      </w:r>
    </w:p>
    <w:p w14:paraId="0E844C5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13.推进智能家居物联网应用。</w:t>
      </w:r>
      <w:r>
        <w:rPr>
          <w:rFonts w:hint="eastAsia" w:ascii="Times New Roman" w:hAnsi="Times New Roman" w:eastAsia="方正仿宋简体" w:cs="宋体"/>
          <w:color w:val="000000"/>
          <w:kern w:val="0"/>
          <w:sz w:val="32"/>
          <w:szCs w:val="32"/>
        </w:rPr>
        <w:t>支持龙头企业整合资源，加强产业链的整体协作，推动智能家居产业集群高质量发展。推动广州市智能家居骨干企业强化开源鸿蒙、智能传感器应用，建设智能家居生态开放平台，通过“链”式带动，带动智能家居产业基础高级化、产业链现代化。积极探索物联网产业链上下游协作共赢的新型商业模式。支持智能家居企业发展有利于扩大市场需求的物联网专业服务和增值服务，培育新兴服务产业。（市工业和信息化局牵头）</w:t>
      </w:r>
    </w:p>
    <w:p w14:paraId="171F32CF">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（五）打造物联网赋能新型工业化标杆</w:t>
      </w:r>
    </w:p>
    <w:p w14:paraId="158D9DF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14.推进新型技术改造试点。</w:t>
      </w:r>
      <w:r>
        <w:rPr>
          <w:rFonts w:hint="eastAsia" w:ascii="Times New Roman" w:hAnsi="Times New Roman" w:eastAsia="方正仿宋简体" w:cs="宋体"/>
          <w:color w:val="000000"/>
          <w:kern w:val="0"/>
          <w:sz w:val="32"/>
          <w:szCs w:val="32"/>
        </w:rPr>
        <w:t>加快创建制造业新型技术改造城市试点，全力推动“智改数转网联”新技改，带动制造业与物联网产业融合创新发展。聚焦汽车制造业、装备工业、电子产品制造业三大重点行业开展试点项目，实施一批“点、线、面”示范项目，形成可复制的方案向传统优势产业覆盖推广。推动链主企业协同人工智能大模型企业研发行业垂类大模型，建设行业工业互联网平台，实施产业链上下游协同技术改造。（市工业和信息化局牵头，各区政府配合）</w:t>
      </w:r>
    </w:p>
    <w:p w14:paraId="5E5E9BF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15.强化物联网赋能制造业生产。</w:t>
      </w:r>
      <w:r>
        <w:rPr>
          <w:rFonts w:hint="eastAsia" w:ascii="Times New Roman" w:hAnsi="Times New Roman" w:eastAsia="方正仿宋简体" w:cs="宋体"/>
          <w:color w:val="000000"/>
          <w:kern w:val="0"/>
          <w:sz w:val="32"/>
          <w:szCs w:val="32"/>
        </w:rPr>
        <w:t>实施技改投资倍增计划，促进传统优势行业结构优化、先进制造业产业效益提升。开展“四化”（数字化转型、网络化协同、智能化改造、绿色化提升）平台赋能专项行动，入库培育一批面向物联网提供综合解决方案的平台企业。遴选“四化”评估诊断服务机构，协同物联网平台企业，为工业企业量身定制个性化数字化转型升级方案。（市工业和信息化局牵头，各区政府配合）</w:t>
      </w:r>
    </w:p>
    <w:p w14:paraId="60F109E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16.建立物联网产品资源池和案例集。</w:t>
      </w:r>
      <w:r>
        <w:rPr>
          <w:rFonts w:hint="eastAsia" w:ascii="Times New Roman" w:hAnsi="Times New Roman" w:eastAsia="方正仿宋简体" w:cs="宋体"/>
          <w:color w:val="000000"/>
          <w:kern w:val="0"/>
          <w:sz w:val="32"/>
          <w:szCs w:val="32"/>
        </w:rPr>
        <w:t>开展物联网产品资源池入库工作，将智能传感器典型产品、基于开源鸿蒙操作系统研发产品纳入资源池予以重点培育。面向工业制造车联网、智能家居、能源、交通、水利水务等领域开展物联网典型案例征集，引导软件开发商和解决方案集成商应用物联网产品资源池研发物联网应用。鼓励和支持电信运营、信息服务、系统集成等企业参与物联网应用示范工程的运营和推广。（市工业和信息化局牵头，各区政府配合）</w:t>
      </w:r>
    </w:p>
    <w:p w14:paraId="415BFE7F">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Times New Roman"/>
          <w:color w:val="000000"/>
          <w:sz w:val="32"/>
          <w:szCs w:val="48"/>
        </w:rPr>
        <w:t>　四、保障措施</w:t>
      </w:r>
    </w:p>
    <w:p w14:paraId="2BC4875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加强组织保障。依托广州市先进制造业强市建设领导小组工作机制，统筹协调各方资源，明确具体的工作措施，推动落实物联网产业发展的重点任务，确保行动计划的顺利实施。加强市区联动、部门协同，强化产业发展统筹协调，加大重点项目支持力度。（市工业和信息化局牵头）各重点区要建立完善物联网产业推进机制，科学制定本区推动产业发展的具体措施，加大招商引资、载体建设、项目推进、人才培引等工作力度。（增城区、黄埔区、海珠区、番禺区政府牵头）</w:t>
      </w:r>
    </w:p>
    <w:p w14:paraId="06B4035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加强政策支持。强化与广东省物联网发展相关工作协同，积极争取省相关部门支持我市发展物联网产业和开展试点示范。（市工业和信息化局、政务和数据局牵头）在广州市现有相关财政资金中加大对物联网产业发展的支持力度，推进物联网关键核心技术研发和产业化，大力支持标准体系、创新能力平台、重大应用示范项目等建设。鼓励有条件的区给予配套资金支持。引导金融机构对物联网产业加强支持力度、提升服务水平、优化金融产品和服务。支持具有自主知识产权的物联网产品按规定进入政府采购市场。（市委金融办，市发展改革委、科技局、工业和信息化局、财政局、市场监管局按职责分工负责）</w:t>
      </w:r>
    </w:p>
    <w:p w14:paraId="4647441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加强产业引培。深入推进“链长制”，以“链主”企业为牵引，支持链主企业建设产业园区、创新平台、孵化基地集聚生态，提升上下游产业链协同创新和制造能力，促进生态形成闭环。着力引进一批国内外头部企业，鼓励在穗设立总部或区域总部。制定产业链关键招商企业清单，联合龙头企业开展产业链宣传推介和项目洽谈，积极利用股权投资方式吸引项目落地。（市工业和信息化局牵头，市商务局、各区政府配合）</w:t>
      </w:r>
    </w:p>
    <w:p w14:paraId="51FDE79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加强科技创新。围绕我市物联网产业重点领域，支持产业链上下游企业加强产业协同和技术合作，发挥行业协会、产业联盟的桥梁作用，打造占据科技竞争和未来发展制高点的物联网创新产业集群。鼓励各预算单位按照《政府采购合作创新采购方式管理暂行办法》等规定，采购创新产品，实施产业基础再造工程，建设一批国家、省级制造业创新中心，推动国家制造业创新成果产业化试点。（市科技局牵头，市工业和信息化局、财政局配合）</w:t>
      </w:r>
    </w:p>
    <w:p w14:paraId="7439017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加强人才支撑。发挥市重大人才工程引领作用，搭建物联网人才智库平台，聚焦“高精尖缺”引进物联网领域的战略科学家、科技领军人才和创新团队。落实国家、省关于深化工程技术人才职称制度改革部署，积极开展物联网、人工智能、工业软件等专业职称评审。支持有条件的高校申报国家特色化示范性软件学院。加强物联网产业培养实践基地、产教融合基地建设。（市委组织部，市教育局、科技局、工业和信息化局、人力资源社会保障局按职责分工负责）</w:t>
      </w:r>
    </w:p>
    <w:p w14:paraId="37CEE0F6">
      <w:pPr>
        <w:widowControl/>
        <w:spacing w:line="480" w:lineRule="auto"/>
        <w:ind w:firstLine="48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六）优化发展环境。支持广州市物联网产业相关服务机构设立，搭建由政府、企业、科研院所、科技园区、服务机构等参与的服务平台。组织开展物联网相关的名企、名品宣传，帮助企业和软件产品提升知名度。加强知识产权保护，持续优化营商环境，推动开源治理制度和管理规范完善，探索开源生态发展模式。深化粤港澳大湾区物联网产业链合作，鼓励企业积极开拓欧洲、日韩、东南亚和“一带一路”沿线市场。鼓励举办重大产业峰会、论坛等活动。（市工业和信息化局、市场监管局、商务局等按职责分工负责）</w:t>
      </w:r>
    </w:p>
    <w:p w14:paraId="17B24AC7">
      <w:pPr>
        <w:widowControl/>
        <w:spacing w:line="480" w:lineRule="auto"/>
        <w:ind w:firstLine="480"/>
        <w:rPr>
          <w:rFonts w:hint="eastAsia" w:ascii="Times New Roman" w:hAnsi="Times New Roman" w:eastAsia="方正仿宋简体" w:cs="宋体"/>
          <w:color w:val="000000"/>
          <w:kern w:val="0"/>
          <w:sz w:val="32"/>
          <w:szCs w:val="32"/>
        </w:rPr>
      </w:pPr>
    </w:p>
    <w:p w14:paraId="23561B51">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广州市规划和自然资源局关于印发广州市智能网联汽车基础地图应用试点管理规定（试行）的通知</w:t>
      </w:r>
    </w:p>
    <w:p w14:paraId="17694B0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各有关单位：</w:t>
      </w:r>
    </w:p>
    <w:p w14:paraId="689F27E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加强我市智能网联汽车基础地图服务与管理，助力智能网联汽车产业发展，维护地理信息安全，我局制定了《广州市智能网联汽车基础地图应用试点管理规定（试行）》，现予印发，请遵照执行。执行中遇到的问题，请径向市规划和自然资源局反映。 </w:t>
      </w:r>
    </w:p>
    <w:p w14:paraId="5F7D40CD">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广州市规划和自然资源局</w:t>
      </w:r>
    </w:p>
    <w:p w14:paraId="015D022C">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2024年8月24日</w:t>
      </w:r>
    </w:p>
    <w:p w14:paraId="4DC5C8C4">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43F9D6D1">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广州市智能网联汽车基础地图应用试点管理规定（试行）</w:t>
      </w:r>
    </w:p>
    <w:p w14:paraId="3636FBB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w:t>
      </w:r>
      <w:r>
        <w:rPr>
          <w:rFonts w:hint="eastAsia" w:ascii="Times New Roman" w:hAnsi="Times New Roman" w:eastAsia="方正仿宋简体" w:cs="宋体"/>
          <w:color w:val="000000"/>
          <w:kern w:val="0"/>
          <w:sz w:val="32"/>
          <w:szCs w:val="32"/>
        </w:rPr>
        <w:t> 为了规范智能网联汽车基础地图的管理，确保地理信息数据安全，促进智能网联汽车产业发展，根据《中华人民共和国测绘法》《中华人民共和国数据安全法》《地图管理条例》《广东省测绘条例》《广州市测绘地理信息管理办法》等有关规定，结合本市实际，制定本规定。</w:t>
      </w:r>
    </w:p>
    <w:p w14:paraId="307660C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w:t>
      </w:r>
      <w:r>
        <w:rPr>
          <w:rFonts w:hint="eastAsia" w:ascii="Times New Roman" w:hAnsi="Times New Roman" w:eastAsia="方正仿宋简体" w:cs="宋体"/>
          <w:color w:val="000000"/>
          <w:kern w:val="0"/>
          <w:sz w:val="32"/>
          <w:szCs w:val="32"/>
        </w:rPr>
        <w:t> 在本市行政区域内开展智能网联汽车基础地图相关地理信息数据的采集、存储、传输、加工、使用和提供等活动，以及相关监督管理工作，适用本规定。</w:t>
      </w:r>
    </w:p>
    <w:p w14:paraId="3B1768D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w:t>
      </w:r>
      <w:r>
        <w:rPr>
          <w:rFonts w:hint="eastAsia" w:ascii="Times New Roman" w:hAnsi="Times New Roman" w:eastAsia="方正仿宋简体" w:cs="宋体"/>
          <w:color w:val="000000"/>
          <w:kern w:val="0"/>
          <w:sz w:val="32"/>
          <w:szCs w:val="32"/>
        </w:rPr>
        <w:t> 智能网联汽车基础地图管理工作应当遵循依法依规、安全可控、先行先试的原则。</w:t>
      </w:r>
    </w:p>
    <w:p w14:paraId="4113F03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w:t>
      </w:r>
      <w:r>
        <w:rPr>
          <w:rFonts w:hint="eastAsia" w:ascii="Times New Roman" w:hAnsi="Times New Roman" w:eastAsia="方正仿宋简体" w:cs="宋体"/>
          <w:color w:val="000000"/>
          <w:kern w:val="0"/>
          <w:sz w:val="32"/>
          <w:szCs w:val="32"/>
        </w:rPr>
        <w:t> 规划和自然资源主管部门负责本行政区域智能网联汽车基础地图监督和管理。</w:t>
      </w:r>
    </w:p>
    <w:p w14:paraId="5429A1B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市、区人民政府其他有关部门按照本级人民政府规定的职责分工，负责本部门有关的智能网联汽车基础地图工作。</w:t>
      </w:r>
    </w:p>
    <w:p w14:paraId="0D93E3A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w:t>
      </w:r>
      <w:r>
        <w:rPr>
          <w:rFonts w:hint="eastAsia" w:ascii="Times New Roman" w:hAnsi="Times New Roman" w:eastAsia="方正仿宋简体" w:cs="宋体"/>
          <w:color w:val="000000"/>
          <w:kern w:val="0"/>
          <w:sz w:val="32"/>
          <w:szCs w:val="32"/>
        </w:rPr>
        <w:t> 本规定所指的智能网联汽车基础地图，是指由各类交通环境设施要素的位置、属性和语义信息构成的，用于支撑辅助驾驶、自动驾驶、车路智能协同、智慧交通精细化管理以及相关测试与应用等活动的必要地理信息数据集，不含车流、行人、交通信号等动态感知数据。</w:t>
      </w:r>
    </w:p>
    <w:p w14:paraId="437EA81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智能网联汽车基础地图主要包括高精度地图和高级辅助驾驶地图。</w:t>
      </w:r>
    </w:p>
    <w:p w14:paraId="6EA1EAC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w:t>
      </w:r>
      <w:r>
        <w:rPr>
          <w:rFonts w:hint="eastAsia" w:ascii="Times New Roman" w:hAnsi="Times New Roman" w:eastAsia="方正仿宋简体" w:cs="宋体"/>
          <w:color w:val="000000"/>
          <w:kern w:val="0"/>
          <w:sz w:val="32"/>
          <w:szCs w:val="32"/>
        </w:rPr>
        <w:t> 智能网联汽车基础地图有关单位指涉及智能网联汽车基础地图相关地理信息数据的采集、存储、传输、加工、使用和提供的所有单位，包括测绘资质单位、车企、服务商及智能驾驶软件提供商等。</w:t>
      </w:r>
    </w:p>
    <w:p w14:paraId="2E0F6E9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仅获得辅助驾驶等服务的智能网联汽车驾乘人员和各类车载传感器以及汽车的制造、集成、销售人员不属于有关测绘活动的行为人。</w:t>
      </w:r>
    </w:p>
    <w:p w14:paraId="785A60D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w:t>
      </w:r>
      <w:r>
        <w:rPr>
          <w:rFonts w:hint="eastAsia" w:ascii="Times New Roman" w:hAnsi="Times New Roman" w:eastAsia="方正仿宋简体" w:cs="宋体"/>
          <w:color w:val="000000"/>
          <w:kern w:val="0"/>
          <w:sz w:val="32"/>
          <w:szCs w:val="32"/>
        </w:rPr>
        <w:t> 在汽车运行、服务和道路测试过程中，安装或者集成了卫星导航定位接收模块、惯性测量单元、摄像头、激光雷达及毫米波雷达等传感器设备，对车辆及周边道路设施空间坐标、影像、点云及其属性等测绘地理信息进行采集、存储、传输、加工的智能网联汽车基础地图有关单位，应当遵守测绘法律法规的规定并依法承担相应责任，并符合以下要求：</w:t>
      </w:r>
    </w:p>
    <w:p w14:paraId="563E5FF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（一）属于内资企业的，应当依法取得相应的测绘资质，或者委托具有相应测绘资质的单位开展相应的测绘活动；</w:t>
      </w:r>
    </w:p>
    <w:p w14:paraId="2D7457D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（二）属于外商投资企业的，应当委托具有相应测绘资质的单位开展相应的测绘活动。</w:t>
      </w:r>
    </w:p>
    <w:p w14:paraId="6C8BBF3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涉及个人信息处理的活动，应当遵循合法、正当、必要、诚信的原则。</w:t>
      </w:r>
    </w:p>
    <w:p w14:paraId="2336B4E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 </w:t>
      </w:r>
      <w:r>
        <w:rPr>
          <w:rFonts w:hint="eastAsia" w:ascii="Times New Roman" w:hAnsi="Times New Roman" w:eastAsia="方正仿宋简体" w:cs="宋体"/>
          <w:color w:val="000000"/>
          <w:kern w:val="0"/>
          <w:sz w:val="32"/>
          <w:szCs w:val="32"/>
        </w:rPr>
        <w:t>智能网联汽车基础地图不得表达涉及国家秘密或者敏感的地理信息。</w:t>
      </w:r>
    </w:p>
    <w:p w14:paraId="5B34816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测绘资质单位应当建立智能网联汽车基础地图内容安全审校制度，对可能涉密或者敏感的地理信息数据进行审查把关和过滤处理。</w:t>
      </w:r>
    </w:p>
    <w:p w14:paraId="0C8D06D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w:t>
      </w:r>
      <w:r>
        <w:rPr>
          <w:rFonts w:hint="eastAsia" w:ascii="Times New Roman" w:hAnsi="Times New Roman" w:eastAsia="方正仿宋简体" w:cs="宋体"/>
          <w:color w:val="000000"/>
          <w:kern w:val="0"/>
          <w:sz w:val="32"/>
          <w:szCs w:val="32"/>
        </w:rPr>
        <w:t> 智能网联汽车基础地图有关单位应当将生产、存储或者传输智能网联汽车基础地图数据的服务器设在中华人民共和国境内，并采取有效措施确保地理信息数据安全；未依法履行数据出境安全评估和对外提供审批程序的智能网联汽车基础地图数据，不得向境外传输。</w:t>
      </w:r>
    </w:p>
    <w:p w14:paraId="2B2107A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w:t>
      </w:r>
      <w:r>
        <w:rPr>
          <w:rFonts w:hint="eastAsia" w:ascii="Times New Roman" w:hAnsi="Times New Roman" w:eastAsia="方正仿宋简体" w:cs="宋体"/>
          <w:color w:val="000000"/>
          <w:kern w:val="0"/>
          <w:sz w:val="32"/>
          <w:szCs w:val="32"/>
        </w:rPr>
        <w:t> 测绘资质单位可以采用符合国家安全要求和标准的商用密码，采用具有安全保护措施的网络通道传输智能网联汽车基础地图数据。支持基于身份认证、脱密脱敏、加密及权限控制等安全监管技术的研究成果，在试点内进行测试与验证，保障面向多元应用场景的智能网联汽车基础地图安全应用。</w:t>
      </w:r>
    </w:p>
    <w:p w14:paraId="2F0AE15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w:t>
      </w:r>
      <w:r>
        <w:rPr>
          <w:rFonts w:hint="eastAsia" w:ascii="Times New Roman" w:hAnsi="Times New Roman" w:eastAsia="方正仿宋简体" w:cs="宋体"/>
          <w:color w:val="000000"/>
          <w:kern w:val="0"/>
          <w:sz w:val="32"/>
          <w:szCs w:val="32"/>
        </w:rPr>
        <w:t> 智能网联汽车基础地图有关单位应当落实主体安全责任，维护地理信息数据安全，应当制定测绘地理信息安全事件应急处置预案，可以组织专家开展应急处置预案评估论证。</w:t>
      </w:r>
    </w:p>
    <w:p w14:paraId="290FD72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测绘资质单位应当建立测绘地理信息安全保密管理制度，在安全的保密防护设施条件下生产和使用智能网联汽车基础地图，定期开展安全保密自查，保护数据免受篡改、破坏、泄露、丢失、转移或者被非法获取、非法利用。</w:t>
      </w:r>
    </w:p>
    <w:p w14:paraId="04DFA60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w:t>
      </w:r>
      <w:r>
        <w:rPr>
          <w:rFonts w:hint="eastAsia" w:ascii="Times New Roman" w:hAnsi="Times New Roman" w:eastAsia="方正仿宋简体" w:cs="宋体"/>
          <w:color w:val="000000"/>
          <w:kern w:val="0"/>
          <w:sz w:val="32"/>
          <w:szCs w:val="32"/>
        </w:rPr>
        <w:t> 智能网联汽车基础地图实行地图审核制度。</w:t>
      </w:r>
    </w:p>
    <w:p w14:paraId="4DA2373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智能网联汽车基础地图在交付应用或者公开使用前，测绘资质单位应当采用国家认定的保密处理技术进行保密处理，并向有审核权的自然资源主管部门申请地图审核。未依法取得审图号的，不得交付应用或者公开使用。</w:t>
      </w:r>
    </w:p>
    <w:p w14:paraId="4A33EF9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智能网联汽车基础地图审图号有效期为两年。审图号到期，应当重新送审。审核通过的智能网联汽车基础地图应当按照测绘地理信息数据成果相关规定存储和使用。</w:t>
      </w:r>
    </w:p>
    <w:p w14:paraId="57AA2F6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第十三条</w:t>
      </w:r>
      <w:r>
        <w:rPr>
          <w:rFonts w:hint="eastAsia" w:ascii="Times New Roman" w:hAnsi="Times New Roman" w:eastAsia="方正仿宋简体" w:cs="宋体"/>
          <w:color w:val="000000"/>
          <w:kern w:val="0"/>
          <w:sz w:val="32"/>
          <w:szCs w:val="32"/>
        </w:rPr>
        <w:t> 已经取得审图号的智能网联汽车基础地图，道路范围变化超出有关地图审查要求、采集要素类别有新增或者数据结构、格式发生转换的，应当按照地图审核的有关规定重新报送审核；无以上情况的，测绘资质单位应当开展增量内容自查，每六个月向规划和自然资源主管部门备案。</w:t>
      </w:r>
    </w:p>
    <w:p w14:paraId="3620052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规划和自然资源主管部门对备案材料进行抽查。</w:t>
      </w:r>
    </w:p>
    <w:p w14:paraId="56D1C17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第十四条</w:t>
      </w:r>
      <w:r>
        <w:rPr>
          <w:rFonts w:hint="eastAsia" w:ascii="Times New Roman" w:hAnsi="Times New Roman" w:eastAsia="方正仿宋简体" w:cs="宋体"/>
          <w:color w:val="000000"/>
          <w:kern w:val="0"/>
          <w:sz w:val="32"/>
          <w:szCs w:val="32"/>
        </w:rPr>
        <w:t> 在本市行政区域范围内完成的智能网联汽车基础地图成果，其测绘项目出资人或者测绘单位应当在项目完成之日起三个月内向市规划和自然资源主管部门汇交测绘成果资料：</w:t>
      </w:r>
    </w:p>
    <w:p w14:paraId="1E2229F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（一）属于政府财政投资完成的测绘项目成果，应当汇交测绘成果副本；</w:t>
      </w:r>
    </w:p>
    <w:p w14:paraId="60F6D78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（二）使用其他资金完成的测绘项目成果，应当汇交测绘成果目录。</w:t>
      </w:r>
    </w:p>
    <w:p w14:paraId="355E130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市规划和自然资源主管部门应当定期编制测绘成果目录，并向社会公布。</w:t>
      </w:r>
    </w:p>
    <w:p w14:paraId="5EFAC18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第十五条</w:t>
      </w:r>
      <w:r>
        <w:rPr>
          <w:rFonts w:hint="eastAsia" w:ascii="Times New Roman" w:hAnsi="Times New Roman" w:eastAsia="方正仿宋简体" w:cs="宋体"/>
          <w:color w:val="000000"/>
          <w:kern w:val="0"/>
          <w:sz w:val="32"/>
          <w:szCs w:val="32"/>
        </w:rPr>
        <w:t> 规划和自然资源主管部门应当会同工业和信息化、交通运输、公安、应急管理、保密、密码、网信和国家安全等有关部门和单位，建立联合监管和信息共享机制，深化商用密码应用，强化智能网联汽车基础地图在智能网联汽车行业应用的全流程监管，加强对涉及智能网联汽车基础地图有关单位落实保密管理制度、保密防护设施、网络和数据安全防范措施等安全保密要求的指导、检查和监督，依法开展现场检查和过程监督，构建权责明确、容错纠错、鼓励创新、包容审慎的市场环境。</w:t>
      </w:r>
    </w:p>
    <w:p w14:paraId="236BE47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第十六条</w:t>
      </w:r>
      <w:r>
        <w:rPr>
          <w:rFonts w:hint="eastAsia" w:ascii="Times New Roman" w:hAnsi="Times New Roman" w:eastAsia="方正仿宋简体" w:cs="宋体"/>
          <w:color w:val="000000"/>
          <w:kern w:val="0"/>
          <w:sz w:val="32"/>
          <w:szCs w:val="32"/>
        </w:rPr>
        <w:t> 市人民政府有关部门和单位鼓励智能网联汽车基础地图测绘科学技术的创新和进步，支持不同技术路线、多元应用场景下的智能网联汽车基础地图测试验证，推动新技术、新产品、新业态的先行先试和示范应用，促进智能网联汽车基础地图产业发展。</w:t>
      </w:r>
    </w:p>
    <w:p w14:paraId="563072C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第十七条</w:t>
      </w:r>
      <w:r>
        <w:rPr>
          <w:rFonts w:hint="eastAsia" w:ascii="Times New Roman" w:hAnsi="Times New Roman" w:eastAsia="方正仿宋简体" w:cs="宋体"/>
          <w:color w:val="000000"/>
          <w:kern w:val="0"/>
          <w:sz w:val="32"/>
          <w:szCs w:val="32"/>
        </w:rPr>
        <w:t> 市规划和自然资源主管部门应当采用信息化方式提高辅助管理的技术能力，针对众源采集更新、数据安全传输、云服务模式、增量地图快速审查等环节，加强智能网联汽车基础地图监督管理，提供便捷高效的服务。</w:t>
      </w:r>
    </w:p>
    <w:p w14:paraId="2E2DD7B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第十八条</w:t>
      </w:r>
      <w:r>
        <w:rPr>
          <w:rFonts w:hint="eastAsia" w:ascii="Times New Roman" w:hAnsi="Times New Roman" w:eastAsia="方正仿宋简体" w:cs="宋体"/>
          <w:color w:val="000000"/>
          <w:kern w:val="0"/>
          <w:sz w:val="32"/>
          <w:szCs w:val="32"/>
        </w:rPr>
        <w:t> 市规划和自然资源主管部门会同市市场监督管理部门，指导和监督本市智能网联汽车基础地图标准制定。</w:t>
      </w:r>
    </w:p>
    <w:p w14:paraId="3053A5F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市规划和自然资源主管部门应当推动标准化智能网联汽车基础地图公共服务体系建设，建立众源更新与共建共享的应用模式。</w:t>
      </w:r>
    </w:p>
    <w:p w14:paraId="31C1FF6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第十九条</w:t>
      </w:r>
      <w:r>
        <w:rPr>
          <w:rFonts w:hint="eastAsia" w:ascii="Times New Roman" w:hAnsi="Times New Roman" w:eastAsia="方正仿宋简体" w:cs="宋体"/>
          <w:color w:val="000000"/>
          <w:kern w:val="0"/>
          <w:sz w:val="32"/>
          <w:szCs w:val="32"/>
        </w:rPr>
        <w:t> 本规定自2024年10月1日起施行,有效期三年。</w:t>
      </w:r>
    </w:p>
    <w:p w14:paraId="5D83ABD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公开方式：主动公开</w:t>
      </w:r>
    </w:p>
    <w:p w14:paraId="3A3C91F7">
      <w:pPr>
        <w:widowControl/>
        <w:spacing w:line="480" w:lineRule="auto"/>
        <w:ind w:firstLine="480"/>
        <w:rPr>
          <w:rFonts w:hint="eastAsia" w:ascii="Times New Roman" w:hAnsi="Times New Roman" w:eastAsia="方正仿宋简体" w:cs="宋体"/>
          <w:color w:val="000000"/>
          <w:kern w:val="0"/>
          <w:sz w:val="32"/>
          <w:szCs w:val="32"/>
        </w:rPr>
      </w:pPr>
    </w:p>
    <w:p w14:paraId="53A91AF0">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rPr>
        <w:t>广州市黄埔区农业农村局等</w:t>
      </w:r>
      <w:r>
        <w:rPr>
          <w:rFonts w:hint="default" w:ascii="Times New Roman" w:hAnsi="Times New Roman" w:eastAsia="方正小标宋简体" w:cs="Times New Roman"/>
          <w:color w:val="000000"/>
          <w:spacing w:val="-10"/>
          <w:kern w:val="28"/>
          <w:sz w:val="44"/>
          <w:szCs w:val="56"/>
        </w:rPr>
        <w:t>10</w:t>
      </w:r>
      <w:r>
        <w:rPr>
          <w:rFonts w:hint="eastAsia" w:ascii="Times New Roman" w:hAnsi="Times New Roman" w:eastAsia="方正小标宋简体" w:cs="Times New Roman"/>
          <w:color w:val="000000"/>
          <w:spacing w:val="-10"/>
          <w:kern w:val="28"/>
          <w:sz w:val="44"/>
          <w:szCs w:val="56"/>
        </w:rPr>
        <w:t>部门关于印发广州开发区 广州市黄埔区促进乡村振兴高质量发展若干措施实施细则的通知</w:t>
      </w:r>
    </w:p>
    <w:p w14:paraId="055D580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区各有关单位：</w:t>
      </w:r>
    </w:p>
    <w:p w14:paraId="1212459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《广州开发区广州市黄埔区促进乡村振兴高质量发展若干措施实施细则》业经广州开发区管委会、黄埔区政府同意，现印发实施。执行过程中如遇问题，请径向相关主管部门反映。</w:t>
      </w:r>
    </w:p>
    <w:p w14:paraId="4CFAC3C1">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广州市黄埔区农业农村局      中共广州市黄埔区委组织部      中共广州市黄埔区委宣传部</w:t>
      </w:r>
    </w:p>
    <w:p w14:paraId="41C0947A">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中共广州市黄埔区委社会工作部   中共广州市黄埔区委政法委员会     广州市黄埔发展和改革局</w:t>
      </w:r>
    </w:p>
    <w:p w14:paraId="6C3AA09D">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广州市规划和自然资源局黄埔区分局  广州市黄埔区住房和城乡建设局  广州开发区国有资产监督管理局</w:t>
      </w:r>
    </w:p>
    <w:p w14:paraId="5EFE80B3">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广州开发区城市更新局</w:t>
      </w:r>
    </w:p>
    <w:p w14:paraId="1CB2200E">
      <w:pPr>
        <w:widowControl/>
        <w:shd w:val="clear" w:color="auto" w:fill="FFFFFF"/>
        <w:ind w:firstLine="5760"/>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2024年8月24日</w:t>
      </w:r>
    </w:p>
    <w:p w14:paraId="674EA9CB">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广州开发区 广州市黄埔区促进乡村振兴高质量发展若干措施实施细则</w:t>
      </w:r>
    </w:p>
    <w:p w14:paraId="08EA5C8E">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目的及适用范围</w:t>
      </w:r>
    </w:p>
    <w:p w14:paraId="000BF24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 </w:t>
      </w:r>
      <w:r>
        <w:rPr>
          <w:rFonts w:hint="eastAsia" w:ascii="Times New Roman" w:hAnsi="Times New Roman" w:eastAsia="方正仿宋简体" w:cs="宋体"/>
          <w:color w:val="000000"/>
          <w:kern w:val="0"/>
          <w:sz w:val="32"/>
          <w:szCs w:val="32"/>
        </w:rPr>
        <w:t>根据《广州开发区广州市黄埔区促进乡村振兴高质量发展若干措施》（穗埔府规〔2024〕6号，以下简称《若干措施》），为落实《中华人民共和国乡村振兴促进法》《广东省乡村振兴促进条例》</w:t>
      </w:r>
      <w:r>
        <w:rPr>
          <w:rFonts w:hint="eastAsia" w:ascii="Times New Roman" w:hAnsi="Times New Roman" w:eastAsia="方正仿宋简体" w:cs="宋体"/>
          <w:color w:val="000000"/>
          <w:kern w:val="0"/>
          <w:sz w:val="32"/>
          <w:szCs w:val="32"/>
          <w:shd w:val="clear" w:color="auto" w:fill="FFFFFF"/>
        </w:rPr>
        <w:t>，</w:t>
      </w:r>
      <w:r>
        <w:rPr>
          <w:rFonts w:hint="eastAsia" w:ascii="Times New Roman" w:hAnsi="Times New Roman" w:eastAsia="方正仿宋简体" w:cs="宋体"/>
          <w:color w:val="000000"/>
          <w:kern w:val="0"/>
          <w:sz w:val="32"/>
          <w:szCs w:val="32"/>
        </w:rPr>
        <w:t>便于政策实施，明确相关条款具体内容及操作规范</w:t>
      </w:r>
      <w:r>
        <w:rPr>
          <w:rFonts w:hint="eastAsia" w:ascii="Times New Roman" w:hAnsi="Times New Roman" w:eastAsia="方正仿宋简体" w:cs="宋体"/>
          <w:color w:val="000000"/>
          <w:kern w:val="0"/>
          <w:sz w:val="32"/>
          <w:szCs w:val="32"/>
          <w:shd w:val="clear" w:color="auto" w:fill="FFFFFF"/>
        </w:rPr>
        <w:t>，</w:t>
      </w:r>
      <w:r>
        <w:rPr>
          <w:rFonts w:hint="eastAsia" w:ascii="Times New Roman" w:hAnsi="Times New Roman" w:eastAsia="方正仿宋简体" w:cs="宋体"/>
          <w:color w:val="000000"/>
          <w:kern w:val="0"/>
          <w:sz w:val="32"/>
          <w:szCs w:val="32"/>
        </w:rPr>
        <w:t>结合本区实际，制定本实施细则（以下简称“本细则”）。</w:t>
      </w:r>
    </w:p>
    <w:p w14:paraId="18025B6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 </w:t>
      </w:r>
      <w:r>
        <w:rPr>
          <w:rFonts w:hint="eastAsia" w:ascii="Times New Roman" w:hAnsi="Times New Roman" w:eastAsia="方正仿宋简体" w:cs="宋体"/>
          <w:color w:val="000000"/>
          <w:kern w:val="0"/>
          <w:sz w:val="32"/>
          <w:szCs w:val="32"/>
        </w:rPr>
        <w:t>本细则适用于在广州开发区、广州市黄埔区及其受托管理和下辖园区（以下简称“本区”）范围内，有健全财务制度、具有相应资质、实行独立核算、符合信用管理相关规定的从事农业农村产业生产经营活动的企业或机构，以及现代农业产业园、农村集体经济组织、村委会（居委会）、农户（个人）、农村创新创业人员等参与推进乡村振兴战略的各类主体。</w:t>
      </w:r>
    </w:p>
    <w:p w14:paraId="2931D2FC">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粮食安全</w:t>
      </w:r>
    </w:p>
    <w:p w14:paraId="679DB1E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 </w:t>
      </w:r>
      <w:r>
        <w:rPr>
          <w:rFonts w:hint="eastAsia" w:ascii="Times New Roman" w:hAnsi="Times New Roman" w:eastAsia="方正仿宋简体" w:cs="宋体"/>
          <w:color w:val="000000"/>
          <w:kern w:val="0"/>
          <w:sz w:val="32"/>
          <w:szCs w:val="32"/>
        </w:rPr>
        <w:t>统筹做好粮食和重要农产品调控，加强粮食应急保障能力建设，强化储备和购销领域监管。确保区属国有粮库2025年建成投入使用，有效减少粮食损耗，降低储粮成本。树立大食物观，加快构建农林牧渔结合、植物动物微生物并举的多元食物供给体系。（责任单位：区发展改革局、区农业农村局）</w:t>
      </w:r>
    </w:p>
    <w:p w14:paraId="06FF761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 </w:t>
      </w:r>
      <w:r>
        <w:rPr>
          <w:rFonts w:hint="eastAsia" w:ascii="Times New Roman" w:hAnsi="Times New Roman" w:eastAsia="方正仿宋简体" w:cs="宋体"/>
          <w:color w:val="000000"/>
          <w:kern w:val="0"/>
          <w:sz w:val="32"/>
          <w:szCs w:val="32"/>
        </w:rPr>
        <w:t>抓好粮食和重要农产品生产，稳定粮食播种面积，加力扩种大豆和油料作物。落实粮食和重要农产品生产补贴，对在本区单造种植水稻或大豆、油料作物面积15亩以上的承包户、家庭农场、农业企业、农民专业合作社和农业社会化服务组织等种植大户，按水稻每亩700元/造、大豆和油料作物每亩800元/造给予农业生产补贴。</w:t>
      </w:r>
    </w:p>
    <w:p w14:paraId="52C1448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有下列情形之一的，不予补贴：</w:t>
      </w:r>
    </w:p>
    <w:p w14:paraId="03E1358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（一）在农作物生长过程中插后失管、填土、中途改种的；</w:t>
      </w:r>
    </w:p>
    <w:p w14:paraId="2DFEB85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（二）承包区外耕地种植的面积；</w:t>
      </w:r>
    </w:p>
    <w:p w14:paraId="0052238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（三）已被征收、征用、收储的耕地，未经土地使用权人同意，擅自耕种的。（责任单位：区农业农村局）</w:t>
      </w:r>
    </w:p>
    <w:p w14:paraId="0830BA5F">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 </w:t>
      </w:r>
      <w:r>
        <w:rPr>
          <w:rFonts w:hint="eastAsia" w:ascii="Times New Roman" w:hAnsi="Times New Roman" w:eastAsia="方正仿宋简体" w:cs="宋体"/>
          <w:color w:val="000000"/>
          <w:kern w:val="0"/>
          <w:sz w:val="32"/>
          <w:szCs w:val="32"/>
        </w:rPr>
        <w:t>每年区财政安排不超过1000万元，遴选总投资额100万元以上的现代设施农业项目，最高按现代设施农业项目总投资的1/3给予补助。对已获得国家、省、市扶持的项目，区财政给予最高1:1配套，区财政扶持金额与上级合计补助金额不超过设施农业总投资的50%，每个项目最高补助500万元。</w:t>
      </w:r>
    </w:p>
    <w:p w14:paraId="3B7234F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（一）申请本扶持的项目应当同时符合以下条件：</w:t>
      </w:r>
    </w:p>
    <w:p w14:paraId="4D64C91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1.项目实施地点在本区范围内，选址合理，符合当地农业发展规划和农业产业政策支持方向，有利于农业产业发展和农业结构调整；</w:t>
      </w:r>
    </w:p>
    <w:p w14:paraId="1656F50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2.项目实施主体需在项目实施前递交项目申报表、项目立项书和可行性报告，经区农业农村部门审核同意；</w:t>
      </w:r>
    </w:p>
    <w:p w14:paraId="13D552E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3.项目在《若干措施》有效期内新建并竣工验收，项目总投资额不少于100万元；</w:t>
      </w:r>
    </w:p>
    <w:p w14:paraId="61D0138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4.项目固定资产应于申报审核通过日（申报表批准同意的落款时间）起至完工日期间发生或购买（以发票等合法票据的时间为准）；</w:t>
      </w:r>
    </w:p>
    <w:p w14:paraId="45CF1D4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5.申报项目竣工后应当能形成可评估的实物、工作量；</w:t>
      </w:r>
    </w:p>
    <w:p w14:paraId="0F000A2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6.近三年未发生农产品质量安全违法行为。</w:t>
      </w:r>
    </w:p>
    <w:p w14:paraId="3491F96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（二）项目实施内容主要包括农业生产设施和附属设施建设，以及与农业生产直接相关的设施设备购置、观光休闲农业基础设施和配套设施、环保类设施建设等。</w:t>
      </w:r>
    </w:p>
    <w:p w14:paraId="2207A40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（三）现代设施农业项目总投资中不包括：</w:t>
      </w:r>
    </w:p>
    <w:p w14:paraId="561A364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1.土地购置费，租赁费，固定资产中的房屋和建筑物建设费，车辆购置费；</w:t>
      </w:r>
    </w:p>
    <w:p w14:paraId="5E43D013">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2.直接用于生产经营的劳务工资，种子种苗、农药、化肥、饲料、兽药等农业投入品，易耗品等费用；</w:t>
      </w:r>
    </w:p>
    <w:p w14:paraId="0EB3D40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3.试验试制费、科研费、外协费等；</w:t>
      </w:r>
    </w:p>
    <w:p w14:paraId="58E67E6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4.自行制作、难以评估价值的设施设备，办公设施及其它与生产及项目目标无直接关系的投入费用。</w:t>
      </w:r>
    </w:p>
    <w:p w14:paraId="282243F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同一项目只能申请一次现代设施农业扶持补助，同一申请主体每年只能申报一个现代设施农业补助项目。已获得国家、省、市设施农业扶持的项目，当年可继续申请区级现代设施农业扶持补助。（责任单位：区农业农村局）</w:t>
      </w:r>
    </w:p>
    <w:p w14:paraId="1DFF534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 </w:t>
      </w:r>
      <w:r>
        <w:rPr>
          <w:rFonts w:hint="eastAsia" w:ascii="Times New Roman" w:hAnsi="Times New Roman" w:eastAsia="方正仿宋简体" w:cs="宋体"/>
          <w:color w:val="000000"/>
          <w:kern w:val="0"/>
          <w:sz w:val="32"/>
          <w:szCs w:val="32"/>
        </w:rPr>
        <w:t>对国家、省、市、区农业农村部门认定的农业龙头企业，分别给予50万元、20万元、5万元、3万元一次性奖励。</w:t>
      </w:r>
    </w:p>
    <w:p w14:paraId="00515AE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对获得国家、省农作物新品种审定（登记）证书的企业，分别给予第一育成单位50万元、20万元一次性扶持。</w:t>
      </w:r>
    </w:p>
    <w:p w14:paraId="291EFD0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申报上述扶持的主体应当同时符合以下条件：</w:t>
      </w:r>
    </w:p>
    <w:p w14:paraId="4F27960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（一）《若干措施》有效期内首次获得农业龙头企业认定或农作物新品种审定（登记）；</w:t>
      </w:r>
    </w:p>
    <w:p w14:paraId="713B33E3">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（二）经营情况正常；</w:t>
      </w:r>
    </w:p>
    <w:p w14:paraId="1C41B39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（三）不存在《广州市农业局关于印发广州市产地农产品质量安全“一票否决”制度的通知》（穗农〔2016〕235号）中规定的“一票否决”的情形。（责任单位：区农业农村局）</w:t>
      </w:r>
    </w:p>
    <w:p w14:paraId="7AD8B73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 </w:t>
      </w:r>
      <w:r>
        <w:rPr>
          <w:rFonts w:hint="eastAsia" w:ascii="Times New Roman" w:hAnsi="Times New Roman" w:eastAsia="方正仿宋简体" w:cs="宋体"/>
          <w:color w:val="000000"/>
          <w:kern w:val="0"/>
          <w:sz w:val="32"/>
          <w:szCs w:val="32"/>
        </w:rPr>
        <w:t>在《若干措施》有效期内，土地承包户（转出方）将集中连片面积50亩以上的耕地（含鱼塘、园地）、林地流转给农村集体经济组织，对土地承包户（转出方）分别按每亩500元/年、100元/年给予补助；农业经营主体（转入方）通过区农村集体“三资云”平台流入耕地（含鱼塘、园地）、林地经营权且合同年限5年以上的，对农业经营主体（转入方）分别按每亩500元/年、100元/年给予补助；对农村集体经济组织按每亩100元给予一次性流转奖励。</w:t>
      </w:r>
    </w:p>
    <w:p w14:paraId="6143E54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（一）申请土地经营权转出补助的土地承包户（转出方）应当同时符合以下条件：</w:t>
      </w:r>
    </w:p>
    <w:p w14:paraId="6D939BE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1.将耕地（含鱼塘、园地）、林地经营权连片流转给所在的农村集体经济组织（包括经联社或经济社，下同）；</w:t>
      </w:r>
    </w:p>
    <w:p w14:paraId="64D8847F">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2.若干承包户（转出方）连片流转土地面积合计在50亩以上；</w:t>
      </w:r>
    </w:p>
    <w:p w14:paraId="228F0CF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3.流转合同在《若干措施》有效期内签订且生效，流转期限在5年以上。</w:t>
      </w:r>
    </w:p>
    <w:p w14:paraId="68D4AC6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（二）申请土地经营权转入补助的农业经营主体应当同时符合以下条件：</w:t>
      </w:r>
    </w:p>
    <w:p w14:paraId="22E9C51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1.通过区农村集体“三资云”平台与本区1个或若干个农村集体经济组织连片转入耕地（含鱼塘、园地）、林地经营权；</w:t>
      </w:r>
    </w:p>
    <w:p w14:paraId="7EC0722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2.单次连片转入土地面积在50亩以上；</w:t>
      </w:r>
    </w:p>
    <w:p w14:paraId="4DB07F7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3.流转合同在《若干措施》有效期内签订且生效，流转期限在5年以上；</w:t>
      </w:r>
    </w:p>
    <w:p w14:paraId="309F61F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4.土地经营权流转期间，转入方按照用途管制要求和种植引导政策合理使用农用地，不得进行违法建设或弃耕撂荒。</w:t>
      </w:r>
    </w:p>
    <w:p w14:paraId="0C64815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（三）申请土地经营权流转奖励的农村集体经济组织应当同时符合以下条件：</w:t>
      </w:r>
    </w:p>
    <w:p w14:paraId="1BEFF13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1.农村集体经济组织通过区农村集体“三资”平台进行土地经营权流转；</w:t>
      </w:r>
    </w:p>
    <w:p w14:paraId="40BFA92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2.本集体经济组织单次或与其他农村集体经济组织合计单次连片流转土地面积在50亩以上；</w:t>
      </w:r>
    </w:p>
    <w:p w14:paraId="7677C2B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3.流转合同在《若干措施》有效期内签订且生效，流转期限在5年以上。</w:t>
      </w:r>
    </w:p>
    <w:p w14:paraId="25310D1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2021年3月29日至2023年12月31日流转的符合《广州市黄埔区、广州开发区、广州高新区现代农业发展实施办法》（穗埔农规字〔2021〕1号）（以下简称《现代农业发展实施办法》）第二条农村土地流转补贴的项目，按照《现代农业发展实施办法》的补贴标准兑现，补贴期限最长至2026年3月28日；2024年1月1日起流转的符合《若干措施》第二条农村土地流转补贴的项目，按照《若干措施》的补贴标准兑现，补贴期限最长至2026年12月31日。（责任单位：区农业农村局、各镇街）</w:t>
      </w:r>
    </w:p>
    <w:p w14:paraId="4B1FB10D">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 耕地保护</w:t>
      </w:r>
    </w:p>
    <w:p w14:paraId="7C7C82C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 </w:t>
      </w:r>
      <w:r>
        <w:rPr>
          <w:rFonts w:hint="eastAsia" w:ascii="Times New Roman" w:hAnsi="Times New Roman" w:eastAsia="方正仿宋简体" w:cs="宋体"/>
          <w:color w:val="000000"/>
          <w:kern w:val="0"/>
          <w:sz w:val="32"/>
          <w:szCs w:val="32"/>
        </w:rPr>
        <w:t>加强耕地占补平衡保障力度，编制年度耕地“进出平衡”总体方案，推动恢复耕地工作。实现良田连片，严守耕地红线。占用耕地必须落实“以补定占、先补后占”以及“耕地双平衡管控”，积极拓宽补充耕地途径。</w:t>
      </w:r>
    </w:p>
    <w:p w14:paraId="4A99A23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全面推行田长制，完善相关制度，树立田长制公示牌，开展田长巡田，建立“横到边、纵到底、网格化、全覆盖”的耕地保护新机制。（责任单位：区规划和自然资源局、区农业农村局、各镇街）</w:t>
      </w:r>
    </w:p>
    <w:p w14:paraId="46C961A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 </w:t>
      </w:r>
      <w:r>
        <w:rPr>
          <w:rFonts w:hint="eastAsia" w:ascii="Times New Roman" w:hAnsi="Times New Roman" w:eastAsia="方正仿宋简体" w:cs="宋体"/>
          <w:color w:val="000000"/>
          <w:kern w:val="0"/>
          <w:sz w:val="32"/>
          <w:szCs w:val="32"/>
        </w:rPr>
        <w:t>加大农田建设投入和管护力度，高标准农田建设亩均投入最高可提升至8000元，进一步解决耕地分布零散、土壤质量低、灌溉水源缺乏等问题，提高高标准农田质量，使本区高标准农田达到“规整化、宜机化、绿色化、智慧化”要求。</w:t>
      </w:r>
    </w:p>
    <w:p w14:paraId="4FEF5D6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以市场需求为导向，聚焦现代农业装备、生物育种等关键技术重点发展方向，通过深度融合物联网、互联网、大数据等先进技术，分类、分项目、分用途建设农业基础设施、自动化智能装备和精准农业配套体系等，在洋田、新田、岭头、大吉沙、长洲等片区打造不少于2000亩与现代农业生产和经营方式相适应的全国领先的“黄埔实验田”。（责任单位：区农业农村局）</w:t>
      </w:r>
    </w:p>
    <w:p w14:paraId="0F7487B8">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科技赋能</w:t>
      </w:r>
    </w:p>
    <w:p w14:paraId="1AB56B5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 </w:t>
      </w:r>
      <w:r>
        <w:rPr>
          <w:rFonts w:hint="eastAsia" w:ascii="Times New Roman" w:hAnsi="Times New Roman" w:eastAsia="方正仿宋简体" w:cs="宋体"/>
          <w:color w:val="000000"/>
          <w:kern w:val="0"/>
          <w:sz w:val="32"/>
          <w:szCs w:val="32"/>
        </w:rPr>
        <w:t>对农业科技攻关项目实行“揭榜挂帅”，共同推进现代农业装备和种业等农业发展关键核心技术、高端装备研发及应用，着力解决产业发展共性技术瓶颈。《若干措施》有效期内每年安排1000万元，遴选不超过10个项目进行补助。对成功攻克的项目按该项目总投入的30%给予补助，最高300万元。项目须在本区进行成果孵化转化。</w:t>
      </w:r>
    </w:p>
    <w:p w14:paraId="4F7BC33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具体项目申报以发布的办事指南或通知为准。（责任单位：区农业农村局、区科技局）</w:t>
      </w:r>
    </w:p>
    <w:p w14:paraId="44204D8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 </w:t>
      </w:r>
      <w:r>
        <w:rPr>
          <w:rFonts w:hint="eastAsia" w:ascii="Times New Roman" w:hAnsi="Times New Roman" w:eastAsia="方正仿宋简体" w:cs="宋体"/>
          <w:color w:val="000000"/>
          <w:kern w:val="0"/>
          <w:sz w:val="32"/>
          <w:szCs w:val="32"/>
        </w:rPr>
        <w:t>对获得国家、省、市农业农村部门立项资助的农业科技项目，分别按立项扶持金额的100%、50%、30%给予资金配套，最高分别为500万元、300万元、100万元。</w:t>
      </w:r>
    </w:p>
    <w:p w14:paraId="4D7D84D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单个项目获得上级部门立项扶持资金和本区财政配套资金总额不得超过项目承担单位自筹资金总额，超出部分不予配套。</w:t>
      </w:r>
    </w:p>
    <w:p w14:paraId="5A6054B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科技项目配套资助采取集中申报的方式，具体项目申报以发布的办事指南或通知为准。（责任单位：区农业农村局）</w:t>
      </w:r>
    </w:p>
    <w:p w14:paraId="7FF3814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 </w:t>
      </w:r>
      <w:r>
        <w:rPr>
          <w:rFonts w:hint="eastAsia" w:ascii="Times New Roman" w:hAnsi="Times New Roman" w:eastAsia="方正仿宋简体" w:cs="宋体"/>
          <w:color w:val="000000"/>
          <w:kern w:val="0"/>
          <w:sz w:val="32"/>
          <w:szCs w:val="32"/>
        </w:rPr>
        <w:t>支持农业科技创新平台搭建，在本区实际运行的科研机构输出农业科技技术，签订农业科技领域技术合同（含技术开发合同、技术转让合同、技术服务合同、技术咨询合同）且农业科研成果实现产业转化年营业收入达到1000万元以上的，按科研机构当年营业收入的3‰给予扶持，最高100万元。（责任单位：区农业农村局、区科技局）</w:t>
      </w:r>
    </w:p>
    <w:p w14:paraId="717F8A6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第十三条 </w:t>
      </w:r>
      <w:r>
        <w:rPr>
          <w:rFonts w:hint="eastAsia" w:ascii="Times New Roman" w:hAnsi="Times New Roman" w:eastAsia="方正仿宋简体" w:cs="宋体"/>
          <w:color w:val="000000"/>
          <w:kern w:val="0"/>
          <w:sz w:val="32"/>
          <w:szCs w:val="32"/>
        </w:rPr>
        <w:t>稳步推进现代农业产业园建设及运行，实现规模聚集效应和辐射带动相关产业。支持省级现代农业产业园持续建设和运营，产业园验收后，通过年度运营任务评估，农业装备与服务产业园每年新引进社会投资（含新引进企业、机构自筹资金以及产业园原有企业、机构完成既定建设任务后新增自筹资金，下同）不低于3000万元，种业产业园每年新引进社会投资不低于2000万元，《若干措施》有效期内每个产业园每年分别按当年撬动企业、机构自筹资金投入的1/3给予最高1000万元补助。</w:t>
      </w:r>
    </w:p>
    <w:p w14:paraId="0F89D05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产业园通过验收后，新引进社会投资的统计范围参照《广州市黄埔区现代农业产业园财政补助资金管理办法》（穗埔农规字〔2022〕1号）（以下简称《管理办法》）第九条“适用范围与比例”规定的基础设施、生产设施、租金、产业融合、科技研发、品牌建设、贷款贴息以及经审核符合产业园发展方向共8方面的自主投入，在《管理办法》第十条“禁止使用范围”以及经评审不符合规定的投入不纳入新增社会投资范畴。（责任单位：区农业农村局）</w:t>
      </w:r>
    </w:p>
    <w:p w14:paraId="263512F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第十四条 </w:t>
      </w:r>
      <w:r>
        <w:rPr>
          <w:rFonts w:hint="eastAsia" w:ascii="Times New Roman" w:hAnsi="Times New Roman" w:eastAsia="方正仿宋简体" w:cs="宋体"/>
          <w:color w:val="000000"/>
          <w:kern w:val="0"/>
          <w:sz w:val="32"/>
          <w:szCs w:val="32"/>
        </w:rPr>
        <w:t>发展生物农业产业经济，重点打造生物饲料、生物食品、兽用生物制品、生物肥料、生物育种、生物农药等生物农业产业链，建立生物农业产业集群，积极融入生物经济先导区建设。出台支持措施，加大集群培育、技术攻关、新品研发、人才引进、平台建设、金融服务等支持力度。围绕孵化、中试到产业化的全过程，打造一批高水平、开放共享的生物农业新型研发平台和公共服务平台。（责任单位：区农业农村局、区发展改革局、区科技局）</w:t>
      </w:r>
    </w:p>
    <w:p w14:paraId="3C14F6E7">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用地保障</w:t>
      </w:r>
    </w:p>
    <w:p w14:paraId="52A8414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第十五条 </w:t>
      </w:r>
      <w:r>
        <w:rPr>
          <w:rFonts w:hint="eastAsia" w:ascii="Times New Roman" w:hAnsi="Times New Roman" w:eastAsia="方正仿宋简体" w:cs="宋体"/>
          <w:color w:val="000000"/>
          <w:kern w:val="0"/>
          <w:sz w:val="32"/>
          <w:szCs w:val="32"/>
        </w:rPr>
        <w:t>编制黄埔区全域土地综合整治专项规划，推动建成良田连片、村庄集中、产业集聚、生态优美的土地保护利用新格局。灵活运用政策工具，以“全地域、全要素、全周期、全链条”为实施路径，推进本区农用地整治优化、建设用地集约提质、生态空间修复。</w:t>
      </w:r>
    </w:p>
    <w:p w14:paraId="77DF691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各镇街负责组织编制村庄规划，将整治任务、指标和布局要求落实到具体地块，确保整治区域内耕地质量有提升、生态有改善、布局有优化，生态保护红线不突破。</w:t>
      </w:r>
    </w:p>
    <w:p w14:paraId="46DC975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涉及全域土地综合整治区的村庄，应在村庄规划中增加全域土地综合整治专章，与《广州市黄埔区全域土地综合整治专项规划》做好规划衔接。整治区域完成整治任务并通过验收后，更新完善永久基本农田数据库。鼓励具有复耕潜力的村庄、社区新增耕地或新增永久基本农田。</w:t>
      </w:r>
    </w:p>
    <w:p w14:paraId="0ED1E30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通过土地整治，将农村建设用地垦造为农用地后腾出的建设用地指标，专门安排建设用地用于土地整治项目所在地乡村振兴发展用地需求。（责任单位：区规划和自然资源局）</w:t>
      </w:r>
    </w:p>
    <w:p w14:paraId="2926E95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第十六条 </w:t>
      </w:r>
      <w:r>
        <w:rPr>
          <w:rFonts w:hint="eastAsia" w:ascii="Times New Roman" w:hAnsi="Times New Roman" w:eastAsia="方正仿宋简体" w:cs="宋体"/>
          <w:color w:val="000000"/>
          <w:kern w:val="0"/>
          <w:sz w:val="32"/>
          <w:szCs w:val="32"/>
        </w:rPr>
        <w:t>根据全区社会经济发展规划及乡村振兴重点工作实际，遴选一批乡村振兴重点项目并建立区乡村振兴重点项目库。</w:t>
      </w:r>
    </w:p>
    <w:p w14:paraId="313A718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从区乡村振兴重点项目库中择优遴选项目按程序申报省、市重点建设项目和乡村振兴专项用地指标。将乡村振兴项目用地纳入区年度建设用地计划，确保每年安排一定比例的建设用地指标专项用于保障乡村振兴用地需求。（责任单位：区规划和自然资源局、区农业农村局）</w:t>
      </w:r>
    </w:p>
    <w:p w14:paraId="7AB5370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采用纳入土地征收成片开发范围、乡村振兴点状供地和设施农业用地相结合的方式，创新供地路径，保障乡村振兴项目用地。（责任单位：区规划和自然资源局、区农业农村局、各镇街）</w:t>
      </w:r>
    </w:p>
    <w:p w14:paraId="61EFEAB1">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新型农村集体经济</w:t>
      </w:r>
    </w:p>
    <w:p w14:paraId="559F744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第十七条 </w:t>
      </w:r>
      <w:r>
        <w:rPr>
          <w:rFonts w:hint="eastAsia" w:ascii="Times New Roman" w:hAnsi="Times New Roman" w:eastAsia="方正仿宋简体" w:cs="宋体"/>
          <w:color w:val="000000"/>
          <w:kern w:val="0"/>
          <w:sz w:val="32"/>
          <w:szCs w:val="32"/>
        </w:rPr>
        <w:t>由区农业农村部门会同区规划和自然资源部门探索制定农村“三块地”改革方案，探索制定农村土地家庭承包到期后延包制度（长洲街长洲、深井经联社），保障农村土地承包权稳定；探索制定农村集体经营性建设用地入市制度，逐步构建同权同价、流转顺畅、收益共享的城乡统一建设用地市场；探索制定农村集体闲置宅基地和闲置住宅盘活利用制度，多举措提升农民财产性收入水平。（责任单位：区农业农村局、区规划和自然资源局、各镇街）</w:t>
      </w:r>
    </w:p>
    <w:p w14:paraId="2514980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第十八条 </w:t>
      </w:r>
      <w:r>
        <w:rPr>
          <w:rFonts w:hint="eastAsia" w:ascii="Times New Roman" w:hAnsi="Times New Roman" w:eastAsia="方正仿宋简体" w:cs="宋体"/>
          <w:color w:val="000000"/>
          <w:kern w:val="0"/>
          <w:sz w:val="32"/>
          <w:szCs w:val="32"/>
        </w:rPr>
        <w:t>探索保障农村集体经济组织成员权利，修改完善本区农村集体经济组织示范章程，探索农户新增人口取得成员身份的途径和程序，增加集体资产股份登记、收益分配、继承、流转、抵押、担保、有偿退出、注销等制度指引，指导各农村集体经济组织修改完善其组织章程和股份管理制度以及表决权、选举权和被选举权的行使等民主决策程序。</w:t>
      </w:r>
    </w:p>
    <w:p w14:paraId="40DEE76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落实第二轮土地承包到期后再延长30年的要求，探索将集体资产股份固化到人的管理方式过渡到股份量化到人、按户登记管理并实行户内新增人口共享集体资产股份的管理方式。（责任单位：区农业农村局、区规划和自然资源局、各镇街）</w:t>
      </w:r>
    </w:p>
    <w:p w14:paraId="52F369B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第十九条 </w:t>
      </w:r>
      <w:r>
        <w:rPr>
          <w:rFonts w:hint="eastAsia" w:ascii="Times New Roman" w:hAnsi="Times New Roman" w:eastAsia="方正仿宋简体" w:cs="宋体"/>
          <w:color w:val="000000"/>
          <w:kern w:val="0"/>
          <w:sz w:val="32"/>
          <w:szCs w:val="32"/>
        </w:rPr>
        <w:t>衔接国民经济和社会发展规划、国土空间规划，注重优化城市更新项目用地布局，合理配置基础设施和公共服务设施。编制城市更新项目产业专章，强化产业导向，盘活低端低效集体用地，实现集体产业转型升级。</w:t>
      </w:r>
    </w:p>
    <w:p w14:paraId="548D37C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完善集体经济发展留用地管理制度，在原有货币补偿、物业置换、实物留地三种兑现方式的基础上，将纳入“三旧”改造、折价出资入股等方式也一并予以明确，并积极探索新的兑现方式。</w:t>
      </w:r>
    </w:p>
    <w:p w14:paraId="7431004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通过“关停淘汰一批、功能转变一批、改造提升一批”分批次有步骤进行村镇工业集聚区整治提升。（责任单位：区农业农村局、区规划和自然资源局、区城市更新局、区商务局、区工业和信息化局、各镇街）</w:t>
      </w:r>
    </w:p>
    <w:p w14:paraId="007B442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第二十条 </w:t>
      </w:r>
      <w:r>
        <w:rPr>
          <w:rFonts w:hint="eastAsia" w:ascii="Times New Roman" w:hAnsi="Times New Roman" w:eastAsia="方正仿宋简体" w:cs="宋体"/>
          <w:color w:val="000000"/>
          <w:kern w:val="0"/>
          <w:sz w:val="32"/>
          <w:szCs w:val="32"/>
        </w:rPr>
        <w:t>精准务实培育乡村产业，积极导入现代产业项目。发挥本区的产业和科技优势，充分利用各农村集体经济组织的资源禀赋条件，通过外部招商引资和内部培育孵化相结合，吸引各种新产业、新业态扎根乡村，引导总部经济和现代产业入驻集体物业。以产业招商为抓手，赋能乡村发展。在项目洽谈中积极向项目方推介我区乡村振兴工作重点布局的村镇。</w:t>
      </w:r>
    </w:p>
    <w:p w14:paraId="0E513A9F">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完善联农带农机制，实施农民增收促进行动。强化村企结对帮扶机制，鼓励企业和农村集体经济组织以及农户共同探索新的联合发展模式，通过“互联网+农业”、“智慧农业”和成立新型农业经营主体等形式，拓展农民就业方式和改善就业质量，多途径增加农村集体收益和农民收入。</w:t>
      </w:r>
    </w:p>
    <w:p w14:paraId="1273063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集体经济相对薄弱的经联社配合政府部门招商引资，对引入制造业企业年产值达到1亿元，科学研究和技术服务业、互联网和相关服务业、软件和信息技术服务业、租赁和商务服务业、居民服务业、住宿餐饮业等现代服务业企业年营业收入达到5000万元的，每引入一家企业给予经联社20万元一次性扶持，每个经联社每年扶持最高100万元。集体经济相对薄弱的经联社是指上年度总收入排名在全区70%的经联社之后的经联社。（责任单位：区农业农村局、区投资促进局、相关镇街）</w:t>
      </w:r>
    </w:p>
    <w:p w14:paraId="509B28DB">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第七章 金融支持</w:t>
      </w:r>
    </w:p>
    <w:p w14:paraId="5EE717B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第二十一条 </w:t>
      </w:r>
      <w:r>
        <w:rPr>
          <w:rFonts w:hint="eastAsia" w:ascii="Times New Roman" w:hAnsi="Times New Roman" w:eastAsia="方正仿宋简体" w:cs="宋体"/>
          <w:color w:val="000000"/>
          <w:kern w:val="0"/>
          <w:sz w:val="32"/>
          <w:szCs w:val="32"/>
        </w:rPr>
        <w:t>引导金融机构创新涉农金融产品与服务，探索整村授信模式，筹集资金用于农村公共服务设施建设和产业发展。</w:t>
      </w:r>
    </w:p>
    <w:p w14:paraId="3A9C99E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鼓励农村集体资金参与本区基础设施建设、重点产业和乡村振兴项目，探索建立风险补偿机制。（责任单位：区国资局、区农业农村局）</w:t>
      </w:r>
    </w:p>
    <w:p w14:paraId="670D6B4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第二十二条 </w:t>
      </w:r>
      <w:r>
        <w:rPr>
          <w:rFonts w:hint="eastAsia" w:ascii="Times New Roman" w:hAnsi="Times New Roman" w:eastAsia="方正仿宋简体" w:cs="宋体"/>
          <w:color w:val="000000"/>
          <w:kern w:val="0"/>
          <w:sz w:val="32"/>
          <w:szCs w:val="32"/>
        </w:rPr>
        <w:t>对国家、省、市农业农村部门认定的农业龙头企业向金融机构贷款用于农业生产经营的，按企业实际支付贷款利息的50%给予补贴，单个企业每年最高100万元，补贴期限最长3年。</w:t>
      </w:r>
    </w:p>
    <w:p w14:paraId="29BF712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（一）贷款贴息扶持的申请主体是指经国家、省、市农业农村主管部门认定的农业龙头企业，申报时农业龙头企业称号在有效期内。</w:t>
      </w:r>
    </w:p>
    <w:p w14:paraId="6E6289D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（二）金融机构主要是指政策性银行、商业银行、村镇银行，农村信用合作社、城市信用合作社等银行业金融机构。</w:t>
      </w:r>
    </w:p>
    <w:p w14:paraId="64EED1AF">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（三）金融机构贷款是指《若干措施》有效期内新增的贷款。在《若干措施》有效期内根据申请主体实际支付贷款利息按自然年进行补贴，补贴年限最长3年。</w:t>
      </w:r>
    </w:p>
    <w:p w14:paraId="6F46157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（四）用于下列农业生产经营范畴的金融机构贷款，企业可以申请贷款贴息扶持：</w:t>
      </w:r>
    </w:p>
    <w:p w14:paraId="7197FE5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1.建设农产品生产基地、购买设备或社会服务设施，支付生产基地地租；</w:t>
      </w:r>
    </w:p>
    <w:p w14:paraId="0AFB288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2.农产品的保鲜、加工、包装、储藏；</w:t>
      </w:r>
    </w:p>
    <w:p w14:paraId="568D3A0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3.创办农业技术研究机构，开展技术研究和名优新品种生产，发展现代种业；</w:t>
      </w:r>
    </w:p>
    <w:p w14:paraId="07156A7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4.在农业生产、加工、科研或全产业链经营相关活动中，收购农副产品、原材料，辅助于农业生产的农产品质量安全检测、农产品流通和信息化等设施建设和设备购置。</w:t>
      </w:r>
    </w:p>
    <w:p w14:paraId="38F48B5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（五）具有下列情形之一的，不予贴息扶持：</w:t>
      </w:r>
    </w:p>
    <w:p w14:paraId="034FC3A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1.同一个申请单位的同一笔贷款（一个贷款合同视为一笔贷款）已向国家、省、市或区有关部门申请财政贴息的；</w:t>
      </w:r>
    </w:p>
    <w:p w14:paraId="075666D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2.以贴息申请单位名义贷款，但以个人名义支付的贷款利息的；以企业负责人个人名义申请的贷款和支付利息的；</w:t>
      </w:r>
    </w:p>
    <w:p w14:paraId="11F8FD3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3.贴息申请单位将贷款资金用于股权等投资的，贷款用途为借新还旧、置换他行贷款及到期未还贷款的；</w:t>
      </w:r>
    </w:p>
    <w:p w14:paraId="489CF4D3">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4.贷款不能按时还本付息的；</w:t>
      </w:r>
    </w:p>
    <w:p w14:paraId="722FCDD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5.在贷款当年度至申报截止期，贴息申请单位被依法依规列入严重失信主体名单的；</w:t>
      </w:r>
    </w:p>
    <w:p w14:paraId="7D5920F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6.在中介机构审计过程中，无正当理由拒绝提供经营情况、贷款情况、财务报表的。（责任单位：区农业农村局）</w:t>
      </w:r>
    </w:p>
    <w:p w14:paraId="5A6858BF">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第八章 和美乡村</w:t>
      </w:r>
    </w:p>
    <w:p w14:paraId="2B3A83A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第二十三条 </w:t>
      </w:r>
      <w:r>
        <w:rPr>
          <w:rFonts w:hint="eastAsia" w:ascii="Times New Roman" w:hAnsi="Times New Roman" w:eastAsia="方正仿宋简体" w:cs="宋体"/>
          <w:color w:val="000000"/>
          <w:kern w:val="0"/>
          <w:sz w:val="32"/>
          <w:szCs w:val="32"/>
        </w:rPr>
        <w:t>对每个入选广东省“百县千镇万村高质量发展工程”典型村名单的行政村，一次性给予200万元支持。</w:t>
      </w:r>
    </w:p>
    <w:p w14:paraId="746483F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（一）典型村扶持资金列入年度乡村振兴专项引导资金安排，由典型村所在镇街指导典型村按照《广州市黄埔区乡村振兴专项引导资金使用指引》执行。</w:t>
      </w:r>
    </w:p>
    <w:p w14:paraId="5C4C052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（二）典型村扶持资金优先用于村庄规划编制、乡村产业发展、公共设施建设等方面，不得用于收益分配。</w:t>
      </w:r>
    </w:p>
    <w:p w14:paraId="4E644F8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典型村扶持资金由各镇街直接安排到各典型村落实经费的使用和管理。各镇街可根据实际情况筹措配套建设资金。（责任单位：区农业农村局、区“百千万工程”指挥部办公室、区住房城乡建设局、相关镇街）</w:t>
      </w:r>
    </w:p>
    <w:p w14:paraId="33179C0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第二十四条 </w:t>
      </w:r>
      <w:r>
        <w:rPr>
          <w:rFonts w:hint="eastAsia" w:ascii="Times New Roman" w:hAnsi="Times New Roman" w:eastAsia="方正仿宋简体" w:cs="宋体"/>
          <w:color w:val="000000"/>
          <w:kern w:val="0"/>
          <w:sz w:val="32"/>
          <w:szCs w:val="32"/>
        </w:rPr>
        <w:t>开展涉农社区“多规合一”实用性村庄规划编制。保障村民建房需求，强化农村风貌管控，完善乡村建设规划许可证实施制度。</w:t>
      </w:r>
    </w:p>
    <w:p w14:paraId="204C7A7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农村住宅建设应当优先利用原有宅基地和空闲地、荒山、荒坡等未利用地，不得占用永久基本农田。</w:t>
      </w:r>
    </w:p>
    <w:p w14:paraId="6DEFF57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在符合“一户一宅”标准、规划与风貌管控要求、面积控制标准等约束性条件的前提下，允许农户通过自主在原址拆旧建新等方式改善居住条件。</w:t>
      </w:r>
    </w:p>
    <w:p w14:paraId="46438B8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结合土地综合整治，探索相邻农户联合统筹翻建、多户合并建房、建设联排式住宅或集体建设农民公寓、农民住宅式小区等农村建房节约集约用地新途径。严格落实“一户一宅”，强化“建新退（拆）旧”管理，鼓励村民按统一标准建设新住宅以后退出旧的宅基地或将旧宅交给农村集体经济组织处理。</w:t>
      </w:r>
    </w:p>
    <w:p w14:paraId="6163065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进一步健全农村宅基地与农村住宅建设管理制度，规范农村宅基地审批和农村建房监管。</w:t>
      </w:r>
    </w:p>
    <w:p w14:paraId="7E74487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加强《广州市美丽乡村设计图集》《岭南新风貌-广东省农房设计方案图集》等农房设计图集的宣传推广，结合《广州市乡村风貌修复提升指引和负面清单》《粤建房粤靓——广东省存量农房外立面改造技术指引》等指引文件，指导开展乡村风貌提升。（责任单位：区规划和自然资源局、区住房城乡建设局、区农业农村局、知识城合作事务办、相关镇街）</w:t>
      </w:r>
    </w:p>
    <w:p w14:paraId="164D498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第二十五条 </w:t>
      </w:r>
      <w:r>
        <w:rPr>
          <w:rFonts w:hint="eastAsia" w:ascii="Times New Roman" w:hAnsi="Times New Roman" w:eastAsia="方正仿宋简体" w:cs="宋体"/>
          <w:color w:val="000000"/>
          <w:kern w:val="0"/>
          <w:sz w:val="32"/>
          <w:szCs w:val="32"/>
        </w:rPr>
        <w:t>积极探索跨村域融合改造的具体路径，结合全区国土空间规划布局，鼓励涉及重点城市功能区、产业发展平台、生态敏感地区等的旧村改造项目在全区范围内异地统筹，探索通过做地收储、土地置换、规模腾挪等方式，实现土地集约节约利用和区域高质量发展。（责任单位：区规划和自然资源局、区城市更新局、知识城合作事务办、相关镇街）</w:t>
      </w:r>
    </w:p>
    <w:p w14:paraId="4A08413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第二十六条 </w:t>
      </w:r>
      <w:r>
        <w:rPr>
          <w:rFonts w:hint="eastAsia" w:ascii="Times New Roman" w:hAnsi="Times New Roman" w:eastAsia="方正仿宋简体" w:cs="宋体"/>
          <w:color w:val="000000"/>
          <w:kern w:val="0"/>
          <w:sz w:val="32"/>
          <w:szCs w:val="32"/>
        </w:rPr>
        <w:t>鼓励发展农村数字经济，鼓励区内软件服务业企业利用物联网、大数据、云计算等技术应用于农村生产发展，实现精准农业，促进传统农业升级转型，同时为乡村公共服务提供解决方案，建设智慧低碳乡村，推广智慧医疗进村等惠民服务，持续推进社区卫生服务站（村卫生室）等服务点的医疗卫生信息化系统全覆盖，探索建立“一屏观全景、一图治全村”的标准化智慧服务平台，建设未来乡村。（责任单位：区发展改革局、区农业农村局、区卫生健康局、区工业和信息化局、区政务服务和数据管理局、相关镇街）</w:t>
      </w:r>
    </w:p>
    <w:p w14:paraId="318D8C8F">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第二十七条 </w:t>
      </w:r>
      <w:r>
        <w:rPr>
          <w:rFonts w:hint="eastAsia" w:ascii="Times New Roman" w:hAnsi="Times New Roman" w:eastAsia="方正仿宋简体" w:cs="宋体"/>
          <w:color w:val="000000"/>
          <w:kern w:val="0"/>
          <w:sz w:val="32"/>
          <w:szCs w:val="32"/>
        </w:rPr>
        <w:t>深入推进城乡基本公共服务均等化，加快推进优质教育资源城乡统筹布局，推进农村地区少年宫、图书馆等公共服务设施建设，完善农村（社区）党群服务中心行政服务、医疗卫生、托育、养老、供销、农技推广、社区服务和法律咨询等“一站式”服务功能。</w:t>
      </w:r>
    </w:p>
    <w:p w14:paraId="4348CE0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优化智能办、就近办服务体系，继续完善全区17个镇街24小时自助服务大厅建设，同时在全区各镇街、社区、专业大厅、企业园区等人员密集场所投放政务智能一体机，建成覆盖全区的“自助办”网络体系。推进政务外网区、镇（街）、村（居）三级全覆盖。</w:t>
      </w:r>
    </w:p>
    <w:p w14:paraId="0523978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以获得奖补的村居颐康服务站为标杆，推进各街道和社区完成颐康服务站的建设任务，深入开展村居颐康服务站的验收工作，充分发挥颐康中心和颐康服务站“1+N”服务网络的作用，为老年人提供全方位、多层次、一站式、到户式综合养老服务。完善各镇街社工站、各村居社工点设置，确保社工站点100%覆盖，落实常态化、规范化、专业化建设，对全区困难群众和特殊困难群体做到“一户一档”、“一人一案”，实现社会工作服务100%覆盖。推进村（社区）法律顾问全覆盖，继续打造示范点，全面落实法律顾问兼任村（社区）调委会副主任制度。推进助农服务中心建设，突出生产性为农服务，拓展农技农资等生产性服务内容，进一步优化农业社会化服务项目。（责任单位：区委社会工作部、区发展改革局、区教育局、区民政局、区司法局、区农业农村局、区文化广电旅游局、区卫生健康局、区政务服务和数据管理局、区供销联社、相关镇街）</w:t>
      </w:r>
    </w:p>
    <w:p w14:paraId="522E6E3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第二十八条 </w:t>
      </w:r>
      <w:r>
        <w:rPr>
          <w:rFonts w:hint="eastAsia" w:ascii="Times New Roman" w:hAnsi="Times New Roman" w:eastAsia="方正仿宋简体" w:cs="宋体"/>
          <w:color w:val="000000"/>
          <w:kern w:val="0"/>
          <w:sz w:val="32"/>
          <w:szCs w:val="32"/>
        </w:rPr>
        <w:t>吸引社会力量，多元参与乡村建设，引导规划设计单位、高校、科研院所及企业充分发挥资本、技术、人才和市场优势，助力乡村振兴高质量发展。</w:t>
      </w:r>
    </w:p>
    <w:p w14:paraId="6C43232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企业参与乡村振兴，支持乡村基础设施建设、产业发展和社会事业发展。支持企业将先进技术应用于乡村建设，提高农业生产效率，改善农村生态环境。引导农村集体经济组织探索“政村企专”（政府、村集体、企业、专家团队）多方合作共赢的村庄运营新模式，共同实现村庄持续“造血”发展。（责任单位：区投资促进局、区教育局、区科技局、区人力资源社会保障局、区规划和自然资源局、区住房城乡建设局、区工业和信息化局、区商务局、区农业农村局、区水务局、区市场监督管理局、知识城合作事务办、相关镇街）</w:t>
      </w:r>
    </w:p>
    <w:p w14:paraId="27991405">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第九章 乡村治理</w:t>
      </w:r>
    </w:p>
    <w:p w14:paraId="29744A2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第二十九条 </w:t>
      </w:r>
      <w:r>
        <w:rPr>
          <w:rFonts w:hint="eastAsia" w:ascii="Times New Roman" w:hAnsi="Times New Roman" w:eastAsia="方正仿宋简体" w:cs="宋体"/>
          <w:color w:val="000000"/>
          <w:kern w:val="0"/>
          <w:sz w:val="32"/>
          <w:szCs w:val="32"/>
        </w:rPr>
        <w:t>加大乡村治理人才的引育力度，鼓励通过聘用等方式吸纳乡村CEO、新乡贤等进入经营管理、专业技术及乡村振兴顾问等岗位，积极培育一批乡土专家，大力推动乡村工匠队伍建设，支持建设乡村振兴智库，壮大乡村治理人才力量。</w:t>
      </w:r>
    </w:p>
    <w:p w14:paraId="05CD0E7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落实广东省人才优粤卡和广州市人才绿卡政策，助力乡村高层次人才集聚。</w:t>
      </w:r>
    </w:p>
    <w:p w14:paraId="0F0B647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符合条件的返乡创业、创办民宿或农家乐人员，给予一次性创业资助、创业租金补贴，具体条件和补贴标准按照人力资源社会保障部门相关政策执行。（责任单位：区农业农村局、区人力资源和社会保障局、各镇街）</w:t>
      </w:r>
    </w:p>
    <w:p w14:paraId="63F736F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第三十条 </w:t>
      </w:r>
      <w:r>
        <w:rPr>
          <w:rFonts w:hint="eastAsia" w:ascii="Times New Roman" w:hAnsi="Times New Roman" w:eastAsia="方正仿宋简体" w:cs="宋体"/>
          <w:color w:val="000000"/>
          <w:kern w:val="0"/>
          <w:sz w:val="32"/>
          <w:szCs w:val="32"/>
        </w:rPr>
        <w:t>乡村治理“积分制”由农村基层党组织领导，通过民主程序，以量化的指标对应乡村治理各项事务，根据实际情况合理设置积分内容和评定标准。乡村治理“积分制”应设置积分兑换奖励机制，采用精神奖励和物质奖励双向激励方式，物质奖励内容由镇街统筹安排。</w:t>
      </w:r>
    </w:p>
    <w:p w14:paraId="1B6C33BD">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加强源头治理，推动重复信访案件、重点类案以及积案难案进一步化解。坚持和发展新时代“枫桥经验”，依托区“信访超市”、镇街综治中心、社区居民议事厅、网格服务驿站，构建四级基层矛盾纠纷化解阵地平台，建立健全“党委领导，政法统筹，信访在前，调解为主，诉讼断后”的制度机制，常态化开展领导干部接访下访、“千名信访干部千镇行解民忧”、矛盾排查预警、形势分析研判等工作，切实把矛盾纠纷化解在基层、化解在萌芽状态。</w:t>
      </w:r>
    </w:p>
    <w:p w14:paraId="74FB1DD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指导村（社区）动态修订完善村规民约（居民公约），倡导社会主义核心价值观。完善基层党组织领导下的协商议事机制，全面落实“四议两公开”和农村议事协商“116”工作法，促进农村和谐稳定。</w:t>
      </w:r>
    </w:p>
    <w:p w14:paraId="759ECA0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积极推进乡村治理示范创建和平安乡村建设，支持创建全国、广东省文明村或民主法治示范村（社区）、全国美丽宜居村庄、中国美丽休闲乡村、广东十大美丽乡村以及全国、广东省美丽庭院。（责任单位：区委组织部、区委宣传部、区委社会工作部、区委政法委、区公安分局、区民政局、区司法局、区住房和城乡建设局、区农业农村局、区文化广电旅游局、区信访局、区妇联、各镇街）</w:t>
      </w:r>
    </w:p>
    <w:p w14:paraId="5492388D">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第十章 基层组织建设</w:t>
      </w:r>
    </w:p>
    <w:p w14:paraId="64EB12A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第三十一条 </w:t>
      </w:r>
      <w:r>
        <w:rPr>
          <w:rFonts w:hint="eastAsia" w:ascii="Times New Roman" w:hAnsi="Times New Roman" w:eastAsia="方正仿宋简体" w:cs="宋体"/>
          <w:color w:val="000000"/>
          <w:kern w:val="0"/>
          <w:sz w:val="32"/>
          <w:szCs w:val="32"/>
        </w:rPr>
        <w:t>各镇街依托“大党委”“大工委”、各村党组织依托“大党委”工作机制，搭建校（院）地合作共建平台，实现党建共建、人才共享、产学研共促。以镇（街）党（工）委为核心引领，推动各镇街辖区服务农业企业、现代农业园区、产业示范带以及学校医院等社会组织加强联动共建，实施农村党员“带头致富、带领致富”促乡村振兴行动，建立党员带富致富“示范项目”“示范基地”。（责任单位：区委组织部、区委社会工作部、区农业农村局、各镇街）</w:t>
      </w:r>
    </w:p>
    <w:p w14:paraId="7EAC957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第三十二条 </w:t>
      </w:r>
      <w:r>
        <w:rPr>
          <w:rFonts w:hint="eastAsia" w:ascii="Times New Roman" w:hAnsi="Times New Roman" w:eastAsia="方正仿宋简体" w:cs="宋体"/>
          <w:color w:val="000000"/>
          <w:kern w:val="0"/>
          <w:sz w:val="32"/>
          <w:szCs w:val="32"/>
        </w:rPr>
        <w:t>加强镇街、经联社、经济社三级干部队伍建设，加强对经济社社长履职监督。疏通基层治理末梢，完善717个经济社组织建设。推行“一经济社一支部”，提高经济社党支部单独组建率，经济社党员社长比例提升至90%以上，推动经济社“一肩挑”比例持续提升。梳理总结基层乡村振兴工作优秀案例，组织评选若干名“乡村振兴担当作为好支书”。从优秀村（社区）党组织书记中考录一批乡镇（街道）公务员，进一步拓宽基层“头雁”上升空间。</w:t>
      </w:r>
    </w:p>
    <w:p w14:paraId="47FC481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优化农村集体干部薪酬与乡村振兴、“百千万工程”工作绩效挂钩的激励考核机制，将乡村振兴、“百千万工程”工作作为对各村、经联社理事会成员薪酬考核的重要内容，对年度考核优秀的，按一定比例上浮干部薪酬；将乡村振兴和“百千万工程”工作纳入经济社理事会成员薪酬方案，对表现突出的经济社干部，给予一次性奖励，激发乡村振兴的内生动力。（责任单位：区委组织部、区委社会工作部、区农业农村局、区“百千万工程”指挥部办公室、各镇街）</w:t>
      </w:r>
    </w:p>
    <w:p w14:paraId="5CBC8B9B">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第十一章 附则</w:t>
      </w:r>
    </w:p>
    <w:p w14:paraId="1A913B7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第三十三条 </w:t>
      </w:r>
      <w:r>
        <w:rPr>
          <w:rFonts w:hint="eastAsia" w:ascii="Times New Roman" w:hAnsi="Times New Roman" w:eastAsia="方正仿宋简体" w:cs="宋体"/>
          <w:color w:val="000000"/>
          <w:kern w:val="0"/>
          <w:sz w:val="32"/>
          <w:szCs w:val="32"/>
        </w:rPr>
        <w:t>引入国内外院士、世界一流、国内顶尖人才的现代农业项目，突破现代农业重大技术瓶颈、产业瓶颈的项目以及需要特别支持的其他重大项目，经管委会、区政府同意，另行予以扶持。</w:t>
      </w:r>
    </w:p>
    <w:p w14:paraId="4DBBE91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第三十四条 </w:t>
      </w:r>
      <w:r>
        <w:rPr>
          <w:rFonts w:hint="eastAsia" w:ascii="Times New Roman" w:hAnsi="Times New Roman" w:eastAsia="方正仿宋简体" w:cs="宋体"/>
          <w:color w:val="000000"/>
          <w:kern w:val="0"/>
          <w:sz w:val="32"/>
          <w:szCs w:val="32"/>
        </w:rPr>
        <w:t>符合本细则规定的同一项目、同一事项同时符合本区其他扶持政策规定（含上级部门要求区配套或负担资金的政策规定）的，按照从高不重复的原则予以支持，另有规定的除外。逐级获得认定或评选的，按相应标准扶持差额部分。获得扶持的涉税支出由扶持对象承担。相关扶持奖励补贴的比例和限额均为上限数额，具体政策扶持兑现视当年度财政预算情况相应调整。</w:t>
      </w:r>
    </w:p>
    <w:p w14:paraId="56FC4AB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本细则提到的货币单位，均以人民币计算，单位精确到元。本细则中“最高”、“达到”、“以上”、“不超过”、“不低于”、“最长”均含本数。</w:t>
      </w:r>
    </w:p>
    <w:p w14:paraId="0D5FDC6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shd w:val="clear" w:color="auto" w:fill="FFFFFF"/>
        </w:rPr>
        <w:t>本细则资金的使用和管理应当遵守有关法律、法规和政策规定，严格执行财政资金管理制度，并接受财政、审计、监察等部门的监督。</w:t>
      </w:r>
      <w:r>
        <w:rPr>
          <w:rFonts w:hint="eastAsia" w:ascii="Times New Roman" w:hAnsi="Times New Roman" w:eastAsia="方正仿宋简体" w:cs="宋体"/>
          <w:color w:val="000000"/>
          <w:kern w:val="0"/>
          <w:sz w:val="32"/>
          <w:szCs w:val="32"/>
        </w:rPr>
        <w:t>对弄虚作假、虚报冒领扶持资金的，一经查实，将采取通知区相关部门、停发或追回扶持资金、纳入诚信记录等措施予以相应的处理</w:t>
      </w:r>
      <w:r>
        <w:rPr>
          <w:rFonts w:hint="eastAsia" w:ascii="Times New Roman" w:hAnsi="Times New Roman" w:eastAsia="方正仿宋简体" w:cs="宋体"/>
          <w:color w:val="000000"/>
          <w:kern w:val="0"/>
          <w:sz w:val="32"/>
          <w:szCs w:val="32"/>
          <w:shd w:val="clear" w:color="auto" w:fill="FFFFFF"/>
        </w:rPr>
        <w:t>。</w:t>
      </w:r>
      <w:r>
        <w:rPr>
          <w:rFonts w:hint="eastAsia" w:ascii="Times New Roman" w:hAnsi="Times New Roman" w:eastAsia="方正仿宋简体" w:cs="宋体"/>
          <w:color w:val="000000"/>
          <w:kern w:val="0"/>
          <w:sz w:val="32"/>
          <w:szCs w:val="32"/>
        </w:rPr>
        <w:t>构成犯罪的，依法追究刑事责任。扶持对象如违反相关承诺，应将所获扶持金予以退回。</w:t>
      </w:r>
    </w:p>
    <w:p w14:paraId="3899622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细则涉及的政策兑现事项采用“一门受理、内部流转、集成服务、限时办结”政策兑现办理模式，有特殊规定的，从其规定。申请本细则扶持资金的单位或个人，按区政务服务中心政策兑现窗口通知的时间，向区政务服务中心政策兑现窗口提出申请，逾期不申请视同自动放弃。符合条件的单位或个人申报时间、流程和所需提交的材料以相关部门在政策兑现系统公开的对应事项的办事指南为准。</w:t>
      </w:r>
    </w:p>
    <w:p w14:paraId="4A23B51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第四条、第五条、第六条、第七条、第十条、第十一条、第十二条、第十三条、第二十条、第二十二条的兑现资金由区农业农村部门负责发放，所需资金由黄埔区人民政府安排，纳入区农业农村部门年度预算安排。其余工作任务由各相关部门、单位按照《若干措施》和本细则的要求，制定工作方案或工作计划并推动落实。</w:t>
      </w:r>
    </w:p>
    <w:p w14:paraId="7CB2A40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第三十五条 </w:t>
      </w:r>
      <w:r>
        <w:rPr>
          <w:rFonts w:hint="eastAsia" w:ascii="Times New Roman" w:hAnsi="Times New Roman" w:eastAsia="方正仿宋简体" w:cs="宋体"/>
          <w:color w:val="000000"/>
          <w:kern w:val="0"/>
          <w:sz w:val="32"/>
          <w:szCs w:val="32"/>
        </w:rPr>
        <w:t>本细则自印发之日起施行，有效期至2026年12月31日。有效期满而相关扶持事项应当执行而尚未执行完毕的，应继续执行至全部完毕。</w:t>
      </w:r>
    </w:p>
    <w:p w14:paraId="4CA93DF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21FFD24B">
      <w:pPr>
        <w:widowControl/>
        <w:shd w:val="clear" w:color="auto" w:fill="FFFFFF"/>
        <w:ind w:firstLine="640"/>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公开方式：主动公开</w:t>
      </w:r>
    </w:p>
    <w:p w14:paraId="2047AD60">
      <w:pPr>
        <w:widowControl/>
        <w:shd w:val="clear" w:color="auto" w:fill="FFFFFF"/>
        <w:ind w:firstLine="640"/>
        <w:textAlignment w:val="baseline"/>
        <w:rPr>
          <w:rFonts w:hint="eastAsia" w:ascii="Times New Roman" w:hAnsi="Times New Roman" w:eastAsia="方正仿宋简体" w:cs="宋体"/>
          <w:color w:val="000000"/>
          <w:kern w:val="0"/>
          <w:sz w:val="32"/>
          <w:szCs w:val="32"/>
        </w:rPr>
      </w:pPr>
    </w:p>
    <w:p w14:paraId="298E16FF">
      <w:pPr>
        <w:shd w:val="clear" w:color="auto" w:fill="FFFFFF"/>
        <w:jc w:val="center"/>
        <w:textAlignment w:val="baseline"/>
        <w:outlineLvl w:val="0"/>
        <w:rPr>
          <w:rFonts w:hint="eastAsia" w:ascii="Times New Roman" w:hAnsi="Times New Roman" w:eastAsia="等线" w:cs="Times New Roman"/>
          <w:color w:val="000000"/>
          <w:szCs w:val="22"/>
        </w:rPr>
      </w:pPr>
      <w:r>
        <w:rPr>
          <w:rFonts w:hint="eastAsia" w:ascii="Times New Roman" w:hAnsi="Times New Roman" w:eastAsia="方正小标宋简体" w:cs="Times New Roman"/>
          <w:color w:val="000000"/>
          <w:spacing w:val="-10"/>
          <w:kern w:val="28"/>
          <w:sz w:val="44"/>
          <w:szCs w:val="56"/>
        </w:rPr>
        <w:t>广州市花都区科技工业和信息化局关于印发花都区中小企业助保贷业务管理办法的通知</w:t>
      </w:r>
    </w:p>
    <w:p w14:paraId="0616928E">
      <w:pPr>
        <w:shd w:val="clear" w:color="auto" w:fill="FFFFFF"/>
        <w:spacing w:line="48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花科工信规字〔2024〕1号</w:t>
      </w:r>
    </w:p>
    <w:p w14:paraId="203A5754">
      <w:pPr>
        <w:shd w:val="clear" w:color="auto" w:fill="FFFFFF"/>
        <w:spacing w:line="48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各镇（街）政府（办事处）、各有关单位：</w:t>
      </w:r>
    </w:p>
    <w:p w14:paraId="110ED0AD">
      <w:pPr>
        <w:shd w:val="clear" w:color="auto" w:fill="FFFFFF"/>
        <w:spacing w:line="48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《花都区中小企业助保贷业务管理办法》已经区政府同意，现印发给你们，请认真组织实施。实施过程中遇到的问题，请径向区科技工业信息化局反映。</w:t>
      </w:r>
    </w:p>
    <w:p w14:paraId="556FC396">
      <w:pPr>
        <w:shd w:val="clear" w:color="auto" w:fill="FFFFFF"/>
        <w:spacing w:line="48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p>
    <w:p w14:paraId="22B334FD">
      <w:pPr>
        <w:shd w:val="clear" w:color="auto" w:fill="FFFFFF"/>
        <w:jc w:val="left"/>
        <w:textAlignment w:val="baseline"/>
        <w:rPr>
          <w:rFonts w:ascii="Times New Roman" w:hAnsi="Times New Roman" w:eastAsia="方正仿宋简体" w:cs="Times New Roman"/>
          <w:color w:val="000000"/>
          <w:kern w:val="0"/>
          <w:sz w:val="32"/>
          <w:szCs w:val="32"/>
        </w:rPr>
      </w:pPr>
    </w:p>
    <w:p w14:paraId="31EB4826">
      <w:pPr>
        <w:shd w:val="clear" w:color="auto" w:fill="FFFFFF"/>
        <w:spacing w:line="48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广州市花都区科技工业和信息化局</w:t>
      </w:r>
    </w:p>
    <w:p w14:paraId="0D1814FA">
      <w:pPr>
        <w:shd w:val="clear" w:color="auto" w:fill="FFFFFF"/>
        <w:spacing w:line="48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2024年8月28日   </w:t>
      </w:r>
    </w:p>
    <w:p w14:paraId="0F33CA86">
      <w:pPr>
        <w:shd w:val="clear" w:color="auto" w:fill="FFFFFF"/>
        <w:jc w:val="left"/>
        <w:textAlignment w:val="baseline"/>
        <w:rPr>
          <w:rFonts w:ascii="Times New Roman" w:hAnsi="Times New Roman" w:eastAsia="方正仿宋简体" w:cs="Times New Roman"/>
          <w:color w:val="000000"/>
          <w:kern w:val="0"/>
          <w:sz w:val="32"/>
          <w:szCs w:val="32"/>
        </w:rPr>
      </w:pPr>
    </w:p>
    <w:p w14:paraId="79A9317E">
      <w:pPr>
        <w:shd w:val="clear" w:color="auto" w:fill="FFFFFF"/>
        <w:spacing w:line="48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花都区中小企业助保贷业务管理办法</w:t>
      </w:r>
    </w:p>
    <w:p w14:paraId="4553CE5D">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第一章 总则</w:t>
      </w:r>
    </w:p>
    <w:p w14:paraId="524976D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第一条 </w:t>
      </w:r>
      <w:r>
        <w:rPr>
          <w:rFonts w:hint="eastAsia" w:ascii="Times New Roman" w:hAnsi="Times New Roman" w:eastAsia="方正仿宋简体" w:cs="Times New Roman"/>
          <w:color w:val="000000"/>
          <w:kern w:val="0"/>
          <w:sz w:val="32"/>
          <w:szCs w:val="32"/>
        </w:rPr>
        <w:t>为规范本区中小企业助保贷（以下简称助保贷）业务操作及管理，优化中小企业信贷环境，促进中小企业高质量发展，依据《广东省促进中小企业发展条例》，制定本办法。</w:t>
      </w:r>
    </w:p>
    <w:p w14:paraId="426902C8">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第二条 </w:t>
      </w:r>
      <w:r>
        <w:rPr>
          <w:rFonts w:hint="eastAsia" w:ascii="Times New Roman" w:hAnsi="Times New Roman" w:eastAsia="方正仿宋简体" w:cs="Times New Roman"/>
          <w:color w:val="000000"/>
          <w:kern w:val="0"/>
          <w:sz w:val="32"/>
          <w:szCs w:val="32"/>
        </w:rPr>
        <w:t>本办法所称中小企业助保贷业务，是指由政府提供政府风险补偿金，与企业缴纳一定比例的企业助保金共同作为增信手段，通过合作银行向区内符合条件的中小企业发放贷款的信贷业务。</w:t>
      </w:r>
    </w:p>
    <w:p w14:paraId="56D495A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第三条 </w:t>
      </w:r>
      <w:r>
        <w:rPr>
          <w:rFonts w:hint="eastAsia" w:ascii="Times New Roman" w:hAnsi="Times New Roman" w:eastAsia="方正仿宋简体" w:cs="Times New Roman"/>
          <w:color w:val="000000"/>
          <w:kern w:val="0"/>
          <w:sz w:val="32"/>
          <w:szCs w:val="32"/>
        </w:rPr>
        <w:t>本办法所称“企业助保金”是指经认定纳入名单内管理的中小企业，根据其在合作银行获得助保贷业务贷款金额，按约定比例缴纳的资金，该资金用于先行偿还所有名单内企业通过助保贷业务发生的不良贷款本金。</w:t>
      </w:r>
    </w:p>
    <w:p w14:paraId="30F30A3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第四条 </w:t>
      </w:r>
      <w:r>
        <w:rPr>
          <w:rFonts w:hint="eastAsia" w:ascii="Times New Roman" w:hAnsi="Times New Roman" w:eastAsia="方正仿宋简体" w:cs="Times New Roman"/>
          <w:color w:val="000000"/>
          <w:kern w:val="0"/>
          <w:sz w:val="32"/>
          <w:szCs w:val="32"/>
        </w:rPr>
        <w:t>本办法所称“政府风险补偿金”，由区财政资金和省（市）财政配套资金构成。当合作银行为“区助保贷业务中小微企业名单”内企业提供助保贷业务产生风险损失，且企业助保金不足覆盖不良贷款本金损失时，动用政府风险补偿金按规定比例进行补偿。省（市）配套的风险补偿资金按省（市）有关政策规定的风险代偿顺序进行代偿。</w:t>
      </w:r>
    </w:p>
    <w:p w14:paraId="444DBE0F">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第五条 </w:t>
      </w:r>
      <w:r>
        <w:rPr>
          <w:rFonts w:hint="eastAsia" w:ascii="Times New Roman" w:hAnsi="Times New Roman" w:eastAsia="方正仿宋简体" w:cs="Times New Roman"/>
          <w:color w:val="000000"/>
          <w:kern w:val="0"/>
          <w:sz w:val="32"/>
          <w:szCs w:val="32"/>
        </w:rPr>
        <w:t>企业助保金和政府风险补偿金用于合作银行为符合条件的花都区中小企业提供助保贷业务贷款并发生不良贷款本金时给予一定的补偿。本办法所称不良贷款是指经贷款五级分类确认划分为次级、可疑或损失的三类不良贷款（不含贴现）。</w:t>
      </w:r>
    </w:p>
    <w:p w14:paraId="7D0AA3E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第六条 </w:t>
      </w:r>
      <w:r>
        <w:rPr>
          <w:rFonts w:hint="eastAsia" w:ascii="Times New Roman" w:hAnsi="Times New Roman" w:eastAsia="方正仿宋简体" w:cs="Times New Roman"/>
          <w:color w:val="000000"/>
          <w:kern w:val="0"/>
          <w:sz w:val="32"/>
          <w:szCs w:val="32"/>
        </w:rPr>
        <w:t>鼓励省内政策性融资担保机构为合作银行发放的助保贷业务贷款提供进一步的风险分担，具体由合作银行与担保机构签订批量担保合作协议进行约定；融资担保机构自行承担因履行担保责任产生的担保代偿损失，风险补偿资金对批量融资担保代偿损失不做任何补偿。</w:t>
      </w:r>
    </w:p>
    <w:p w14:paraId="773A489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第七条 </w:t>
      </w:r>
      <w:r>
        <w:rPr>
          <w:rFonts w:hint="eastAsia" w:ascii="Times New Roman" w:hAnsi="Times New Roman" w:eastAsia="方正仿宋简体" w:cs="Times New Roman"/>
          <w:color w:val="000000"/>
          <w:kern w:val="0"/>
          <w:sz w:val="32"/>
          <w:szCs w:val="32"/>
        </w:rPr>
        <w:t>助保贷业务贷款必须用在企业的主营业务或与主营业务相关的产品研发、技术改造、市场开拓等企业经营活动，不得用于从事以下业务：（一）从事房地产、股票、期货、证券投资基金、企业债券、金融衍生品等投资；（二）向任何第三方提供贷款或资金拆借；（三）从事法律、行政法规、地方性法规及政策明确禁止的业务。</w:t>
      </w:r>
    </w:p>
    <w:p w14:paraId="619ED289">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第二章  助保贷业务职责分工</w:t>
      </w:r>
    </w:p>
    <w:p w14:paraId="7DF9738D">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第八条 </w:t>
      </w:r>
      <w:r>
        <w:rPr>
          <w:rFonts w:hint="eastAsia" w:ascii="Times New Roman" w:hAnsi="Times New Roman" w:eastAsia="方正仿宋简体" w:cs="Times New Roman"/>
          <w:color w:val="000000"/>
          <w:kern w:val="0"/>
          <w:sz w:val="32"/>
          <w:szCs w:val="32"/>
        </w:rPr>
        <w:t>实行中小企业助保贷业务工作联席会议制度，对区助保贷业务重大事项进行审议决定；联席会议原则上每季度召开一次（根据需要也可随时召集）。联席会议成员单位由区科技工业信息化局、区发展改革局、区财政局、区商务局、区司法局组成，区科技工业信息化局负责联席会议的组织召集。</w:t>
      </w:r>
    </w:p>
    <w:p w14:paraId="5F8300D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第九条 </w:t>
      </w:r>
      <w:r>
        <w:rPr>
          <w:rFonts w:hint="eastAsia" w:ascii="Times New Roman" w:hAnsi="Times New Roman" w:eastAsia="方正仿宋简体" w:cs="Times New Roman"/>
          <w:color w:val="000000"/>
          <w:kern w:val="0"/>
          <w:sz w:val="32"/>
          <w:szCs w:val="32"/>
        </w:rPr>
        <w:t>设立广州市花都区中小企业助保贷业务办公室（以下简称“区助保贷办公室”），设在区科技工业信息化局，负责区助保贷业务日常工作，包括组织合作银行机构签订合作协议、对申请进入“区助保贷业务中小微企业名单”的中小企业进行初审、出具《助保贷业务通知书》、定期组织开展绩效评价等日常监管工作。</w:t>
      </w:r>
    </w:p>
    <w:p w14:paraId="6CB5F10A">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第十条 </w:t>
      </w:r>
      <w:r>
        <w:rPr>
          <w:rFonts w:hint="eastAsia" w:ascii="Times New Roman" w:hAnsi="Times New Roman" w:eastAsia="方正仿宋简体" w:cs="Times New Roman"/>
          <w:color w:val="000000"/>
          <w:kern w:val="0"/>
          <w:sz w:val="32"/>
          <w:szCs w:val="32"/>
        </w:rPr>
        <w:t>区发展改革局负责审核申请进入“区助保贷业务中小微企业名单”的企业是否符合国家产业发展政策及花都区产业发展导向。</w:t>
      </w:r>
    </w:p>
    <w:p w14:paraId="59D9ABF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第十一条 </w:t>
      </w:r>
      <w:r>
        <w:rPr>
          <w:rFonts w:hint="eastAsia" w:ascii="Times New Roman" w:hAnsi="Times New Roman" w:eastAsia="方正仿宋简体" w:cs="Times New Roman"/>
          <w:color w:val="000000"/>
          <w:kern w:val="0"/>
          <w:sz w:val="32"/>
          <w:szCs w:val="32"/>
        </w:rPr>
        <w:t>区财政局负责区助保贷业务所需政府风险补偿金的预算安排及资金保障，并对风险补偿金使用情况进行监督、检查。</w:t>
      </w:r>
    </w:p>
    <w:p w14:paraId="7AFB8AAC">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第十二条 </w:t>
      </w:r>
      <w:r>
        <w:rPr>
          <w:rFonts w:hint="eastAsia" w:ascii="Times New Roman" w:hAnsi="Times New Roman" w:eastAsia="方正仿宋简体" w:cs="Times New Roman"/>
          <w:color w:val="000000"/>
          <w:kern w:val="0"/>
          <w:sz w:val="32"/>
          <w:szCs w:val="32"/>
        </w:rPr>
        <w:t>区商务局负责择优推荐合作银行，并提交区助保贷业务联席会议审议表决。</w:t>
      </w:r>
    </w:p>
    <w:p w14:paraId="05CA0DE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第十三条 </w:t>
      </w:r>
      <w:r>
        <w:rPr>
          <w:rFonts w:hint="eastAsia" w:ascii="Times New Roman" w:hAnsi="Times New Roman" w:eastAsia="方正仿宋简体" w:cs="Times New Roman"/>
          <w:color w:val="000000"/>
          <w:kern w:val="0"/>
          <w:sz w:val="32"/>
          <w:szCs w:val="32"/>
        </w:rPr>
        <w:t>区司法局负责为区助保贷业务运作和风险补偿等提供法律支援。</w:t>
      </w:r>
    </w:p>
    <w:p w14:paraId="74F3B5D3">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第十四条 </w:t>
      </w:r>
      <w:r>
        <w:rPr>
          <w:rFonts w:hint="eastAsia" w:ascii="Times New Roman" w:hAnsi="Times New Roman" w:eastAsia="方正仿宋简体" w:cs="Times New Roman"/>
          <w:color w:val="000000"/>
          <w:kern w:val="0"/>
          <w:sz w:val="32"/>
          <w:szCs w:val="32"/>
        </w:rPr>
        <w:t>各镇（街道、管委会）指定专门机构负责“助保贷”业务相关工作，主要职责是收集辖区内企业融资需求、推荐中小企业、协助尽调等，当合作银行进行贷款追偿时给予协助。</w:t>
      </w:r>
    </w:p>
    <w:p w14:paraId="38F65006">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第十五条 </w:t>
      </w:r>
      <w:r>
        <w:rPr>
          <w:rFonts w:hint="eastAsia" w:ascii="Times New Roman" w:hAnsi="Times New Roman" w:eastAsia="方正仿宋简体" w:cs="Times New Roman"/>
          <w:color w:val="000000"/>
          <w:kern w:val="0"/>
          <w:sz w:val="32"/>
          <w:szCs w:val="32"/>
        </w:rPr>
        <w:t>合作银行是指自愿遵守本办法规定，在花都区登记或设有分行的银行业金融机构，要求信誉良好、风险管理体系完善、并配备专业工作人员。合作银行主要负责对贷款项目进行调查和评估，并提出推荐意见；对符合相关条件的项目发放贷款；逐笔进行贷前调查、风险管控审查和贷后管理；发放贷款和归还借款后，将借款凭证和还款凭证及时报区助保贷办公室，同时将贷款发放及利息收取情况、专户资金明细等信息按月度报送区助保贷办公室。</w:t>
      </w:r>
    </w:p>
    <w:p w14:paraId="02FA7D6D">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第三章  风险补偿金的设立管理</w:t>
      </w:r>
    </w:p>
    <w:p w14:paraId="4FCEC121">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第十六条 </w:t>
      </w:r>
      <w:r>
        <w:rPr>
          <w:rFonts w:hint="eastAsia" w:ascii="Times New Roman" w:hAnsi="Times New Roman" w:eastAsia="方正仿宋简体" w:cs="Times New Roman"/>
          <w:color w:val="000000"/>
          <w:kern w:val="0"/>
          <w:sz w:val="32"/>
          <w:szCs w:val="32"/>
        </w:rPr>
        <w:t>本办法所称“风险补偿金”由财政出资的</w:t>
      </w:r>
      <w:r>
        <w:rPr>
          <w:rFonts w:hint="eastAsia" w:ascii="Times New Roman" w:hAnsi="Times New Roman" w:eastAsia="方正仿宋简体" w:cs="Times New Roman"/>
          <w:b/>
          <w:color w:val="000000"/>
          <w:kern w:val="0"/>
          <w:sz w:val="32"/>
          <w:szCs w:val="32"/>
        </w:rPr>
        <w:t>政府风险补偿金</w:t>
      </w:r>
      <w:r>
        <w:rPr>
          <w:rFonts w:hint="eastAsia" w:ascii="Times New Roman" w:hAnsi="Times New Roman" w:eastAsia="方正仿宋简体" w:cs="Times New Roman"/>
          <w:color w:val="000000"/>
          <w:kern w:val="0"/>
          <w:sz w:val="32"/>
          <w:szCs w:val="32"/>
        </w:rPr>
        <w:t>和企业按比例缴纳的</w:t>
      </w:r>
      <w:r>
        <w:rPr>
          <w:rFonts w:hint="eastAsia" w:ascii="Times New Roman" w:hAnsi="Times New Roman" w:eastAsia="方正仿宋简体" w:cs="Times New Roman"/>
          <w:b/>
          <w:color w:val="000000"/>
          <w:kern w:val="0"/>
          <w:sz w:val="32"/>
          <w:szCs w:val="32"/>
        </w:rPr>
        <w:t>企业助保金</w:t>
      </w:r>
      <w:r>
        <w:rPr>
          <w:rFonts w:hint="eastAsia" w:ascii="Times New Roman" w:hAnsi="Times New Roman" w:eastAsia="方正仿宋简体" w:cs="Times New Roman"/>
          <w:color w:val="000000"/>
          <w:kern w:val="0"/>
          <w:sz w:val="32"/>
          <w:szCs w:val="32"/>
        </w:rPr>
        <w:t>组成。</w:t>
      </w:r>
    </w:p>
    <w:p w14:paraId="4747DFDF">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第十七条 </w:t>
      </w:r>
      <w:r>
        <w:rPr>
          <w:rFonts w:hint="eastAsia" w:ascii="Times New Roman" w:hAnsi="Times New Roman" w:eastAsia="方正仿宋简体" w:cs="Times New Roman"/>
          <w:color w:val="000000"/>
          <w:kern w:val="0"/>
          <w:sz w:val="32"/>
          <w:szCs w:val="32"/>
        </w:rPr>
        <w:t>经区财政局批准，区助保贷办公室授权，以广州市花都区中小企业服务中心的名义在各合作银行开设的专用存款账户存放政府风险补偿金和企业助保金，政府风险补偿金孳生的利息滚存进入政府风险补偿金专用存款账户，企业助保金孳生的利息滚存进入企业助保金专用存款账户。</w:t>
      </w:r>
    </w:p>
    <w:p w14:paraId="6ED5495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第十八条 </w:t>
      </w:r>
      <w:r>
        <w:rPr>
          <w:rFonts w:hint="eastAsia" w:ascii="Times New Roman" w:hAnsi="Times New Roman" w:eastAsia="方正仿宋简体" w:cs="Times New Roman"/>
          <w:color w:val="000000"/>
          <w:kern w:val="0"/>
          <w:sz w:val="32"/>
          <w:szCs w:val="32"/>
        </w:rPr>
        <w:t>政府风险补偿金余额保持在5000万元以上，因发生代偿低于5000万元或根据业务需要增加风险补偿金时，由区助保贷办公室提请联席会议审议并报请区政府同意后，花都区本级财政进行追加拨付。</w:t>
      </w:r>
    </w:p>
    <w:p w14:paraId="26C7435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第十九条 </w:t>
      </w:r>
      <w:r>
        <w:rPr>
          <w:rFonts w:hint="eastAsia" w:ascii="Times New Roman" w:hAnsi="Times New Roman" w:eastAsia="方正仿宋简体" w:cs="Times New Roman"/>
          <w:color w:val="000000"/>
          <w:kern w:val="0"/>
          <w:sz w:val="32"/>
          <w:szCs w:val="32"/>
        </w:rPr>
        <w:t>企业助保金按助保贷业务贷款金额1%的比例缴纳，在合作银行发放贷款前存入区助保贷办公室指定的企业助保金专用存款账户；期满如需续贷，续贷时续贷金额不超过上期贷款额的可免缴企业助保金，如超过则仅交超过部分的1%。</w:t>
      </w:r>
    </w:p>
    <w:p w14:paraId="0B12797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第二十条 </w:t>
      </w:r>
      <w:r>
        <w:rPr>
          <w:rFonts w:hint="eastAsia" w:ascii="Times New Roman" w:hAnsi="Times New Roman" w:eastAsia="方正仿宋简体" w:cs="Times New Roman"/>
          <w:color w:val="000000"/>
          <w:kern w:val="0"/>
          <w:sz w:val="32"/>
          <w:szCs w:val="32"/>
        </w:rPr>
        <w:t>根据“风险共担”的原则，企业按期还清贷款后，若贷款期限内企业助保金无代偿，由区助保贷办公室提请联席会议审议通过后，五个工作日内将缴纳的助保金全额退还企业；若企业助保金有代偿，先全额扣除违约企业缴纳的企业助保金，再按比例扣除后剩余部分退还企业。对清收处置退回企业助保金专用存款账户的资金，区助保贷办公室将另行制定企业助保金返还方案。</w:t>
      </w:r>
    </w:p>
    <w:p w14:paraId="2E2E6FD4">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第二十一条 </w:t>
      </w:r>
      <w:r>
        <w:rPr>
          <w:rFonts w:hint="eastAsia" w:ascii="Times New Roman" w:hAnsi="Times New Roman" w:eastAsia="方正仿宋简体" w:cs="Times New Roman"/>
          <w:color w:val="000000"/>
          <w:kern w:val="0"/>
          <w:sz w:val="32"/>
          <w:szCs w:val="32"/>
        </w:rPr>
        <w:t>合作银行在合作协议期内须按不低于存放的风险补偿金10倍比例放大贷款额度；区助保贷办公室每年组织开展合作银行发放业务贷款情况评估，报经联席会议同意后，有权对存放各银行的风险补偿金额度进行调整。</w:t>
      </w:r>
    </w:p>
    <w:p w14:paraId="3F36B665">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第四章  区助保贷业务中小微企业名单的确定和管理</w:t>
      </w:r>
    </w:p>
    <w:p w14:paraId="1AD5426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第二十二条 </w:t>
      </w:r>
      <w:r>
        <w:rPr>
          <w:rFonts w:hint="eastAsia" w:ascii="Times New Roman" w:hAnsi="Times New Roman" w:eastAsia="方正仿宋简体" w:cs="Times New Roman"/>
          <w:color w:val="000000"/>
          <w:kern w:val="0"/>
          <w:sz w:val="32"/>
          <w:szCs w:val="32"/>
        </w:rPr>
        <w:t>进入“区助保贷业务中小微企业名单”的条件要求：</w:t>
      </w:r>
    </w:p>
    <w:p w14:paraId="118AF85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区省级及以上“专精特新”中小企业或获认定国家高新技术企业的中小企业直接列入“区助保贷业务中小微企业名单”，其他对花都区经济社会发展作出实质贡献的中小微企业，由各合作银行推荐给区助保贷办公室。</w:t>
      </w:r>
    </w:p>
    <w:p w14:paraId="16E8388C">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第二十三条 </w:t>
      </w:r>
      <w:r>
        <w:rPr>
          <w:rFonts w:hint="eastAsia" w:ascii="Times New Roman" w:hAnsi="Times New Roman" w:eastAsia="方正仿宋简体" w:cs="Times New Roman"/>
          <w:color w:val="000000"/>
          <w:kern w:val="0"/>
          <w:sz w:val="32"/>
          <w:szCs w:val="32"/>
        </w:rPr>
        <w:t>区助保贷办公室对“区助保贷业务中小微企业名单”实行动态管理，根据联席会议审议结果，及时增补符合条件的企业进入“区助保贷业务中小微企业名单”，及时将已关停的企业或不具备条件的企业清出“区助保贷业务中小微企业名单”。</w:t>
      </w:r>
    </w:p>
    <w:p w14:paraId="478DA91F">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第五章  助保贷业务贷款的申请和发放</w:t>
      </w:r>
    </w:p>
    <w:p w14:paraId="4D9E88C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第二十四条 </w:t>
      </w:r>
      <w:r>
        <w:rPr>
          <w:rFonts w:hint="eastAsia" w:ascii="Times New Roman" w:hAnsi="Times New Roman" w:eastAsia="方正仿宋简体" w:cs="Times New Roman"/>
          <w:color w:val="000000"/>
          <w:kern w:val="0"/>
          <w:sz w:val="32"/>
          <w:szCs w:val="32"/>
        </w:rPr>
        <w:t>申请“助保贷”业务贷款的企业，必须符合下列条件：</w:t>
      </w:r>
    </w:p>
    <w:p w14:paraId="2C20989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（一）属“区助保贷业务中小微企业名单”企业；</w:t>
      </w:r>
    </w:p>
    <w:p w14:paraId="3CAF5E98">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（二）各合作银行申请贷款所需的条件。</w:t>
      </w:r>
    </w:p>
    <w:p w14:paraId="63F3A795">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第二十五条 </w:t>
      </w:r>
      <w:r>
        <w:rPr>
          <w:rFonts w:hint="eastAsia" w:ascii="Times New Roman" w:hAnsi="Times New Roman" w:eastAsia="方正仿宋简体" w:cs="Times New Roman"/>
          <w:color w:val="000000"/>
          <w:kern w:val="0"/>
          <w:sz w:val="32"/>
          <w:szCs w:val="32"/>
        </w:rPr>
        <w:t>办理贷款的材料及流程：</w:t>
      </w:r>
    </w:p>
    <w:p w14:paraId="04CED625">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（一）名单内符合条件的借款申请人向合作银行递交《花都区助保贷业务贷款申请表》（附件1）、《企业贷款承诺书》（附件2）、合作银行要求的有关资料；</w:t>
      </w:r>
    </w:p>
    <w:p w14:paraId="367814A0">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合作银行进行贷前尽职调查和风险评估，申请材料齐全的情况下须于5个工作日内完成审批。不同意贷款的，当告知申请企业，并说明原因；同意贷款的，将《贷款推荐函》（附件3）连同有关资料递交区助保贷办公室；</w:t>
      </w:r>
    </w:p>
    <w:p w14:paraId="22DFAB36">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（三）申请贷款企业按本办法第十九条规定缴纳企业助保金后，合作银行向申请企业发放贷款。</w:t>
      </w:r>
    </w:p>
    <w:p w14:paraId="17FC6F44">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第二十六条 </w:t>
      </w:r>
      <w:r>
        <w:rPr>
          <w:rFonts w:hint="eastAsia" w:ascii="Times New Roman" w:hAnsi="Times New Roman" w:eastAsia="方正仿宋简体" w:cs="Times New Roman"/>
          <w:color w:val="000000"/>
          <w:kern w:val="0"/>
          <w:sz w:val="32"/>
          <w:szCs w:val="32"/>
        </w:rPr>
        <w:t>合作银行可根据企业提供的担保情况，不同类型企业相应的贷款额度如下：</w:t>
      </w:r>
    </w:p>
    <w:p w14:paraId="3B4590B6">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（一）信用贷款额度上限为1000万元。</w:t>
      </w:r>
    </w:p>
    <w:p w14:paraId="0CBB63F2">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（二）抵（质）押贷款额度不超过企业提供抵（质）押物最新评估价值的2.5倍，上限为3000万元。</w:t>
      </w:r>
    </w:p>
    <w:p w14:paraId="6A4AC448">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具体贷款额度以合作银行审批结果为准。</w:t>
      </w:r>
    </w:p>
    <w:p w14:paraId="57FA6378">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第二十七条 </w:t>
      </w:r>
      <w:r>
        <w:rPr>
          <w:rFonts w:hint="eastAsia" w:ascii="Times New Roman" w:hAnsi="Times New Roman" w:eastAsia="方正仿宋简体" w:cs="Times New Roman"/>
          <w:color w:val="000000"/>
          <w:kern w:val="0"/>
          <w:sz w:val="32"/>
          <w:szCs w:val="32"/>
        </w:rPr>
        <w:t>助保贷业务贷款期限最长不超过三年。所有贷款原则上不以任何形式展期，如遇特殊情况，由合作银行提出，经联席会议批准同意后方可延期，最长不超过一年。贷款利率最高不超过中国人民银行公布的同期同档次贷款市场报价利率（LPR）的1.15倍。</w:t>
      </w:r>
    </w:p>
    <w:p w14:paraId="4A556D9D">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第二十八条 </w:t>
      </w:r>
      <w:r>
        <w:rPr>
          <w:rFonts w:hint="eastAsia" w:ascii="Times New Roman" w:hAnsi="Times New Roman" w:eastAsia="方正仿宋简体" w:cs="Times New Roman"/>
          <w:color w:val="000000"/>
          <w:kern w:val="0"/>
          <w:sz w:val="32"/>
          <w:szCs w:val="32"/>
        </w:rPr>
        <w:t>合作银行通过助保贷业务发生的贷款，除利息外不得以财务管理、咨询等名义收取任何费用。</w:t>
      </w:r>
    </w:p>
    <w:p w14:paraId="430DF112">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第六章  风险补偿金的使用和管理</w:t>
      </w:r>
    </w:p>
    <w:p w14:paraId="18DC0393">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第二十九条 </w:t>
      </w:r>
      <w:r>
        <w:rPr>
          <w:rFonts w:hint="eastAsia" w:ascii="Times New Roman" w:hAnsi="Times New Roman" w:eastAsia="方正仿宋简体" w:cs="Times New Roman"/>
          <w:color w:val="000000"/>
          <w:kern w:val="0"/>
          <w:sz w:val="32"/>
          <w:szCs w:val="32"/>
        </w:rPr>
        <w:t>原则上在助保贷业务贷款逾期或连续欠息1个月以上时，合作银行需执行追款程序并及时报告区助保贷办公室。成功追回或企业恢复还款的资金在扣除相关费用后，偿还原贷款。</w:t>
      </w:r>
    </w:p>
    <w:p w14:paraId="4F428051">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第三十条 </w:t>
      </w:r>
      <w:r>
        <w:rPr>
          <w:rFonts w:hint="eastAsia" w:ascii="Times New Roman" w:hAnsi="Times New Roman" w:eastAsia="方正仿宋简体" w:cs="Times New Roman"/>
          <w:color w:val="000000"/>
          <w:kern w:val="0"/>
          <w:sz w:val="32"/>
          <w:szCs w:val="32"/>
        </w:rPr>
        <w:t>助保贷业务贷款发生逾期2个月以上，被确定为不良贷款且合作银行追收未果的，经合作银行向司法机关提起诉讼或仲裁程序且取得受理通知后，合作银行可申请启动补偿程序。由合作银行向区助保贷办公室提交《关于使用企业助保金的函》（附件5），经区助保贷办公室上报联席会议审议通过后，合作银行凭区助保贷办公室出具的《区助保贷办公室关于使用企业助保金审批意见表》（附件6），使用企业助保金先行补偿不良贷款本金。</w:t>
      </w:r>
    </w:p>
    <w:p w14:paraId="4C23963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第三十一条 </w:t>
      </w:r>
      <w:r>
        <w:rPr>
          <w:rFonts w:hint="eastAsia" w:ascii="Times New Roman" w:hAnsi="Times New Roman" w:eastAsia="方正仿宋简体" w:cs="Times New Roman"/>
          <w:color w:val="000000"/>
          <w:kern w:val="0"/>
          <w:sz w:val="32"/>
          <w:szCs w:val="32"/>
        </w:rPr>
        <w:t>当企业助保金不足覆盖不良贷款本金时，由合作银行提交《关于使用风险补偿金的函》（附件7）。经区助保贷办公室提请联席会议审议并报区政府同意后，由区助保贷办公室出具《区助保贷办公室关于使用政府风险补偿金审批意见表》（附件8），10个工作日内由政府风险补偿金和合作银行各按50%的比例分摊。</w:t>
      </w:r>
    </w:p>
    <w:p w14:paraId="7C02181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第三十二条 </w:t>
      </w:r>
      <w:r>
        <w:rPr>
          <w:rFonts w:hint="eastAsia" w:ascii="Times New Roman" w:hAnsi="Times New Roman" w:eastAsia="方正仿宋简体" w:cs="Times New Roman"/>
          <w:color w:val="000000"/>
          <w:kern w:val="0"/>
          <w:sz w:val="32"/>
          <w:szCs w:val="32"/>
        </w:rPr>
        <w:t>合作银行向区助保贷办公室递交政府风险补偿金和企业助保金使用申请，应提交以下材料：</w:t>
      </w:r>
    </w:p>
    <w:p w14:paraId="56D92E0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（一）申请函原件（加盖公章）；</w:t>
      </w:r>
    </w:p>
    <w:p w14:paraId="050CCF9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（二）贷款合同、贷款档案资料复印件（加盖与原件相符章、加盖公章）；</w:t>
      </w:r>
    </w:p>
    <w:p w14:paraId="4D0186E0">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（三）上级机构关于贷款分类结果认定的书面材料；</w:t>
      </w:r>
    </w:p>
    <w:p w14:paraId="0930F77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（四）追款程序执行情况的报告和损失贷款情况的说明材料；</w:t>
      </w:r>
    </w:p>
    <w:p w14:paraId="68E1C0E6">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（五）区助保贷办公室要求提交的其它材料。</w:t>
      </w:r>
    </w:p>
    <w:p w14:paraId="5F570715">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第三十三条 </w:t>
      </w:r>
      <w:r>
        <w:rPr>
          <w:rFonts w:hint="eastAsia" w:ascii="Times New Roman" w:hAnsi="Times New Roman" w:eastAsia="方正仿宋简体" w:cs="Times New Roman"/>
          <w:color w:val="000000"/>
          <w:kern w:val="0"/>
          <w:sz w:val="32"/>
          <w:szCs w:val="32"/>
        </w:rPr>
        <w:t>启动补偿后，合作银行不得放弃贷款损失追偿权，并应采取切实有效的措施或必要的法律程序及时依法继续追索债权。对于已获得资金补偿的不良贷款，在充分履行追索义务和完成资产清收处置后，根据该笔不良贷款获得补偿的比例，由合作银行将所得清收处置资金（清收处置工作中取得的已扣除诉讼、仲裁、执行费用等法定裁判活动规定收费后的全部资金）按照补偿比例在收到此笔清收处置资金后的30个工作日内报送区助保贷办公室复核并按程序退回至政府风险补偿金专用存款账户。在补偿完政府风险补偿金和合作银行代偿资金后，再将剩余部分资金补回区助保贷办公室指定的企业助保金专用存款账户，用于补偿企业助保金发生的损失。</w:t>
      </w:r>
    </w:p>
    <w:p w14:paraId="580D6D76">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第三十四条 </w:t>
      </w:r>
      <w:r>
        <w:rPr>
          <w:rFonts w:hint="eastAsia" w:ascii="Times New Roman" w:hAnsi="Times New Roman" w:eastAsia="方正仿宋简体" w:cs="Times New Roman"/>
          <w:color w:val="000000"/>
          <w:kern w:val="0"/>
          <w:sz w:val="32"/>
          <w:szCs w:val="32"/>
        </w:rPr>
        <w:t>通过法律程序追收终结后，对因无法收回的贷款本金所产生的风险补偿金损失，经合作银行申请，区助保贷办公室提请联席会议审议并报区政府同意后，在政府风险补偿金和企业助保金按实核销。</w:t>
      </w:r>
    </w:p>
    <w:p w14:paraId="6B619A49">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bCs/>
          <w:color w:val="000000"/>
          <w:kern w:val="0"/>
          <w:sz w:val="32"/>
          <w:szCs w:val="32"/>
        </w:rPr>
        <w:t>第七章 </w:t>
      </w:r>
      <w:r>
        <w:rPr>
          <w:rFonts w:hint="eastAsia" w:ascii="Times New Roman" w:hAnsi="Times New Roman" w:eastAsia="方正仿宋简体" w:cs="Times New Roman"/>
          <w:b/>
          <w:color w:val="000000"/>
          <w:kern w:val="0"/>
          <w:sz w:val="32"/>
          <w:szCs w:val="32"/>
        </w:rPr>
        <w:t>贷款风险控制及相关责任</w:t>
      </w:r>
    </w:p>
    <w:p w14:paraId="24A3B1F9">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第三十五条 </w:t>
      </w:r>
      <w:r>
        <w:rPr>
          <w:rFonts w:hint="eastAsia" w:ascii="Times New Roman" w:hAnsi="Times New Roman" w:eastAsia="方正仿宋简体" w:cs="Times New Roman"/>
          <w:color w:val="000000"/>
          <w:kern w:val="0"/>
          <w:sz w:val="32"/>
          <w:szCs w:val="32"/>
        </w:rPr>
        <w:t>区助保贷办公室和合作银行建立风险预警信息传达机制，对贷款企业预警信息进行监控，共同防范风险。合作银行要加强贷款风险控制，切实做好贷后管理。</w:t>
      </w:r>
    </w:p>
    <w:p w14:paraId="0E48885D">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第三十六条 </w:t>
      </w:r>
      <w:r>
        <w:rPr>
          <w:rFonts w:hint="eastAsia" w:ascii="Times New Roman" w:hAnsi="Times New Roman" w:eastAsia="方正仿宋简体" w:cs="Times New Roman"/>
          <w:color w:val="000000"/>
          <w:kern w:val="0"/>
          <w:sz w:val="32"/>
          <w:szCs w:val="32"/>
        </w:rPr>
        <w:t>合作银行在每年年末要向区助保贷办公室提交助保贷业务评估报告（含贷款企业经营情况分析、贷款业务分析、风险补偿和绩效评价情况等），对潜在风险采取相应措施，确保助保贷业务的健康发展。</w:t>
      </w:r>
    </w:p>
    <w:p w14:paraId="16F19BEE">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第三十七条 </w:t>
      </w:r>
      <w:r>
        <w:rPr>
          <w:rFonts w:hint="eastAsia" w:ascii="Times New Roman" w:hAnsi="Times New Roman" w:eastAsia="方正仿宋简体" w:cs="Times New Roman"/>
          <w:color w:val="000000"/>
          <w:kern w:val="0"/>
          <w:sz w:val="32"/>
          <w:szCs w:val="32"/>
        </w:rPr>
        <w:t>当助保贷业务不良贷款率超过5%，区政府有权暂停新增助保贷业务。</w:t>
      </w:r>
    </w:p>
    <w:p w14:paraId="3FB5AB8C">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第三十八条 </w:t>
      </w:r>
      <w:r>
        <w:rPr>
          <w:rFonts w:hint="eastAsia" w:ascii="Times New Roman" w:hAnsi="Times New Roman" w:eastAsia="方正仿宋简体" w:cs="Times New Roman"/>
          <w:color w:val="000000"/>
          <w:kern w:val="0"/>
          <w:sz w:val="32"/>
          <w:szCs w:val="32"/>
        </w:rPr>
        <w:t>政府管理机构工作人员，合作银行、贷款企业及其工作人员骗取、挪用专项资金的，依法追究其法律责任。</w:t>
      </w:r>
    </w:p>
    <w:p w14:paraId="04607554">
      <w:pPr>
        <w:shd w:val="clear" w:color="auto" w:fill="FFFFFF"/>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第八章 附则</w:t>
      </w:r>
    </w:p>
    <w:p w14:paraId="47C52987">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第三十九条 </w:t>
      </w:r>
      <w:r>
        <w:rPr>
          <w:rFonts w:hint="eastAsia" w:ascii="Times New Roman" w:hAnsi="Times New Roman" w:eastAsia="方正仿宋简体" w:cs="Times New Roman"/>
          <w:color w:val="000000"/>
          <w:kern w:val="0"/>
          <w:sz w:val="32"/>
          <w:szCs w:val="32"/>
        </w:rPr>
        <w:t>合作银行与区助保贷办公室原则上签订3年期的合作协议。合作协议签订后，合作银行1年期内仍未发生贷款业务的，视为自动放弃合作资格。</w:t>
      </w:r>
    </w:p>
    <w:p w14:paraId="7409DE3B">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bCs/>
          <w:color w:val="000000"/>
          <w:kern w:val="0"/>
          <w:sz w:val="32"/>
          <w:szCs w:val="32"/>
        </w:rPr>
        <w:t>第四十条 </w:t>
      </w:r>
      <w:r>
        <w:rPr>
          <w:rFonts w:hint="eastAsia" w:ascii="Times New Roman" w:hAnsi="Times New Roman" w:eastAsia="方正仿宋简体" w:cs="Times New Roman"/>
          <w:color w:val="000000"/>
          <w:kern w:val="0"/>
          <w:sz w:val="32"/>
          <w:szCs w:val="32"/>
        </w:rPr>
        <w:t>本办法自印发之日起实施，有效期至2027年12月31日。</w:t>
      </w:r>
    </w:p>
    <w:p w14:paraId="30E35488">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"https://www.gz.gov.cn/attachment/7/7655/7655623/9835664.zip"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附件1-7.zip</w:t>
      </w:r>
      <w:r>
        <w:rPr>
          <w:rFonts w:hint="eastAsia" w:ascii="Times New Roman" w:hAnsi="Times New Roman" w:eastAsia="方正仿宋简体" w:cs="Times New Roman"/>
          <w:color w:val="000000"/>
          <w:kern w:val="0"/>
          <w:sz w:val="32"/>
          <w:szCs w:val="32"/>
          <w:u w:val="single"/>
        </w:rPr>
        <w:fldChar w:fldCharType="end"/>
      </w:r>
    </w:p>
    <w:p w14:paraId="05281658">
      <w:pPr>
        <w:shd w:val="clear" w:color="auto" w:fill="FFFFFF"/>
        <w:jc w:val="left"/>
        <w:textAlignment w:val="baseline"/>
        <w:rPr>
          <w:rFonts w:ascii="Times New Roman" w:hAnsi="Times New Roman" w:eastAsia="方正仿宋简体" w:cs="Times New Roman"/>
          <w:color w:val="000000"/>
          <w:kern w:val="0"/>
          <w:sz w:val="32"/>
          <w:szCs w:val="32"/>
        </w:rPr>
      </w:pPr>
    </w:p>
    <w:p w14:paraId="1AC7AC7C">
      <w:pPr>
        <w:shd w:val="clear" w:color="auto" w:fill="FFFFFF"/>
        <w:jc w:val="left"/>
        <w:textAlignment w:val="baseline"/>
        <w:rPr>
          <w:rFonts w:ascii="Times New Roman" w:hAnsi="Times New Roman" w:eastAsia="方正仿宋简体" w:cs="Times New Roman"/>
          <w:color w:val="000000"/>
          <w:kern w:val="0"/>
          <w:sz w:val="32"/>
          <w:szCs w:val="32"/>
        </w:rPr>
      </w:pPr>
    </w:p>
    <w:p w14:paraId="620384DA">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44457CDB">
      <w:pPr>
        <w:shd w:val="clear" w:color="auto" w:fill="FFFFFF"/>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广州市花都区科技工业和信息化局办公室      2024年8月28日印发</w:t>
      </w:r>
    </w:p>
    <w:p w14:paraId="607D67E0">
      <w:pPr>
        <w:rPr>
          <w:rFonts w:ascii="Times New Roman" w:hAnsi="Times New Roman" w:eastAsia="方正仿宋简体" w:cs="Times New Roman"/>
          <w:color w:val="000000"/>
          <w:sz w:val="32"/>
          <w:szCs w:val="32"/>
        </w:rPr>
      </w:pPr>
    </w:p>
    <w:p w14:paraId="46B726DC">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关于印发《广州市白云区支持人力资源服务产业园发展实施办法》的通知</w:t>
      </w:r>
    </w:p>
    <w:p w14:paraId="5388972A">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各镇街，区各有关单位：</w:t>
      </w:r>
    </w:p>
    <w:p w14:paraId="1E67E4A1">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经广州市白云区人民政府同意，现将《广州市白云区支持人力资源服务产业园发展实施办法》印发给你们，请遵照执行。执行中遇到的问题，请径向区人力资源社会保障局反映。</w:t>
      </w:r>
    </w:p>
    <w:p w14:paraId="6C7169A0">
      <w:pPr>
        <w:spacing w:line="540" w:lineRule="atLeast"/>
        <w:jc w:val="left"/>
        <w:rPr>
          <w:rFonts w:ascii="Times New Roman" w:hAnsi="Times New Roman" w:eastAsia="方正仿宋简体" w:cs="Times New Roman"/>
          <w:color w:val="000000"/>
          <w:kern w:val="0"/>
          <w:sz w:val="32"/>
          <w:szCs w:val="32"/>
        </w:rPr>
      </w:pPr>
    </w:p>
    <w:p w14:paraId="69E4BD3E">
      <w:pPr>
        <w:spacing w:line="540" w:lineRule="atLeast"/>
        <w:jc w:val="left"/>
        <w:rPr>
          <w:rFonts w:ascii="Times New Roman" w:hAnsi="Times New Roman" w:eastAsia="方正仿宋简体" w:cs="Times New Roman"/>
          <w:color w:val="000000"/>
          <w:kern w:val="0"/>
          <w:sz w:val="32"/>
          <w:szCs w:val="32"/>
        </w:rPr>
      </w:pPr>
    </w:p>
    <w:p w14:paraId="4115FD0E">
      <w:pPr>
        <w:spacing w:line="540" w:lineRule="atLeast"/>
        <w:jc w:val="left"/>
        <w:rPr>
          <w:rFonts w:ascii="Times New Roman" w:hAnsi="Times New Roman" w:eastAsia="方正仿宋简体" w:cs="Times New Roman"/>
          <w:color w:val="000000"/>
          <w:kern w:val="0"/>
          <w:sz w:val="32"/>
          <w:szCs w:val="32"/>
        </w:rPr>
      </w:pPr>
    </w:p>
    <w:p w14:paraId="4DF996C4">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广州市白云区人力资源和社会保障局</w:t>
      </w:r>
    </w:p>
    <w:p w14:paraId="4CF9C829">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2024年8月28日</w:t>
      </w:r>
    </w:p>
    <w:p w14:paraId="4163841C">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clear="all"/>
      </w:r>
    </w:p>
    <w:p w14:paraId="2CE904A0">
      <w:pPr>
        <w:spacing w:line="540" w:lineRule="atLeast"/>
        <w:jc w:val="left"/>
        <w:rPr>
          <w:rFonts w:ascii="Times New Roman" w:hAnsi="Times New Roman" w:eastAsia="方正仿宋简体" w:cs="Times New Roman"/>
          <w:color w:val="000000"/>
          <w:kern w:val="0"/>
          <w:sz w:val="32"/>
          <w:szCs w:val="32"/>
        </w:rPr>
      </w:pPr>
    </w:p>
    <w:p w14:paraId="368AFC5A">
      <w:pPr>
        <w:spacing w:line="540" w:lineRule="atLeast"/>
        <w:jc w:val="center"/>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广州市白云区支持人力资源服务产业园发展实施办法</w:t>
      </w:r>
    </w:p>
    <w:p w14:paraId="6C9C4DF5">
      <w:pPr>
        <w:spacing w:line="540" w:lineRule="atLeast"/>
        <w:jc w:val="left"/>
        <w:rPr>
          <w:rFonts w:ascii="Times New Roman" w:hAnsi="Times New Roman" w:eastAsia="方正仿宋简体" w:cs="Times New Roman"/>
          <w:color w:val="000000"/>
          <w:kern w:val="0"/>
          <w:sz w:val="32"/>
          <w:szCs w:val="32"/>
        </w:rPr>
      </w:pPr>
    </w:p>
    <w:p w14:paraId="6DA6F8C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w:t>
      </w:r>
      <w:r>
        <w:rPr>
          <w:rFonts w:hint="eastAsia" w:ascii="Times New Roman" w:hAnsi="Times New Roman" w:eastAsia="方正仿宋简体" w:cs="Times New Roman"/>
          <w:color w:val="000000"/>
          <w:kern w:val="0"/>
          <w:sz w:val="32"/>
          <w:szCs w:val="32"/>
        </w:rPr>
        <w:t> 为贯彻落实习近平总书记关于在粤港澳大湾区建设高水平人才高地的重要指示精神，扎实推进人才强区建设，推动人力资源服务产业在白云区高质量集聚、全链条发展，促进新质生产力发展，拟筹建广州市白云区人力资源服务产业园，结合白云区实际，特制定本实施办法。</w:t>
      </w:r>
    </w:p>
    <w:p w14:paraId="3CD9150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w:t>
      </w:r>
      <w:r>
        <w:rPr>
          <w:rFonts w:hint="eastAsia" w:ascii="Times New Roman" w:hAnsi="Times New Roman" w:eastAsia="方正仿宋简体" w:cs="Times New Roman"/>
          <w:color w:val="000000"/>
          <w:kern w:val="0"/>
          <w:sz w:val="32"/>
          <w:szCs w:val="32"/>
        </w:rPr>
        <w:t>  本实施办法适用对象须满足以下条件：</w:t>
      </w:r>
    </w:p>
    <w:p w14:paraId="38C5700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申报对象为入驻广州市白云区人力资源服务产业园（以下简称“园区”），依法在白云区实质从事生产经营活动且与人力资源服务相关的企业或各类机构（以下简称“入园机构”）以及符合条件的园区经营管理机构。</w:t>
      </w:r>
    </w:p>
    <w:p w14:paraId="4DE80030">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依法设立的从事人力资源服务经营活动的企业或各类机构主要包括：</w:t>
      </w:r>
    </w:p>
    <w:p w14:paraId="729D18F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1.从事人才招聘、劳务派遣、人事代理、高端人才寻访、职业中介、人力资源服务外包等业务的企业或各类机构。</w:t>
      </w:r>
    </w:p>
    <w:p w14:paraId="4904AE03">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2.从事人才培训、人才考试、人才测评、职业技能鉴定等业务的企业或各类机构。</w:t>
      </w:r>
    </w:p>
    <w:p w14:paraId="174C2700">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3.为人力资源和社会保障提供信息支撑、交易结算、金融服务、数据开发及网络运营等业务的企业或各类机构。</w:t>
      </w:r>
    </w:p>
    <w:p w14:paraId="07C41B76">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4.经各级人社部门认定的其他人力资源服务企业或各类机构。</w:t>
      </w:r>
    </w:p>
    <w:p w14:paraId="3BB1F9D3">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w:t>
      </w:r>
      <w:r>
        <w:rPr>
          <w:rFonts w:hint="eastAsia" w:ascii="Times New Roman" w:hAnsi="Times New Roman" w:eastAsia="方正仿宋简体" w:cs="Times New Roman"/>
          <w:color w:val="000000"/>
          <w:kern w:val="0"/>
          <w:sz w:val="32"/>
          <w:szCs w:val="32"/>
        </w:rPr>
        <w:t>  区人力资源社会保障局负责本实施办法的组织和实施。</w:t>
      </w:r>
    </w:p>
    <w:p w14:paraId="78DB7D5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w:t>
      </w:r>
      <w:r>
        <w:rPr>
          <w:rFonts w:hint="eastAsia" w:ascii="Times New Roman" w:hAnsi="Times New Roman" w:eastAsia="方正仿宋简体" w:cs="Times New Roman"/>
          <w:color w:val="000000"/>
          <w:kern w:val="0"/>
          <w:sz w:val="32"/>
          <w:szCs w:val="32"/>
        </w:rPr>
        <w:t>  入园机构可获房租补贴、优秀（进步）企业奖励、人才引进奖励、园区经营管理奖励等扶持。</w:t>
      </w:r>
    </w:p>
    <w:p w14:paraId="51C8590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楷体简体" w:cs="方正楷体简体"/>
          <w:b/>
          <w:bCs/>
          <w:color w:val="000000"/>
          <w:kern w:val="0"/>
          <w:sz w:val="32"/>
          <w:szCs w:val="32"/>
        </w:rPr>
        <w:t>（一）房租补贴</w:t>
      </w:r>
    </w:p>
    <w:p w14:paraId="3D8B3A7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入园机构（不含区属国有企业及其控股子公司、分公司）租用办公用房自用的，以实际签订的合同金额核算，前3年每年按照50%的比例给予房租补贴。享受补贴扶持对象须同时满足以下条件：</w:t>
      </w:r>
    </w:p>
    <w:p w14:paraId="027B602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1.在园区内租用办公用房面积（不包括附属配套设施）不低于200平方米，租用期限在3年以上。</w:t>
      </w:r>
    </w:p>
    <w:p w14:paraId="133ED7BA">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2.承诺在享受房租补贴之日起3年内，不将办公场所对外转租、分租，不擅自转变办公场地用途，否则，应当退还所获得的扶持资金。</w:t>
      </w:r>
    </w:p>
    <w:p w14:paraId="722F89A4">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楷体简体" w:cs="方正楷体简体"/>
          <w:b/>
          <w:bCs/>
          <w:color w:val="000000"/>
          <w:kern w:val="0"/>
          <w:sz w:val="32"/>
          <w:szCs w:val="32"/>
        </w:rPr>
        <w:t>（二）优秀（进步）企业奖励</w:t>
      </w:r>
    </w:p>
    <w:p w14:paraId="5ED5418F">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实施办法印发次年起，每年度开展优秀（进步）企业评选。对入园机构（不含区属国有企业及其控股子公司、分公司）上一年度年营业收入达到20亿元、10亿元、5亿元的，按照就高不重复原则，相对应给予一次性100万元、50万元、20万元的优秀企业奖励；对于年营业收入超过5亿元、1亿元，且较上年度提升超过30%的，按照就高不重复原则，相对应给予一次性50万元、20万元的进步企业奖励。</w:t>
      </w:r>
    </w:p>
    <w:p w14:paraId="5A22992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楷体简体" w:cs="方正楷体简体"/>
          <w:b/>
          <w:bCs/>
          <w:color w:val="000000"/>
          <w:kern w:val="0"/>
          <w:sz w:val="32"/>
          <w:szCs w:val="32"/>
        </w:rPr>
        <w:t>（三）人才引进奖励</w:t>
      </w:r>
    </w:p>
    <w:p w14:paraId="5808CEB4">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入园机构从区外为白云区用人单位引进或选聘国际杰出人才、国内领军人才、符合云聚英才卡“金卡”以上其他条件的人才（须与白云区内用人单位签订3年以上劳动合同或聘用合同），且选聘的人才于白云区工作满1年以上的，经审核评定，按照就高不重复原则，相对应给予入园机构一次性奖励10万元、5万元、3万元/人。每个入园机构每年在该项上获得的奖励不超过50万元。</w:t>
      </w:r>
    </w:p>
    <w:p w14:paraId="0D3D5562">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楷体简体" w:cs="方正楷体简体"/>
          <w:b/>
          <w:bCs/>
          <w:color w:val="000000"/>
          <w:kern w:val="0"/>
          <w:sz w:val="32"/>
          <w:szCs w:val="32"/>
        </w:rPr>
        <w:t>（四）园区经营管理奖励</w:t>
      </w:r>
    </w:p>
    <w:p w14:paraId="13ECD0D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所有入园机构年度营业收入总和超过20亿元、50亿元、100亿元、200亿元的，每年按照就高不重复原则，相应对园区运营管理单位给予50万元、100万元、250万元、500万元奖励。</w:t>
      </w:r>
    </w:p>
    <w:p w14:paraId="5173559E">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w:t>
      </w:r>
      <w:r>
        <w:rPr>
          <w:rFonts w:hint="eastAsia" w:ascii="Times New Roman" w:hAnsi="Times New Roman" w:eastAsia="方正仿宋简体" w:cs="Times New Roman"/>
          <w:color w:val="000000"/>
          <w:kern w:val="0"/>
          <w:sz w:val="32"/>
          <w:szCs w:val="32"/>
        </w:rPr>
        <w:t>  申领全流程包括：申报-初审-审核-审批。</w:t>
      </w:r>
    </w:p>
    <w:p w14:paraId="2E0CED4C">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（一）申报。申报对象提交申报材料并对所提供材料的真实性、有效性和完整性负责。</w:t>
      </w:r>
    </w:p>
    <w:p w14:paraId="3759DE1C">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（二）初审。</w:t>
      </w:r>
    </w:p>
    <w:p w14:paraId="29CBFF0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房租补贴涉及的租金及租赁面积由园区经营管理机构核实后报送。</w:t>
      </w:r>
    </w:p>
    <w:p w14:paraId="1ED1FCE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入园机构年营业收入相关资料由区科工商信局负责核实。</w:t>
      </w:r>
    </w:p>
    <w:p w14:paraId="2A3C98D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优秀（进步）企业奖励和园区经验管理奖励、人才引进奖励中的国际杰出人才和国内领军人才由区科工商信局对申报材料进行初审，其余补贴和奖励由区人力资源服务中心进行初审，符合条件且提交材料齐全的，提交区人力资源社会保障局复审；符合条件但材料不齐全的，一次性告知限期补正材料；不符合条件的，不予受理。</w:t>
      </w:r>
    </w:p>
    <w:p w14:paraId="4B3EFADB">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（三）审核。区人力资源社会保障局对申报材料进行审核，审核结果提请区委人才工作领导小组审批。</w:t>
      </w:r>
    </w:p>
    <w:p w14:paraId="3E29182F">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（四）审批。区委人才工作领导小组审定补助发放名单，由区人力资源社会保障局按程序办理资金拨付手续。</w:t>
      </w:r>
    </w:p>
    <w:p w14:paraId="63AD4A8C">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w:t>
      </w:r>
      <w:r>
        <w:rPr>
          <w:rFonts w:hint="eastAsia" w:ascii="Times New Roman" w:hAnsi="Times New Roman" w:eastAsia="方正仿宋简体" w:cs="Times New Roman"/>
          <w:color w:val="000000"/>
          <w:kern w:val="0"/>
          <w:sz w:val="32"/>
          <w:szCs w:val="32"/>
        </w:rPr>
        <w:t>  入园机构须在园区内发展，并签订相关承诺书，承诺对相关资金扶持政策及约定知悉，并遵守相关扶持政策的规定，若扶持对象违反承诺的，应将所获扶持资金予以退回。</w:t>
      </w:r>
    </w:p>
    <w:p w14:paraId="4C1F6CD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w:t>
      </w:r>
      <w:r>
        <w:rPr>
          <w:rFonts w:hint="eastAsia" w:ascii="Times New Roman" w:hAnsi="Times New Roman" w:eastAsia="方正仿宋简体" w:cs="Times New Roman"/>
          <w:color w:val="000000"/>
          <w:kern w:val="0"/>
          <w:sz w:val="32"/>
          <w:szCs w:val="32"/>
        </w:rPr>
        <w:t>  入园机构满足白云区惠企政策同类型资金扶持条件的，按“就高不就低”原则，自行选择最有利的一项，不重复获得扶持资金。获得奖补的涉税支出由奖补对象承担。</w:t>
      </w:r>
    </w:p>
    <w:p w14:paraId="5C250E4D">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同一年度、同一企业或各类机构享受本政策的扶持资金不超过该企业或机构上一年度对白云区的经济贡献总额。</w:t>
      </w:r>
    </w:p>
    <w:p w14:paraId="5DDD04D0">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本实施办法所称“不超过”、“达到”等有关表述，均包含本数。</w:t>
      </w:r>
    </w:p>
    <w:p w14:paraId="7A36D099">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本实施办法所称“年营业收入”，均指机构入驻园区后相应时段的营业收入。</w:t>
      </w:r>
    </w:p>
    <w:p w14:paraId="3BE4DBC5">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w:t>
      </w:r>
      <w:r>
        <w:rPr>
          <w:rFonts w:hint="eastAsia" w:ascii="Times New Roman" w:hAnsi="Times New Roman" w:eastAsia="方正仿宋简体" w:cs="Times New Roman"/>
          <w:color w:val="000000"/>
          <w:kern w:val="0"/>
          <w:sz w:val="32"/>
          <w:szCs w:val="32"/>
        </w:rPr>
        <w:t>  本实施办法所涉及的扶持资金中，房租补贴在租赁费用支付后的下一个会计年度进行兑现；优秀（进步）企业奖励在年度营业收入符合条件的下一个会计年度进行兑现；人才引进奖励在引进或选聘人才经审核评定的下一个会计年度进行兑现；园区经营管理奖励在入园机构年度营业收入总和符合奖励条件的下一个会计年度进行兑现。</w:t>
      </w:r>
    </w:p>
    <w:p w14:paraId="70F90D75">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第九条</w:t>
      </w:r>
      <w:r>
        <w:rPr>
          <w:rFonts w:hint="eastAsia" w:ascii="Times New Roman" w:hAnsi="Times New Roman" w:eastAsia="方正仿宋简体" w:cs="Times New Roman"/>
          <w:color w:val="000000"/>
          <w:kern w:val="0"/>
          <w:sz w:val="32"/>
          <w:szCs w:val="32"/>
        </w:rPr>
        <w:t>  本实施办法由区人力资源社会保障局负责解释，自印发之日起实施，有效期3年。有效期届满或有关法律政策依据变化，将根据实施情况予以评估修订。</w:t>
      </w:r>
    </w:p>
    <w:p w14:paraId="5BD637D0">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本实施办法有效期内符合房租补贴申请条件的，在本实施办法失效后仍可按规定申请相应扶持。</w:t>
      </w:r>
    </w:p>
    <w:p w14:paraId="360D759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有效期届满而相关资金应当支付而尚未支付完毕的，应继续执行至全部完毕。</w:t>
      </w:r>
    </w:p>
    <w:p w14:paraId="2F95DE45">
      <w:pPr>
        <w:spacing w:line="540" w:lineRule="atLeast"/>
        <w:jc w:val="left"/>
        <w:rPr>
          <w:rFonts w:ascii="Times New Roman" w:hAnsi="Times New Roman" w:eastAsia="方正仿宋简体" w:cs="Times New Roman"/>
          <w:color w:val="000000"/>
          <w:kern w:val="0"/>
          <w:sz w:val="32"/>
          <w:szCs w:val="32"/>
        </w:rPr>
      </w:pPr>
    </w:p>
    <w:p w14:paraId="0BF16DE7">
      <w:pPr>
        <w:spacing w:line="540" w:lineRule="atLeast"/>
        <w:ind w:firstLine="480"/>
        <w:jc w:val="left"/>
        <w:rPr>
          <w:rFonts w:ascii="Times New Roman" w:hAnsi="Times New Roman" w:eastAsia="方正仿宋简体" w:cs="Times New Roman"/>
          <w:color w:val="000000"/>
          <w:kern w:val="0"/>
          <w:sz w:val="32"/>
          <w:szCs w:val="32"/>
        </w:rPr>
      </w:pP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"https://cms.gz.gov.cn/gzzcwjk/storage/material/2024/09/20/0a19f1109372e9946352b006a04be1c1.docx"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附件：相关名词解释.docx</w:t>
      </w:r>
      <w:r>
        <w:rPr>
          <w:rFonts w:hint="eastAsia" w:ascii="Times New Roman" w:hAnsi="Times New Roman" w:eastAsia="方正仿宋简体" w:cs="Times New Roman"/>
          <w:color w:val="000000"/>
          <w:kern w:val="0"/>
          <w:sz w:val="32"/>
          <w:szCs w:val="32"/>
          <w:u w:val="single"/>
        </w:rPr>
        <w:fldChar w:fldCharType="end"/>
      </w:r>
    </w:p>
    <w:p w14:paraId="1BF56836">
      <w:pPr>
        <w:spacing w:line="540" w:lineRule="atLeast"/>
        <w:ind w:firstLine="480"/>
        <w:jc w:val="left"/>
        <w:rPr>
          <w:rFonts w:ascii="Times New Roman" w:hAnsi="Times New Roman" w:eastAsia="方正仿宋简体" w:cs="Times New Roman"/>
          <w:color w:val="000000"/>
          <w:kern w:val="0"/>
          <w:sz w:val="32"/>
          <w:szCs w:val="32"/>
        </w:rPr>
      </w:pPr>
    </w:p>
    <w:p w14:paraId="3A1DE419">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广州市增城区农业农村局关于印发增城区农业龙头企业认定与监测实施办法的通知</w:t>
      </w:r>
    </w:p>
    <w:p w14:paraId="7BF452D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各镇政府、街道办事处，区政府各部门、各直属机构，开发区各部门:</w:t>
      </w:r>
    </w:p>
    <w:p w14:paraId="46899F1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《增城区农业龙头企业认定与监测实施办法》经区政府同意，现印发给你们，请认真贯彻执行。执行过程中遇到的问题，请径向增城区农业农村局反映。</w:t>
      </w:r>
    </w:p>
    <w:p w14:paraId="7736D296">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广州市增城区农业农村局</w:t>
      </w:r>
    </w:p>
    <w:p w14:paraId="5E610DA8">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2024年8月28日</w:t>
      </w:r>
    </w:p>
    <w:p w14:paraId="11EBA66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401EF71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增城区农业龙头企业认定与监测实施办法</w:t>
      </w:r>
    </w:p>
    <w:p w14:paraId="2432BFF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第一章 总则</w:t>
      </w:r>
    </w:p>
    <w:p w14:paraId="374DF48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 </w:t>
      </w:r>
      <w:r>
        <w:rPr>
          <w:rFonts w:hint="eastAsia" w:ascii="Times New Roman" w:hAnsi="Times New Roman" w:eastAsia="方正仿宋简体" w:cs="Times New Roman"/>
          <w:color w:val="000000"/>
          <w:kern w:val="0"/>
          <w:sz w:val="32"/>
          <w:szCs w:val="32"/>
        </w:rPr>
        <w:t>为进一步支持我区农业龙头企业做大做强，提升我区农业龙头企业市场竞争能力，《广东省农业农村厅关于促进农业产业化龙头企业做大做强的实施意见》（粤农农〔2021〕359号）、《广州市农业农村局关于修订印发广州市级农业龙头企业认定和运行监测管理办法的通知》（穗农规字〔2020〕2号）等有关文件要求，结合我区实际，特制定本实施办法。</w:t>
      </w:r>
    </w:p>
    <w:p w14:paraId="55D926C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w:t>
      </w:r>
      <w:r>
        <w:rPr>
          <w:rFonts w:hint="eastAsia" w:ascii="Times New Roman" w:hAnsi="Times New Roman" w:eastAsia="方正仿宋简体" w:cs="Times New Roman"/>
          <w:color w:val="000000"/>
          <w:kern w:val="0"/>
          <w:sz w:val="32"/>
          <w:szCs w:val="32"/>
        </w:rPr>
        <w:t> 本办法所指农业龙头企业包括国家、广东省、广州市、增城区级农业龙头企业，是经由上级有关部门和增城区政府确认的农业企业。</w:t>
      </w:r>
    </w:p>
    <w:p w14:paraId="31F0D1B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w:t>
      </w:r>
      <w:r>
        <w:rPr>
          <w:rFonts w:hint="eastAsia" w:ascii="Times New Roman" w:hAnsi="Times New Roman" w:eastAsia="方正仿宋简体" w:cs="Times New Roman"/>
          <w:color w:val="000000"/>
          <w:kern w:val="0"/>
          <w:sz w:val="32"/>
          <w:szCs w:val="32"/>
        </w:rPr>
        <w:t> 国家级、省级、市级农业龙头企业认定和监测管理分别对应由中央、省、市农业农村部门进行认定和监测管理。</w:t>
      </w:r>
    </w:p>
    <w:p w14:paraId="136DE01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w:t>
      </w:r>
      <w:r>
        <w:rPr>
          <w:rFonts w:hint="eastAsia" w:ascii="Times New Roman" w:hAnsi="Times New Roman" w:eastAsia="方正仿宋简体" w:cs="Times New Roman"/>
          <w:color w:val="000000"/>
          <w:kern w:val="0"/>
          <w:sz w:val="32"/>
          <w:szCs w:val="32"/>
        </w:rPr>
        <w:t> 区级农业龙头企业，是指在增城区行政区域内以农产品生产、加工、流通、种业、观光休闲农业、农业科技服务、特种养殖和其它涉农产业为主业，在企业规模、产品质量安全、辐射带动力、竞争力等方面达到规定标准，并经增城区政府确认的企业。</w:t>
      </w:r>
    </w:p>
    <w:p w14:paraId="5F77F626">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第二章 认定与监测</w:t>
      </w:r>
    </w:p>
    <w:p w14:paraId="19C48A5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w:t>
      </w:r>
      <w:r>
        <w:rPr>
          <w:rFonts w:hint="eastAsia" w:ascii="Times New Roman" w:hAnsi="Times New Roman" w:eastAsia="方正仿宋简体" w:cs="Times New Roman"/>
          <w:color w:val="000000"/>
          <w:kern w:val="0"/>
          <w:sz w:val="32"/>
          <w:szCs w:val="32"/>
        </w:rPr>
        <w:t> 对区级农业龙头企业的认定和运行监测工作要遵循市场经济规律，发挥中介机构作用，坚持公开、公平、公正和优胜劣汰原则。</w:t>
      </w:r>
    </w:p>
    <w:p w14:paraId="4789C44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w:t>
      </w:r>
      <w:r>
        <w:rPr>
          <w:rFonts w:hint="eastAsia" w:ascii="Times New Roman" w:hAnsi="Times New Roman" w:eastAsia="方正仿宋简体" w:cs="Times New Roman"/>
          <w:color w:val="000000"/>
          <w:kern w:val="0"/>
          <w:sz w:val="32"/>
          <w:szCs w:val="32"/>
        </w:rPr>
        <w:t> 区农业农村局负责组织区级农业龙头企业申报认定和运行监测审核工作。</w:t>
      </w:r>
    </w:p>
    <w:p w14:paraId="3C65913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w:t>
      </w:r>
      <w:r>
        <w:rPr>
          <w:rFonts w:hint="eastAsia" w:ascii="Times New Roman" w:hAnsi="Times New Roman" w:eastAsia="方正仿宋简体" w:cs="Times New Roman"/>
          <w:color w:val="000000"/>
          <w:kern w:val="0"/>
          <w:sz w:val="32"/>
          <w:szCs w:val="32"/>
        </w:rPr>
        <w:t> 申报区级农业龙头企业必须符合以下条件。</w:t>
      </w:r>
    </w:p>
    <w:p w14:paraId="10983F6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（一）具有独立法人资格；</w:t>
      </w:r>
    </w:p>
    <w:p w14:paraId="7C1AA05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（二）税务征管关系及统计关系在增城区范围内；</w:t>
      </w:r>
    </w:p>
    <w:p w14:paraId="2265AF1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（三）以农产品生产、加工、流通、种业、观光休闲农业、农业科技服务、特种养殖和其它涉农产业为主业，其涉农业务收入占总收入比重达51％或以上；</w:t>
      </w:r>
    </w:p>
    <w:p w14:paraId="6C7D271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（四）具有一定的规模，较强的带动力和竞争力；</w:t>
      </w:r>
    </w:p>
    <w:p w14:paraId="5289901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（五）企业的经营状况、信用状况良好，未处于失信联合惩戒状态。</w:t>
      </w:r>
    </w:p>
    <w:p w14:paraId="1BBD600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w:t>
      </w:r>
      <w:r>
        <w:rPr>
          <w:rFonts w:hint="eastAsia" w:ascii="Times New Roman" w:hAnsi="Times New Roman" w:eastAsia="方正仿宋简体" w:cs="Times New Roman"/>
          <w:color w:val="000000"/>
          <w:kern w:val="0"/>
          <w:sz w:val="32"/>
          <w:szCs w:val="32"/>
        </w:rPr>
        <w:t> 存在以下行为的，丧失区级农业龙头企业认定资格。已经享有资格的，予以取消。</w:t>
      </w:r>
    </w:p>
    <w:p w14:paraId="04ED22E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（一）弄虚作假、资料不真实的；</w:t>
      </w:r>
    </w:p>
    <w:p w14:paraId="5CB2C2F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（二）近三年内，在本地生产环节，因违法生产质量不合格农产品被行政主管部门处罚的；近四年内在本地生产环节，因违法生产质量不合格农产品相关责任人被追究刑事责任的；</w:t>
      </w:r>
    </w:p>
    <w:p w14:paraId="05A410A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（三）近五年内，因骗取财政资金被查处的；</w:t>
      </w:r>
    </w:p>
    <w:p w14:paraId="2365B81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（四）近一年内，因发生坑农害农等行为被行政处罚的；</w:t>
      </w:r>
    </w:p>
    <w:p w14:paraId="5C33568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（五）近一年内，发生农机安全生产事故的；</w:t>
      </w:r>
    </w:p>
    <w:p w14:paraId="4B7B886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（六）近一年内，环保不达标，经生态环境部门查实并给予处罚且经整改仍不达标的；</w:t>
      </w:r>
    </w:p>
    <w:p w14:paraId="5E442A4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（七）不配合区农业农村行政主管部门日常监管的、逾期不提交资料的；</w:t>
      </w:r>
    </w:p>
    <w:p w14:paraId="257E66A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（八）其它应当取消区级农业龙头企业资格行为的。</w:t>
      </w:r>
    </w:p>
    <w:p w14:paraId="68F3B13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本条第（二）至第（五）项规定的期限，均从当年开展区级农业龙头企业认定通知印发之日起上溯计算。</w:t>
      </w:r>
    </w:p>
    <w:p w14:paraId="4F0C6C0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具有本条第（二）至第（五）项情形的，从查实之日起三年内不得申报区级农业龙头企业。</w:t>
      </w:r>
    </w:p>
    <w:p w14:paraId="1C515AA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第九条</w:t>
      </w:r>
      <w:r>
        <w:rPr>
          <w:rFonts w:hint="eastAsia" w:ascii="Times New Roman" w:hAnsi="Times New Roman" w:eastAsia="方正仿宋简体" w:cs="Times New Roman"/>
          <w:color w:val="000000"/>
          <w:kern w:val="0"/>
          <w:sz w:val="32"/>
          <w:szCs w:val="32"/>
        </w:rPr>
        <w:t> 区级农业龙头企业按照企业的主业特征，划分为农产品生产型；农产品加工流通型；农产品市场带动型；农业科技服务型；其他涉农产业型5大产业类型，从企业的涉农业务收入占比、规模、信用、带动力和竞争力等方面进行评分，综合得分80分以上（含80分）的被列为候选企业。（具体分类标准和评分标准分别见附表1、2）</w:t>
      </w:r>
    </w:p>
    <w:p w14:paraId="0726C12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第十条</w:t>
      </w:r>
      <w:r>
        <w:rPr>
          <w:rFonts w:hint="eastAsia" w:ascii="Times New Roman" w:hAnsi="Times New Roman" w:eastAsia="方正仿宋简体" w:cs="Times New Roman"/>
          <w:color w:val="000000"/>
          <w:kern w:val="0"/>
          <w:sz w:val="32"/>
          <w:szCs w:val="32"/>
        </w:rPr>
        <w:t> 申报区级农业龙头企业必须如实提供以下材料：</w:t>
      </w:r>
    </w:p>
    <w:p w14:paraId="3DE6914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（一）《广州市增城区级农业龙头企业申报表》（附表3）；</w:t>
      </w:r>
    </w:p>
    <w:p w14:paraId="00AAF3D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（二）有资质的会计师事务所出具的上年度企业财务审计报告；</w:t>
      </w:r>
    </w:p>
    <w:p w14:paraId="7EDFD92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（三）生产基地的产权证书或企业签订的土地、生产设施租用合同、协议、投资合作凭证等复印件；</w:t>
      </w:r>
    </w:p>
    <w:p w14:paraId="5AE82D3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（四）与农民、农民合作社、家庭农场、专业大户等签订农产品购销、订单农业、入股分红、利润返还、租赁等合同（协议），带动农民名册(姓名、住址、联系电话）、有关财务凭证及其它材料；</w:t>
      </w:r>
    </w:p>
    <w:p w14:paraId="6D5036C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（五）企业招聘农（渔）工名册、参加职工社会保险情况材料（企业缴职工社保凭证和含代扣职工社保的工资发放明细表）；</w:t>
      </w:r>
    </w:p>
    <w:p w14:paraId="0FB9B5F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（六）产品质量合格、环保、高新技术企业证书、科技成果、商标、专利等方面的材料；</w:t>
      </w:r>
    </w:p>
    <w:p w14:paraId="177712C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（七）是否存在近五年内骗取财政资金被查处的情况说明；</w:t>
      </w:r>
    </w:p>
    <w:p w14:paraId="6DE11B9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（八）农业投入品采购与领用台账、农业投入品使用台账、农产品生产台账、农产品质量安全检测台账、农产品销售台账；</w:t>
      </w:r>
    </w:p>
    <w:p w14:paraId="3CC157B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（九）其它要求提供的材料。</w:t>
      </w:r>
    </w:p>
    <w:p w14:paraId="16B02C6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第十一条</w:t>
      </w:r>
      <w:r>
        <w:rPr>
          <w:rFonts w:hint="eastAsia" w:ascii="Times New Roman" w:hAnsi="Times New Roman" w:eastAsia="方正仿宋简体" w:cs="Times New Roman"/>
          <w:color w:val="000000"/>
          <w:kern w:val="0"/>
          <w:sz w:val="32"/>
          <w:szCs w:val="32"/>
        </w:rPr>
        <w:t>  区级农业龙头申报和认定程序</w:t>
      </w:r>
    </w:p>
    <w:p w14:paraId="3115C54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（一）申报。</w:t>
      </w:r>
    </w:p>
    <w:p w14:paraId="1CA852A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申报企业直接向企业所在镇街提出申请。</w:t>
      </w:r>
    </w:p>
    <w:p w14:paraId="294D27D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（二）审核。</w:t>
      </w:r>
    </w:p>
    <w:p w14:paraId="0DB9FD1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各镇街对申报企业所提供的材料进行初审，征求区发改、税务、市场监管、人力资源社会保障、规划和自然资源、生态环境等部门的意见，对符合条件的企业以镇街名义，正式行文向区农业农村行政主管部门推荐。</w:t>
      </w:r>
    </w:p>
    <w:p w14:paraId="2DFE1C9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2.区农业农村行政主管部门委托中介机构，对企业的申报材料进行审核，按照分类标准和评分标准进行评分，提出评审意见。</w:t>
      </w:r>
    </w:p>
    <w:p w14:paraId="4121045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（三）认定。</w:t>
      </w:r>
    </w:p>
    <w:p w14:paraId="2F6BAC5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1.区农业农村行政主管部门综合考虑中介机构的审核意见和评分结果，提出拟认定的区级农业龙头企业名单；</w:t>
      </w:r>
    </w:p>
    <w:p w14:paraId="2C5F26C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2.将拟认定的企业名单公示7天，公示无异议的，上报区政府认定。有异议的，由区农业农村行政主管部门进一步核查，满足区级农业龙头企业条件的，上报区政府认定；不能满足的，取消其认定资格。</w:t>
      </w:r>
    </w:p>
    <w:p w14:paraId="5ECC703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3.区农业农村行政主管部门对区政府认定的企业授予“广州市增城区级农业龙头企业”称号，颁发牌匾，并对外公告。</w:t>
      </w:r>
    </w:p>
    <w:p w14:paraId="4795D17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第十二条</w:t>
      </w:r>
      <w:r>
        <w:rPr>
          <w:rFonts w:hint="eastAsia" w:ascii="Times New Roman" w:hAnsi="Times New Roman" w:eastAsia="方正仿宋简体" w:cs="Times New Roman"/>
          <w:color w:val="000000"/>
          <w:kern w:val="0"/>
          <w:sz w:val="32"/>
          <w:szCs w:val="32"/>
        </w:rPr>
        <w:t> 经区政府批准授予“广州市增城区级农业龙头企业”的资格自认定之日起三年内有效。有效期届满未获重新认定的，自动丧失“广州市增城区级农业龙头企业”资格。</w:t>
      </w:r>
    </w:p>
    <w:p w14:paraId="7FB68CC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第十三条</w:t>
      </w:r>
      <w:r>
        <w:rPr>
          <w:rFonts w:hint="eastAsia" w:ascii="Times New Roman" w:hAnsi="Times New Roman" w:eastAsia="方正仿宋简体" w:cs="Times New Roman"/>
          <w:color w:val="000000"/>
          <w:kern w:val="0"/>
          <w:sz w:val="32"/>
          <w:szCs w:val="32"/>
        </w:rPr>
        <w:t> 建立监测信息统计制度，区级农业龙头企业应当按要求报送年度经营情况。</w:t>
      </w:r>
    </w:p>
    <w:p w14:paraId="64961F8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第十四条</w:t>
      </w:r>
      <w:r>
        <w:rPr>
          <w:rFonts w:hint="eastAsia" w:ascii="Times New Roman" w:hAnsi="Times New Roman" w:eastAsia="方正仿宋简体" w:cs="Times New Roman"/>
          <w:color w:val="000000"/>
          <w:kern w:val="0"/>
          <w:sz w:val="32"/>
          <w:szCs w:val="32"/>
        </w:rPr>
        <w:t> 区农业农村行政主管部门组织对区级农业龙头企业进行运行监测。参照本办法第七条、第八条、第九条规定的标准进行监测，具体程序、时间、对象和材料要求以区农业农村行政主管部门通知为准。监测结果由区农业农村行政主管部门报请区政府确认后予以公告。</w:t>
      </w:r>
    </w:p>
    <w:p w14:paraId="6BA8474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监测合格的企业，继续享有区级农业龙头企业资格。监测不合格的企业，取消其区级农业龙头企业资格且三年内不得再次申报区级农业龙头企业。</w:t>
      </w:r>
    </w:p>
    <w:p w14:paraId="25AF500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第十五条</w:t>
      </w:r>
      <w:r>
        <w:rPr>
          <w:rFonts w:hint="eastAsia" w:ascii="Times New Roman" w:hAnsi="Times New Roman" w:eastAsia="方正仿宋简体" w:cs="Times New Roman"/>
          <w:color w:val="000000"/>
          <w:kern w:val="0"/>
          <w:sz w:val="32"/>
          <w:szCs w:val="32"/>
        </w:rPr>
        <w:t> 区级农业龙头企业变更企业名称、法定代表人、注册地等重要信息的，必须书面报告各镇（街）农业农村行政主管部门和区农业农村行政主管部门，并提交相关变更材料。不影响农业龙头企业认定要素的信息变更，该企业继续享有区级农业龙头企业资格。</w:t>
      </w:r>
    </w:p>
    <w:p w14:paraId="211A3E4C">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第三章 附则</w:t>
      </w:r>
    </w:p>
    <w:p w14:paraId="273FBA5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第十六条</w:t>
      </w:r>
      <w:r>
        <w:rPr>
          <w:rFonts w:hint="eastAsia" w:ascii="Times New Roman" w:hAnsi="Times New Roman" w:eastAsia="方正仿宋简体" w:cs="Times New Roman"/>
          <w:color w:val="000000"/>
          <w:kern w:val="0"/>
          <w:sz w:val="32"/>
          <w:szCs w:val="32"/>
        </w:rPr>
        <w:t> 本办法自2024年9月1日起施行，有效期三年。</w:t>
      </w:r>
    </w:p>
    <w:p w14:paraId="6F9E9884">
      <w:pPr>
        <w:shd w:val="clear" w:color="auto" w:fill="FFFFFF"/>
        <w:jc w:val="left"/>
        <w:textAlignment w:val="baseline"/>
        <w:rPr>
          <w:rFonts w:ascii="Times New Roman" w:hAnsi="Times New Roman" w:eastAsia="方正仿宋简体" w:cs="Times New Roman"/>
          <w:color w:val="000000"/>
          <w:kern w:val="0"/>
          <w:sz w:val="32"/>
          <w:szCs w:val="32"/>
        </w:rPr>
      </w:pPr>
    </w:p>
    <w:p w14:paraId="0453703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"https://www.gz.gov.cn/attachment/7/7656/7656099/9836179.docx"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附表1：增城区级农业龙头企业认定分类型标准</w:t>
      </w:r>
      <w:r>
        <w:rPr>
          <w:rFonts w:hint="eastAsia" w:ascii="Times New Roman" w:hAnsi="Times New Roman" w:eastAsia="方正仿宋简体" w:cs="Times New Roman"/>
          <w:color w:val="000000"/>
          <w:kern w:val="0"/>
          <w:sz w:val="32"/>
          <w:szCs w:val="32"/>
          <w:u w:val="single"/>
        </w:rPr>
        <w:fldChar w:fldCharType="end"/>
      </w:r>
    </w:p>
    <w:p w14:paraId="6833E4E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"https://www.gz.gov.cn/attachment/7/7656/7656100/9836179.docx"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附表2：增城区级农业龙头企业认定和监测评分标准</w:t>
      </w:r>
      <w:r>
        <w:rPr>
          <w:rFonts w:hint="eastAsia" w:ascii="Times New Roman" w:hAnsi="Times New Roman" w:eastAsia="方正仿宋简体" w:cs="Times New Roman"/>
          <w:color w:val="000000"/>
          <w:kern w:val="0"/>
          <w:sz w:val="32"/>
          <w:szCs w:val="32"/>
          <w:u w:val="single"/>
        </w:rPr>
        <w:fldChar w:fldCharType="end"/>
      </w:r>
    </w:p>
    <w:p w14:paraId="34E5055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"https://www.gz.gov.cn/attachment/7/7656/7656101/9836179.docx"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附表3： 广州市增城区级农业龙头企业申请表</w:t>
      </w:r>
      <w:r>
        <w:rPr>
          <w:rFonts w:hint="eastAsia" w:ascii="Times New Roman" w:hAnsi="Times New Roman" w:eastAsia="方正仿宋简体" w:cs="Times New Roman"/>
          <w:color w:val="000000"/>
          <w:kern w:val="0"/>
          <w:sz w:val="32"/>
          <w:szCs w:val="32"/>
          <w:u w:val="single"/>
        </w:rPr>
        <w:fldChar w:fldCharType="end"/>
      </w:r>
    </w:p>
    <w:p w14:paraId="632E7091">
      <w:pPr>
        <w:shd w:val="clear" w:color="auto" w:fill="FFFFFF"/>
        <w:jc w:val="left"/>
        <w:textAlignment w:val="baseline"/>
        <w:rPr>
          <w:rFonts w:ascii="Times New Roman" w:hAnsi="Times New Roman" w:eastAsia="方正仿宋简体" w:cs="Times New Roman"/>
          <w:color w:val="000000"/>
          <w:kern w:val="0"/>
          <w:sz w:val="32"/>
          <w:szCs w:val="32"/>
        </w:rPr>
      </w:pPr>
    </w:p>
    <w:p w14:paraId="6723112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公开属性：主动公开</w:t>
      </w:r>
    </w:p>
    <w:p w14:paraId="4F7FF81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广州市增城区农业农村局</w:t>
      </w:r>
    </w:p>
    <w:p w14:paraId="07FA8AE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2024年8月29日印发</w:t>
      </w:r>
    </w:p>
    <w:p w14:paraId="22F45D53">
      <w:pPr>
        <w:spacing w:line="540" w:lineRule="atLeast"/>
        <w:jc w:val="left"/>
        <w:rPr>
          <w:rFonts w:ascii="Times New Roman" w:hAnsi="Times New Roman" w:eastAsia="方正仿宋简体" w:cs="Times New Roman"/>
          <w:color w:val="000000"/>
          <w:kern w:val="0"/>
          <w:sz w:val="32"/>
          <w:szCs w:val="32"/>
        </w:rPr>
      </w:pPr>
    </w:p>
    <w:p w14:paraId="2088E1FB">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广州市发展和改革委员会关于印发广州市农副产品价格调控企业库管理办法的通知</w:t>
      </w:r>
    </w:p>
    <w:p w14:paraId="1AAF0AC5">
      <w:pPr>
        <w:widowControl/>
        <w:shd w:val="clear" w:color="auto" w:fill="FFFFFF"/>
        <w:jc w:val="left"/>
        <w:textAlignment w:val="baseline"/>
        <w:rPr>
          <w:rFonts w:hint="eastAsia" w:ascii="Times New Roman" w:hAnsi="Times New Roman" w:eastAsia="方正仿宋简体" w:cs="宋体"/>
          <w:color w:val="000000"/>
          <w:kern w:val="0"/>
          <w:sz w:val="32"/>
          <w:szCs w:val="32"/>
        </w:rPr>
      </w:pPr>
    </w:p>
    <w:p w14:paraId="16BFC54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各区发展改革局、各有关单位：</w:t>
      </w:r>
    </w:p>
    <w:p w14:paraId="7C5D6E4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为落实国家和省关于完善重要民生商品价格调控机制的有关要求，构建我市农副产品价格调控平台，现将《广州市农副产品价格调控企业库管理办法》印发给你们，请做好贯彻落实工作。</w:t>
      </w:r>
    </w:p>
    <w:p w14:paraId="3F59117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37DB6DB">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广州市发展和改革委员会</w:t>
      </w:r>
    </w:p>
    <w:p w14:paraId="4144C984">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2024年9月2日</w:t>
      </w:r>
    </w:p>
    <w:p w14:paraId="187CECB2">
      <w:pPr>
        <w:widowControl/>
        <w:shd w:val="clear" w:color="auto" w:fill="FFFFFF"/>
        <w:jc w:val="right"/>
        <w:textAlignment w:val="baseline"/>
        <w:rPr>
          <w:rFonts w:hint="eastAsia" w:ascii="Times New Roman" w:hAnsi="Times New Roman" w:eastAsia="方正仿宋简体" w:cs="宋体"/>
          <w:color w:val="000000"/>
          <w:kern w:val="0"/>
          <w:sz w:val="32"/>
          <w:szCs w:val="32"/>
        </w:rPr>
      </w:pPr>
    </w:p>
    <w:p w14:paraId="5D658F3B">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6498670D">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广州市农副产品价格调控企业库管理办法</w:t>
      </w:r>
    </w:p>
    <w:p w14:paraId="1EE7D30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22E964ED">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总则</w:t>
      </w:r>
    </w:p>
    <w:p w14:paraId="417371F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第一条</w:t>
      </w:r>
      <w:r>
        <w:rPr>
          <w:rFonts w:hint="eastAsia" w:ascii="Times New Roman" w:hAnsi="Times New Roman" w:eastAsia="方正仿宋简体" w:cs="宋体"/>
          <w:color w:val="000000"/>
          <w:kern w:val="0"/>
          <w:sz w:val="32"/>
          <w:szCs w:val="32"/>
        </w:rPr>
        <w:t>　为加强和规范农副产品价格调控企业库管理，全面构建农副产品价格调控平台，服务重大节日和应急价格调控，根据《中华人民共和国价格法》《广东省实施〈中华人民共和国价格法〉办法》的相关规定以及国家、省关于完善重要民生商品价格调控机制的有关要求，制定本办法。</w:t>
      </w:r>
    </w:p>
    <w:p w14:paraId="2438076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第二条</w:t>
      </w:r>
      <w:r>
        <w:rPr>
          <w:rFonts w:hint="eastAsia" w:ascii="Times New Roman" w:hAnsi="Times New Roman" w:eastAsia="方正仿宋简体" w:cs="宋体"/>
          <w:color w:val="000000"/>
          <w:kern w:val="0"/>
          <w:sz w:val="32"/>
          <w:szCs w:val="32"/>
        </w:rPr>
        <w:t>　本办法所称农副产品价格调控企业库（以下简称“企业库”），是指对自愿参与政府农副产品价格调控的农副产品生产、流通、销售环节的企业（或经营主体，下同）进行收集汇总、跟踪管理、数据统计、信息发布等建立的企业信息库。</w:t>
      </w:r>
    </w:p>
    <w:p w14:paraId="7684BC9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第三条</w:t>
      </w:r>
      <w:r>
        <w:rPr>
          <w:rFonts w:hint="eastAsia" w:ascii="Times New Roman" w:hAnsi="Times New Roman" w:eastAsia="方正仿宋简体" w:cs="宋体"/>
          <w:color w:val="000000"/>
          <w:kern w:val="0"/>
          <w:sz w:val="32"/>
          <w:szCs w:val="32"/>
        </w:rPr>
        <w:t>　本办法适用于建立和管理由在广州市从事生产经营活动的企业组成的企业库。</w:t>
      </w:r>
    </w:p>
    <w:p w14:paraId="5CCC729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第四条　</w:t>
      </w:r>
      <w:r>
        <w:rPr>
          <w:rFonts w:hint="eastAsia" w:ascii="Times New Roman" w:hAnsi="Times New Roman" w:eastAsia="方正仿宋简体" w:cs="宋体"/>
          <w:color w:val="000000"/>
          <w:kern w:val="0"/>
          <w:sz w:val="32"/>
          <w:szCs w:val="32"/>
        </w:rPr>
        <w:t>企业库按照“立足调控需求、利用优势资源，科学规划布局、单位相对固定，强化有机衔接、方便组织实施”的总体要求，基于全市农副产品价格调控需要，选取一定数量的农副产品生产经营规模较大、调控作用发挥明显的企业建立。</w:t>
      </w:r>
    </w:p>
    <w:p w14:paraId="73245C3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第五条</w:t>
      </w:r>
      <w:r>
        <w:rPr>
          <w:rFonts w:hint="eastAsia" w:ascii="Times New Roman" w:hAnsi="Times New Roman" w:eastAsia="方正仿宋简体" w:cs="宋体"/>
          <w:color w:val="000000"/>
          <w:kern w:val="0"/>
          <w:sz w:val="32"/>
          <w:szCs w:val="32"/>
        </w:rPr>
        <w:t>　企业库管理遵循以下原则：</w:t>
      </w:r>
    </w:p>
    <w:p w14:paraId="465A6EC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（一）严格程序，动态调整。入库企业必须经过规范审核，择优录取，入库企业相对固定并实行动态管理，根据实际情况适时调整。</w:t>
      </w:r>
    </w:p>
    <w:p w14:paraId="0E53979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（二）以补代购，服务调控。在签订的保供稳价协议期内，对入库企业的价格调控服务给予一定的补贴，保障调控需要。</w:t>
      </w:r>
    </w:p>
    <w:p w14:paraId="7AA84EB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（三）强化监督，信息公开。企业的入库条件、申报和考评情况、年度价格调控服务情况由市、区发展改革部门按管理层级通过门户网站向社会公开，接受社会监督。</w:t>
      </w:r>
    </w:p>
    <w:p w14:paraId="5AC2F88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14E12DC4">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入库条件和申报程序</w:t>
      </w:r>
    </w:p>
    <w:p w14:paraId="5B5431A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第六条</w:t>
      </w:r>
      <w:r>
        <w:rPr>
          <w:rFonts w:hint="eastAsia" w:ascii="Times New Roman" w:hAnsi="Times New Roman" w:eastAsia="方正仿宋简体" w:cs="宋体"/>
          <w:color w:val="000000"/>
          <w:kern w:val="0"/>
          <w:sz w:val="32"/>
          <w:szCs w:val="32"/>
        </w:rPr>
        <w:t>　市发展改革部门负责制定企业入库条件，根据农副产品价格调控需求和价格调控资金规模变化进行适时调整并在其门户网站向社会公开。首次选取入库企业应符合以下条件：</w:t>
      </w:r>
    </w:p>
    <w:p w14:paraId="504D8EC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（一）承诺并积极参与政府组织的价格调控，认真履行保供稳价义务。</w:t>
      </w:r>
    </w:p>
    <w:p w14:paraId="1668360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（二）有独立承担民事责任能力，常年正常开展农副产品生产、流通或销售，守法经营、照章纳税，无违法违规、重大安全事故等方面记录，财务账目、经营台账健全完善。</w:t>
      </w:r>
    </w:p>
    <w:p w14:paraId="7F1D199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（三）生产、供应、储备、配送或销售的农副产品应当通过农产品“三品一标”之中任一认证，保证产品质量安全。</w:t>
      </w:r>
    </w:p>
    <w:p w14:paraId="654DBA3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（四）生产、流通、销售环节企业应分别符合以下具体要求：</w:t>
      </w:r>
    </w:p>
    <w:p w14:paraId="4DF1A32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1．生产环节</w:t>
      </w:r>
    </w:p>
    <w:p w14:paraId="042DBDB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以种植《广州市菜篮子零售价格日报》公布的蔬菜品种为主，规模在300亩以上、对接1个以上企业库销售配送中心或5家以上企业库销售环节企业。</w:t>
      </w:r>
    </w:p>
    <w:p w14:paraId="7F88983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2．流通环节</w:t>
      </w:r>
    </w:p>
    <w:p w14:paraId="2E24CDC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应急储备企业。承担《广州市菜篮子零售价格日报》中除粮油以外品种的应急储备任务，具备常年保有500吨以上蔬菜或肉类的储备能力，其标准冷藏设施库容1000立方米以上，自建蔬菜或肉类相关质量检测中心，对接1个以上企业库销售配送中心或10家以上企业库销售环节企业。</w:t>
      </w:r>
    </w:p>
    <w:p w14:paraId="1BE0347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销售配送中心。承担销售环节企业农副产品配送任务，对接企业库的蔬菜生产企业3家以上或肉类储备企业1家以上，且配送10家以上企业库销售环节企业，拥有固定配送场所且面积在50平方米以上，有配套冷藏设施、电子商务平台和2辆以上配送车。</w:t>
      </w:r>
    </w:p>
    <w:p w14:paraId="6C6FD9C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3．销售环节</w:t>
      </w:r>
    </w:p>
    <w:p w14:paraId="07A2C56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销售的农副产品应质量检测合格且品种齐全，原则上需包括蔬菜（品种不少于15种）、大米、食用油、猪肉、家禽、鲜鸡蛋等六大类，与农户、农民专业合作社、农副产品生产企业签订产销对接合同或协议，有电子商务平台，采取电子收银系统记录销售情况，平价经营区面积不少于30平方米。</w:t>
      </w:r>
    </w:p>
    <w:p w14:paraId="44B6446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第七条</w:t>
      </w:r>
      <w:r>
        <w:rPr>
          <w:rFonts w:hint="eastAsia" w:ascii="Times New Roman" w:hAnsi="Times New Roman" w:eastAsia="方正仿宋简体" w:cs="宋体"/>
          <w:color w:val="000000"/>
          <w:kern w:val="0"/>
          <w:sz w:val="32"/>
          <w:szCs w:val="32"/>
        </w:rPr>
        <w:t>　企业经申报、评审、公示后正式列入企业库管理。</w:t>
      </w:r>
    </w:p>
    <w:p w14:paraId="1C283DD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（一）市发展改革部门在其门户网站向社会公开发布申报通知或申报指南，明确初次入库的申报、评审、公示等事项，组织企业入库申报。</w:t>
      </w:r>
    </w:p>
    <w:p w14:paraId="2E0E27C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（二）符合入库申报条件的企业，按属地原则以书面形式向经营所在地的区发展改革部门提出申请，并按要求提供相关资料。</w:t>
      </w:r>
    </w:p>
    <w:p w14:paraId="04F5B6B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（三）区发展改革部门受理辖区内企业入库申请，并对申请入库的企业进行初审。初审采取实地查看、调查核对等方式，审核企业申报信息的完整性、真实性、合规性。</w:t>
      </w:r>
    </w:p>
    <w:p w14:paraId="3EB7CD2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 完整性。对照申报要求，审查企业申报材料的完整性。</w:t>
      </w:r>
    </w:p>
    <w:p w14:paraId="6CD38B8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 真实性。通过实地查看、调查核对，审核企业入库申请信息和所提供资料的真实性。</w:t>
      </w:r>
    </w:p>
    <w:p w14:paraId="10219FA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 合规性。对照入库条件，审核企业是否符合入库条件要求。</w:t>
      </w:r>
    </w:p>
    <w:p w14:paraId="2AD5821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区发展改革部门在其门户网站将通过初审的企业进行公示。公示5日无异议后，区发展改革部门将初审意见和企业入库申报材料报送市发展改革部门审核。</w:t>
      </w:r>
    </w:p>
    <w:p w14:paraId="71CA614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市发展改革部门对区发展改革部门申报入库企业材料的完整性、真实性和合规性进行复核，根据我市农副产品价格调控需求确定入库企业名单。入库企业名单经市发展改革部门审议通过，在其门户网站公示。公示5日无异议后正式列入企业库管理，由市发展改革部门予以公布。公布后由受理其入库申请的区发展改革部门与入库企业签订保供稳价协议。</w:t>
      </w:r>
    </w:p>
    <w:p w14:paraId="771D805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（五）符合入库申报条件，在2024年12月底前已签订《广州市农副产品保供稳价协议》且继续经营的原广州市农副产品价格调控项目库成员单位，申请入库的，可优先考虑入库。</w:t>
      </w:r>
    </w:p>
    <w:p w14:paraId="14082B1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（六）企业入库初审或复核可委托第三方机构参与评审，所需经费由同级财政预算统筹安排，其中初审经费由区财政安排，复核经费由市财政安排。</w:t>
      </w:r>
    </w:p>
    <w:p w14:paraId="1D06C7C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第八条</w:t>
      </w:r>
      <w:r>
        <w:rPr>
          <w:rFonts w:hint="eastAsia" w:ascii="Times New Roman" w:hAnsi="Times New Roman" w:eastAsia="方正仿宋简体" w:cs="宋体"/>
          <w:color w:val="000000"/>
          <w:kern w:val="0"/>
          <w:sz w:val="32"/>
          <w:szCs w:val="32"/>
        </w:rPr>
        <w:t>　入库企业相对固定，有新增、变更或退出等情况的，按下列方式办理：</w:t>
      </w:r>
    </w:p>
    <w:p w14:paraId="11F5211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（一）新增。首次选取未入库的企业，市发展改革部门根据价格调控需要，认为确有必要纳入企业库管理的，应办理新增入库。公布后按属地原则由区发展改革部门与其签订保供稳价协议。</w:t>
      </w:r>
    </w:p>
    <w:p w14:paraId="02F7234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（二）变更。入库企业因发展变化涉及基础信息发生变更的，由区发展改革部门报市发展改革部门在企业库信息系统中进行变更。</w:t>
      </w:r>
    </w:p>
    <w:p w14:paraId="6E5A8BC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（三）退出。入库企业有下列情形的，应退出企业库并终止保供稳价协议：</w:t>
      </w:r>
    </w:p>
    <w:p w14:paraId="0895729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1．因自然灾害、不可抗力或自身经营调整等原因无法继续履行协议的；</w:t>
      </w:r>
    </w:p>
    <w:p w14:paraId="52E568C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2．因入库条件调整不再符合入库条件的；</w:t>
      </w:r>
    </w:p>
    <w:p w14:paraId="25671EF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3．与区发展改革部门签订的协议期满且不续签协议的；</w:t>
      </w:r>
    </w:p>
    <w:p w14:paraId="34BCDCC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4．发现入库申报过程中存在弄虚作假行为的；   </w:t>
      </w:r>
    </w:p>
    <w:p w14:paraId="7E593E1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5．年度绩效评价不合格的。</w:t>
      </w:r>
    </w:p>
    <w:p w14:paraId="3CFD154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（四）已退库企业申请再次入库的，按首次入库的条件要求和申报程序办理。</w:t>
      </w:r>
    </w:p>
    <w:p w14:paraId="27B7BB1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21590509">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第三章入库企业管理</w:t>
      </w:r>
    </w:p>
    <w:p w14:paraId="425B90B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第九条　</w:t>
      </w:r>
      <w:r>
        <w:rPr>
          <w:rFonts w:hint="eastAsia" w:ascii="Times New Roman" w:hAnsi="Times New Roman" w:eastAsia="方正仿宋简体" w:cs="宋体"/>
          <w:color w:val="000000"/>
          <w:kern w:val="0"/>
          <w:sz w:val="32"/>
          <w:szCs w:val="32"/>
        </w:rPr>
        <w:t>市发展改革部门应加强企业库信息管理，分类建立入库企业档案，对入库企业的基础信息及变更、项目补贴金额及用途、价格调控服务具体任务及历年执行等情况进行记录并及时更新。</w:t>
      </w:r>
    </w:p>
    <w:p w14:paraId="382F79F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第十条　</w:t>
      </w:r>
      <w:r>
        <w:rPr>
          <w:rFonts w:hint="eastAsia" w:ascii="Times New Roman" w:hAnsi="Times New Roman" w:eastAsia="方正仿宋简体" w:cs="宋体"/>
          <w:color w:val="000000"/>
          <w:kern w:val="0"/>
          <w:sz w:val="32"/>
          <w:szCs w:val="32"/>
        </w:rPr>
        <w:t>入库企业的权利和义务以协议方式约定。入库企业享有年度价格调控补贴和应急价格调控补贴等资格的权利，相应承担保障本市市场和销售环节企业供应或平价销售农副产品、按政府要求参与农副产品价格调控等义务。具体的权利与义务由受理其入库申请的区发展改革部门在企业公布入库后与其签订保供稳价协议（协议文本另行印发）约定，有效期2年。协议期满，入库企业通过当年绩效评价且自愿继续留库的，应与区发展改革部门续签保供稳价协议，否则视为退出企业库。各区发展改革部门与入库企业签订的保供稳价协议须报市发展改革部门备案。</w:t>
      </w:r>
    </w:p>
    <w:p w14:paraId="732A273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第十一条</w:t>
      </w:r>
      <w:r>
        <w:rPr>
          <w:rFonts w:hint="eastAsia" w:ascii="Times New Roman" w:hAnsi="Times New Roman" w:eastAsia="方正仿宋简体" w:cs="宋体"/>
          <w:color w:val="000000"/>
          <w:kern w:val="0"/>
          <w:sz w:val="32"/>
          <w:szCs w:val="32"/>
        </w:rPr>
        <w:t>　区发展改革部门应按“谁受理谁负责”的原则，加强对入库企业的日常管理，督促其建立补贴资金收支明细登记，供应、储备、配送、销售情况（品种、价格、数量）登记，以及政府相关部门监督检查情况登记，加强对入库企业履行协议情况的跟踪指导。区市场监管等相关部门在各自职责内予以配合。市发展改革部门对区发展改革部门的日常管理进行监督和指导。</w:t>
      </w:r>
    </w:p>
    <w:p w14:paraId="529568F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第十二条</w:t>
      </w:r>
      <w:r>
        <w:rPr>
          <w:rFonts w:hint="eastAsia" w:ascii="Times New Roman" w:hAnsi="Times New Roman" w:eastAsia="方正仿宋简体" w:cs="宋体"/>
          <w:color w:val="000000"/>
          <w:kern w:val="0"/>
          <w:sz w:val="32"/>
          <w:szCs w:val="32"/>
        </w:rPr>
        <w:t>　各级发展改革部门应积极引导入库企业按要求参与调控，做好调控期间供应、储备、配送、销售各环节品种及数量的统计、上报，并加强监督管理，不断提升其调控服务水平。</w:t>
      </w:r>
    </w:p>
    <w:p w14:paraId="120A759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721981B2">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农副产品价格调控及补贴</w:t>
      </w:r>
    </w:p>
    <w:p w14:paraId="3ACE30B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第十三条</w:t>
      </w:r>
      <w:r>
        <w:rPr>
          <w:rFonts w:hint="eastAsia" w:ascii="Times New Roman" w:hAnsi="Times New Roman" w:eastAsia="方正仿宋简体" w:cs="宋体"/>
          <w:color w:val="000000"/>
          <w:kern w:val="0"/>
          <w:sz w:val="32"/>
          <w:szCs w:val="32"/>
        </w:rPr>
        <w:t>　市发展改革部门统筹组织农副产品价格调控工作。入库企业在协议期间须按政府要求参与农副产品价格调控。</w:t>
      </w:r>
    </w:p>
    <w:p w14:paraId="1EC5476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第十四条</w:t>
      </w:r>
      <w:r>
        <w:rPr>
          <w:rFonts w:hint="eastAsia" w:ascii="Times New Roman" w:hAnsi="Times New Roman" w:eastAsia="方正仿宋简体" w:cs="宋体"/>
          <w:color w:val="000000"/>
          <w:kern w:val="0"/>
          <w:sz w:val="32"/>
          <w:szCs w:val="32"/>
        </w:rPr>
        <w:t>　农副产品价格调控分为春节价格调控和应急价格调控。春节价格调控主要以平价销售的方式进行，调控时间3-5天，在全市范围内实施。应急价格调控属临时性调控，根据《广州市发展改革委关于印发〈广州市农副产品价格调控预案〉的通知》（穗发改〔2018〕1048号）规定的启动条件及时启动，可视情况在全市范围或某个区域内实施。农副产品价格调控品种包括大米、食用油、猪肉、家禽、鸡蛋、蔬菜六大类，具体实施类别、品种、价格及时间由组织调控的发展改革部门在调控方案中明确。</w:t>
      </w:r>
    </w:p>
    <w:p w14:paraId="069BCD4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第十五条</w:t>
      </w:r>
      <w:r>
        <w:rPr>
          <w:rFonts w:hint="eastAsia" w:ascii="Times New Roman" w:hAnsi="Times New Roman" w:eastAsia="方正仿宋简体" w:cs="宋体"/>
          <w:color w:val="000000"/>
          <w:kern w:val="0"/>
          <w:sz w:val="32"/>
          <w:szCs w:val="32"/>
        </w:rPr>
        <w:t>　按照“先控后补”的原则，在农副产品价格调控工作完成后，对参与调控的入库企业予以适当补贴。</w:t>
      </w:r>
    </w:p>
    <w:p w14:paraId="2E29228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xml:space="preserve">    </w:t>
      </w:r>
      <w:r>
        <w:rPr>
          <w:rFonts w:hint="eastAsia" w:ascii="Times New Roman" w:hAnsi="Times New Roman" w:eastAsia="方正仿宋简体" w:cs="宋体"/>
          <w:b/>
          <w:bCs/>
          <w:color w:val="000000"/>
          <w:kern w:val="0"/>
          <w:sz w:val="32"/>
          <w:szCs w:val="32"/>
        </w:rPr>
        <w:t>   （一）年度价格调控补贴。</w:t>
      </w:r>
      <w:r>
        <w:rPr>
          <w:rFonts w:hint="eastAsia" w:ascii="Times New Roman" w:hAnsi="Times New Roman" w:eastAsia="方正仿宋简体" w:cs="宋体"/>
          <w:color w:val="000000"/>
          <w:kern w:val="0"/>
          <w:sz w:val="32"/>
          <w:szCs w:val="32"/>
        </w:rPr>
        <w:t>入库企业在协议年度内完成价格调控任务，认真履行保供稳价协议，经绩效评价合格以上的，给予年度资金补贴。其中绩效评价为优良的补贴4万元，绩效评价为合格的补贴3万元，绩效评价不合格的不予补贴。</w:t>
      </w:r>
    </w:p>
    <w:p w14:paraId="132A851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（二）应急价格调控补贴。</w:t>
      </w:r>
      <w:r>
        <w:rPr>
          <w:rFonts w:hint="eastAsia" w:ascii="Times New Roman" w:hAnsi="Times New Roman" w:eastAsia="方正仿宋简体" w:cs="宋体"/>
          <w:color w:val="000000"/>
          <w:kern w:val="0"/>
          <w:sz w:val="32"/>
          <w:szCs w:val="32"/>
        </w:rPr>
        <w:t>对入库企业在协议年度内参与应急价格调控，按政府要求销售指定的农副产品所产生的实际价差（实际销售价格与同品种同规格商品的市场平均价之间的差额）给予补贴。</w:t>
      </w:r>
    </w:p>
    <w:p w14:paraId="67A65B4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第十六条</w:t>
      </w:r>
      <w:r>
        <w:rPr>
          <w:rFonts w:hint="eastAsia" w:ascii="Times New Roman" w:hAnsi="Times New Roman" w:eastAsia="方正仿宋简体" w:cs="宋体"/>
          <w:color w:val="000000"/>
          <w:kern w:val="0"/>
          <w:sz w:val="32"/>
          <w:szCs w:val="32"/>
        </w:rPr>
        <w:t>　农副产品价格调控补贴资金，按《广州市发展改革委关于印发〈广州市农副产品价格调控预案〉的通知》（穗发改〔2018〕1048号）规定由市级财政预算统筹安排，如有新规定从其规定。</w:t>
      </w:r>
    </w:p>
    <w:p w14:paraId="13BF17D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58090AF">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监督指导和绩效评价</w:t>
      </w:r>
    </w:p>
    <w:p w14:paraId="1F8667D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第十七条</w:t>
      </w:r>
      <w:r>
        <w:rPr>
          <w:rFonts w:hint="eastAsia" w:ascii="Times New Roman" w:hAnsi="Times New Roman" w:eastAsia="方正仿宋简体" w:cs="宋体"/>
          <w:color w:val="000000"/>
          <w:kern w:val="0"/>
          <w:sz w:val="32"/>
          <w:szCs w:val="32"/>
        </w:rPr>
        <w:t>　市发展改革部门加强对入库企业的监督指导，强化事中和事后监督，及时发现和纠正企业入库申报、审核过程中存在的问题。</w:t>
      </w:r>
    </w:p>
    <w:p w14:paraId="6CDCCDE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第十八条</w:t>
      </w:r>
      <w:r>
        <w:rPr>
          <w:rFonts w:hint="eastAsia" w:ascii="Times New Roman" w:hAnsi="Times New Roman" w:eastAsia="方正仿宋简体" w:cs="宋体"/>
          <w:color w:val="000000"/>
          <w:kern w:val="0"/>
          <w:sz w:val="32"/>
          <w:szCs w:val="32"/>
        </w:rPr>
        <w:t>　市发展改革部门统筹组织入库企业绩效评价工作，制定统一的绩效评价指标体系（另行印发）。入库企业绩效评价指标体系应突出体现价格调控作用发挥情况，结合入库企业生产储备能力提高、应急保供水平提升、产销对接充分实现，以及履行保供稳价协议的具体情况分环节分类设定。</w:t>
      </w:r>
    </w:p>
    <w:p w14:paraId="601E31B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绩效评价原则上一年一评，每年上半年完成上一年度绩效评价工作，市发展改革部门可根据实际情况适当调整。  </w:t>
      </w:r>
    </w:p>
    <w:p w14:paraId="0579D49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第十九条</w:t>
      </w:r>
      <w:r>
        <w:rPr>
          <w:rFonts w:hint="eastAsia" w:ascii="Times New Roman" w:hAnsi="Times New Roman" w:eastAsia="方正仿宋简体" w:cs="宋体"/>
          <w:color w:val="000000"/>
          <w:kern w:val="0"/>
          <w:sz w:val="32"/>
          <w:szCs w:val="32"/>
        </w:rPr>
        <w:t>　入库企业绩效评价分为企业自评、区级初评、市级复评、结果通报等程序。</w:t>
      </w:r>
    </w:p>
    <w:p w14:paraId="42E6B0D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xml:space="preserve">      </w:t>
      </w:r>
      <w:r>
        <w:rPr>
          <w:rFonts w:hint="eastAsia" w:ascii="Times New Roman" w:hAnsi="Times New Roman" w:eastAsia="方正仿宋简体" w:cs="宋体"/>
          <w:b/>
          <w:bCs/>
          <w:color w:val="000000"/>
          <w:kern w:val="0"/>
          <w:sz w:val="32"/>
          <w:szCs w:val="32"/>
        </w:rPr>
        <w:t>（一）企业自评。</w:t>
      </w:r>
      <w:r>
        <w:rPr>
          <w:rFonts w:hint="eastAsia" w:ascii="Times New Roman" w:hAnsi="Times New Roman" w:eastAsia="方正仿宋简体" w:cs="宋体"/>
          <w:color w:val="000000"/>
          <w:kern w:val="0"/>
          <w:sz w:val="32"/>
          <w:szCs w:val="32"/>
        </w:rPr>
        <w:t>入库企业对照绩效评价指标，逐项进行绩效自评，将绩效评价自评表、自评佐证资料等材料，报送受理其入库申请的区发展改革部门。</w:t>
      </w:r>
    </w:p>
    <w:p w14:paraId="7D98707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xml:space="preserve">      </w:t>
      </w:r>
      <w:r>
        <w:rPr>
          <w:rFonts w:hint="eastAsia" w:ascii="Times New Roman" w:hAnsi="Times New Roman" w:eastAsia="方正仿宋简体" w:cs="宋体"/>
          <w:b/>
          <w:bCs/>
          <w:color w:val="000000"/>
          <w:kern w:val="0"/>
          <w:sz w:val="32"/>
          <w:szCs w:val="32"/>
        </w:rPr>
        <w:t>（二）区级初评。</w:t>
      </w:r>
      <w:r>
        <w:rPr>
          <w:rFonts w:hint="eastAsia" w:ascii="Times New Roman" w:hAnsi="Times New Roman" w:eastAsia="方正仿宋简体" w:cs="宋体"/>
          <w:color w:val="000000"/>
          <w:kern w:val="0"/>
          <w:sz w:val="32"/>
          <w:szCs w:val="32"/>
        </w:rPr>
        <w:t>区发展改革部门对照绩效评价指标，对入库企业上报的自评材料进行审核评价，将初评结果、入库企业绩效自评材料报送市发展改革部门。</w:t>
      </w:r>
    </w:p>
    <w:p w14:paraId="6650EDF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xml:space="preserve">      </w:t>
      </w:r>
      <w:r>
        <w:rPr>
          <w:rFonts w:hint="eastAsia" w:ascii="Times New Roman" w:hAnsi="Times New Roman" w:eastAsia="方正仿宋简体" w:cs="宋体"/>
          <w:b/>
          <w:bCs/>
          <w:color w:val="000000"/>
          <w:kern w:val="0"/>
          <w:sz w:val="32"/>
          <w:szCs w:val="32"/>
        </w:rPr>
        <w:t>（三）市级复评。</w:t>
      </w:r>
      <w:r>
        <w:rPr>
          <w:rFonts w:hint="eastAsia" w:ascii="Times New Roman" w:hAnsi="Times New Roman" w:eastAsia="方正仿宋简体" w:cs="宋体"/>
          <w:color w:val="000000"/>
          <w:kern w:val="0"/>
          <w:sz w:val="32"/>
          <w:szCs w:val="32"/>
        </w:rPr>
        <w:t>市发展改革部门组织对企业自评、区级初评情况进行复评，必要时可向有关部门函询相关情况，综合企业自评、区级初评和市级复评情况确定年度绩效评价结果。</w:t>
      </w:r>
    </w:p>
    <w:p w14:paraId="14E3065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xml:space="preserve"> （四）结果通报。</w:t>
      </w:r>
      <w:r>
        <w:rPr>
          <w:rFonts w:hint="eastAsia" w:ascii="Times New Roman" w:hAnsi="Times New Roman" w:eastAsia="方正仿宋简体" w:cs="宋体"/>
          <w:color w:val="000000"/>
          <w:kern w:val="0"/>
          <w:sz w:val="32"/>
          <w:szCs w:val="32"/>
        </w:rPr>
        <w:t>年度绩效评价结果由市发展改革部门向入库企业通报。</w:t>
      </w:r>
    </w:p>
    <w:p w14:paraId="47382C1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绩效评价结果根据得分划分为三个等级：优良、合格和不合格。其中绩效评价得分在80分（含）以上且排名在参评企业前40%的等级评为优良，得分低于60分的等级评为不合格。</w:t>
      </w:r>
    </w:p>
    <w:p w14:paraId="79AAF27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绩效评价的初评或复评可委托第三方机构参与，所需经费由同级财政预算统筹安排，其中初评经费由区财政安排，复评经费由市财政安排。</w:t>
      </w:r>
    </w:p>
    <w:p w14:paraId="66CF02E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第二十条</w:t>
      </w:r>
      <w:r>
        <w:rPr>
          <w:rFonts w:hint="eastAsia" w:ascii="Times New Roman" w:hAnsi="Times New Roman" w:eastAsia="方正仿宋简体" w:cs="宋体"/>
          <w:color w:val="000000"/>
          <w:kern w:val="0"/>
          <w:sz w:val="32"/>
          <w:szCs w:val="32"/>
        </w:rPr>
        <w:t>　实行企业库管理责任追究机制。</w:t>
      </w:r>
    </w:p>
    <w:p w14:paraId="65C261E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（一）对各级发展改革部门以及中介机构相关人员，在入库申报、审核或评审过程中存在违法违纪行为的，依照相关规定处理。</w:t>
      </w:r>
    </w:p>
    <w:p w14:paraId="3294983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（二）企业在入库申报过程中存在提供虚假信息、违规获取入库资格的，或年度绩效评价不合格的，取消其入库资格、终止保供稳价协议，责令退出企业库。</w:t>
      </w:r>
    </w:p>
    <w:p w14:paraId="493631E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6007CC64">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职责分工</w:t>
      </w:r>
    </w:p>
    <w:p w14:paraId="671C749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第二十一条</w:t>
      </w:r>
      <w:r>
        <w:rPr>
          <w:rFonts w:hint="eastAsia" w:ascii="Times New Roman" w:hAnsi="Times New Roman" w:eastAsia="方正仿宋简体" w:cs="宋体"/>
          <w:color w:val="000000"/>
          <w:kern w:val="0"/>
          <w:sz w:val="32"/>
          <w:szCs w:val="32"/>
        </w:rPr>
        <w:t>　市发展改革部门职责：</w:t>
      </w:r>
    </w:p>
    <w:p w14:paraId="01925E8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（一）负责企业库管理的组织、协调和指导工作；</w:t>
      </w:r>
    </w:p>
    <w:p w14:paraId="04807ED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（二）组织企业入库申报、复核、评审、公示，负责入库企业认定、建档；</w:t>
      </w:r>
    </w:p>
    <w:p w14:paraId="49E37BF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（三）受理各区与入库企业签订的保供稳价协议报备；</w:t>
      </w:r>
    </w:p>
    <w:p w14:paraId="18B3A02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（四）统筹组织对入库企业的日常监管和绩效评价工作；</w:t>
      </w:r>
    </w:p>
    <w:p w14:paraId="260ADC5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（五）统筹组织农副产品价格调控工作。</w:t>
      </w:r>
    </w:p>
    <w:p w14:paraId="4CB29F1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第二十二条</w:t>
      </w:r>
      <w:r>
        <w:rPr>
          <w:rFonts w:hint="eastAsia" w:ascii="Times New Roman" w:hAnsi="Times New Roman" w:eastAsia="方正仿宋简体" w:cs="宋体"/>
          <w:color w:val="000000"/>
          <w:kern w:val="0"/>
          <w:sz w:val="32"/>
          <w:szCs w:val="32"/>
        </w:rPr>
        <w:t>　区发展改革部门职责：</w:t>
      </w:r>
    </w:p>
    <w:p w14:paraId="6654F01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（一）受理辖区内企业的入库申请，对入库企业进行初审、公示，向市发展改革部门提出入库或变更申报；</w:t>
      </w:r>
    </w:p>
    <w:p w14:paraId="62B5ACB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（二）与入库企业签订保供稳价协议并向市发展改革部门报备；</w:t>
      </w:r>
    </w:p>
    <w:p w14:paraId="68DEB33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（三）对入库企业进行日常管理，会同市场监管部门等组织和指导入库企业开展农副产品价格调控工作；</w:t>
      </w:r>
    </w:p>
    <w:p w14:paraId="602073F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（四）按规定做好绩效评价工作。</w:t>
      </w:r>
    </w:p>
    <w:p w14:paraId="0202178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第二十三条　</w:t>
      </w:r>
      <w:r>
        <w:rPr>
          <w:rFonts w:hint="eastAsia" w:ascii="Times New Roman" w:hAnsi="Times New Roman" w:eastAsia="方正仿宋简体" w:cs="宋体"/>
          <w:color w:val="000000"/>
          <w:kern w:val="0"/>
          <w:sz w:val="32"/>
          <w:szCs w:val="32"/>
        </w:rPr>
        <w:t>入库企业职责：</w:t>
      </w:r>
    </w:p>
    <w:p w14:paraId="161CD80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（一）按申报要求据实提出企业库入库、变更申请。</w:t>
      </w:r>
    </w:p>
    <w:p w14:paraId="029ED1C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（二）与区发展改革部门签订保供稳价协议，履行约定义务，执行发展改革部门价格调控有关政策和规定。</w:t>
      </w:r>
    </w:p>
    <w:p w14:paraId="7765380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（三）按规定做好相关登记，主动接受各级发展改革部门和相关部门的监督和指导。</w:t>
      </w:r>
    </w:p>
    <w:p w14:paraId="54827C4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（四）按规定做好绩效自评工作。</w:t>
      </w:r>
    </w:p>
    <w:p w14:paraId="018B25E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7B5A161C">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第七章  附　则</w:t>
      </w:r>
    </w:p>
    <w:p w14:paraId="79C3ED0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第二十四条　</w:t>
      </w:r>
      <w:r>
        <w:rPr>
          <w:rFonts w:hint="eastAsia" w:ascii="Times New Roman" w:hAnsi="Times New Roman" w:eastAsia="方正仿宋简体" w:cs="宋体"/>
          <w:color w:val="000000"/>
          <w:kern w:val="0"/>
          <w:sz w:val="32"/>
          <w:szCs w:val="32"/>
        </w:rPr>
        <w:t>本办法由广州市发展和改革委员会负责解释。</w:t>
      </w:r>
    </w:p>
    <w:p w14:paraId="28F6BF0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第二十五条</w:t>
      </w:r>
      <w:r>
        <w:rPr>
          <w:rFonts w:hint="eastAsia" w:ascii="Times New Roman" w:hAnsi="Times New Roman" w:eastAsia="方正仿宋简体" w:cs="宋体"/>
          <w:color w:val="000000"/>
          <w:kern w:val="0"/>
          <w:sz w:val="32"/>
          <w:szCs w:val="32"/>
        </w:rPr>
        <w:t>　本办法自印发之日起施行，有效期5年。</w:t>
      </w:r>
    </w:p>
    <w:p w14:paraId="6A4F1BB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6B7DF28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公开方式：主动公开</w:t>
      </w:r>
    </w:p>
    <w:p w14:paraId="3E01154F">
      <w:pPr>
        <w:spacing w:line="540" w:lineRule="atLeast"/>
        <w:ind w:firstLine="480"/>
        <w:jc w:val="left"/>
        <w:rPr>
          <w:rFonts w:ascii="Times New Roman" w:hAnsi="Times New Roman" w:eastAsia="方正仿宋简体" w:cs="Times New Roman"/>
          <w:color w:val="000000"/>
          <w:kern w:val="0"/>
          <w:sz w:val="32"/>
          <w:szCs w:val="32"/>
        </w:rPr>
      </w:pPr>
    </w:p>
    <w:p w14:paraId="67E26EF5">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广州开发区行政审批局 广州市黄埔区政务服务和数据管理局 广州开发区规划和自然资源局 广州市规划和自然资源局黄埔区分局关于印发关于进一步优化广州开发区 黄埔区提高工业用地利用效率管理服务机制的若干措施的通知 </w:t>
      </w:r>
    </w:p>
    <w:p w14:paraId="16D4838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区属各单位： </w:t>
      </w:r>
    </w:p>
    <w:p w14:paraId="3875DA26">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《关于进一步优化广州开发区 黄埔区提高工业用地利用效率管理服务机制的若干措施》业经广州开发区管委会、黄埔区政府同意，现印发实施。实施推进中如遇困难或问题，请径向区行政审批局、区规划和自然资源局反映。</w:t>
      </w:r>
    </w:p>
    <w:p w14:paraId="2799046F">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广州开发区行政审批局 广州市黄埔区政务服务和数据管理局</w:t>
      </w:r>
    </w:p>
    <w:p w14:paraId="229C38C8">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广州开发区规划和自然资源局 广州市规划和自然资源局黄埔区分局</w:t>
      </w:r>
    </w:p>
    <w:p w14:paraId="2B4A0920">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2024年9月3日</w:t>
      </w:r>
    </w:p>
    <w:p w14:paraId="712A899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关于进一步优化广州开发区 黄埔区 提高工业用地利用效率管理服务机制的若干措施</w:t>
      </w:r>
      <w:r>
        <w:rPr>
          <w:rFonts w:hint="eastAsia" w:ascii="Times New Roman" w:hAnsi="Times New Roman" w:eastAsia="方正仿宋简体" w:cs="Times New Roman"/>
          <w:color w:val="000000"/>
          <w:kern w:val="0"/>
          <w:sz w:val="32"/>
          <w:szCs w:val="32"/>
        </w:rPr>
        <w:t> </w:t>
      </w:r>
    </w:p>
    <w:p w14:paraId="3D07F15D">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为进一步简化提高工业用地利用效率流程，促进工业用地节约集约利用，盘活低效闲置工业用地，推动产业转型升级，根据 《广州经济技术开发区条例》《广州市人民政府办公厅关于印发广州市提高工业用地利用效率实施办法的通知》（穗府办规〔2022〕5号）、《广州市规划和自然资源局关于印发进一步优化审批服务机制惠企利民促进经济社会发展若干措施（第四批）的通知》等有关规定，结合《广州市黄埔区 广州开发区提高工业用地利用效率实施办法》（穗开规划资源规字〔2022〕4号）及工作实际， 优化提高工业用地利用效率管理服务机制，特制定本措施（简称 “工业提容”2.0）。 </w:t>
      </w:r>
    </w:p>
    <w:p w14:paraId="5CEBB8AE">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 优化投资协议加快工业投资落地。</w:t>
      </w:r>
      <w:r>
        <w:rPr>
          <w:rFonts w:hint="eastAsia" w:ascii="Times New Roman" w:hAnsi="Times New Roman" w:eastAsia="方正仿宋简体" w:cs="Times New Roman"/>
          <w:color w:val="000000"/>
          <w:kern w:val="0"/>
          <w:sz w:val="32"/>
          <w:szCs w:val="32"/>
        </w:rPr>
        <w:t>申请提高工业用地利用效率的项目，企业应与区投资促进、科技或工业和信息化部门等产业部门签订投资协议。产业部门可根据项目实际调整 《广州市黄埔区 广州开发区关于_____项目（存量工业用地提高容积率）的投资协议（示范文本）》（埔政数〔2023〕6号）的相关条款，但应约定以下事项： </w:t>
      </w:r>
    </w:p>
    <w:p w14:paraId="35B606D7">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（一）动竣工时限。项目应在设计方案获批后6个月内进场实施基坑开挖、桩基础施工等实质动工作业，并完成工业固投入统。项目一般应在2年内竣工（产业部门可根据项目实际在投资 协议中对竣工期限进行调整或约定例外情形）。 </w:t>
      </w:r>
    </w:p>
    <w:p w14:paraId="68AEBA49">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租金优惠。项目在建成投产后5年内，企业对产业发起部门引进进驻园区的项目给予租金优惠（产业部门结合项目实际在签署投资协议时候具体约定租金优惠）。对于国企投资项目，租金优惠应符合国资监管相关要求。 </w:t>
      </w:r>
    </w:p>
    <w:p w14:paraId="3C035113">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 推动实体项目提容扩产。</w:t>
      </w:r>
      <w:r>
        <w:rPr>
          <w:rFonts w:hint="eastAsia" w:ascii="Times New Roman" w:hAnsi="Times New Roman" w:eastAsia="方正仿宋简体" w:cs="Times New Roman"/>
          <w:color w:val="000000"/>
          <w:kern w:val="0"/>
          <w:sz w:val="32"/>
          <w:szCs w:val="32"/>
        </w:rPr>
        <w:t>对于企业因技术升级、转型改造、增资扩产等需要申请提高工业用地利用效率的，在层高、荷载、标准层面积等厂房建筑设计方面，依法依规支持企业建设服务于生产的需求。 </w:t>
      </w:r>
    </w:p>
    <w:p w14:paraId="19EEBA35">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 加快载体园区开发建设。</w:t>
      </w:r>
      <w:r>
        <w:rPr>
          <w:rFonts w:hint="eastAsia" w:ascii="Times New Roman" w:hAnsi="Times New Roman" w:eastAsia="方正仿宋简体" w:cs="Times New Roman"/>
          <w:color w:val="000000"/>
          <w:kern w:val="0"/>
          <w:sz w:val="32"/>
          <w:szCs w:val="32"/>
        </w:rPr>
        <w:t>区发展改革、投资促进、科技或工业和信息化等政府相关部门规划或认定的孵化器、加速器、特色产业园区可申请提高工业用地利用效率，建设载体园区用于厂房出租。载体园区原则上应规划建设不小于总建筑面积的40%的高标准厂房，在层高、荷载、标准层面积等方面进行高标准设计（详见附表）。 </w:t>
      </w:r>
    </w:p>
    <w:p w14:paraId="73C73B22">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 保障存量工业用地按历史批复开发建设。</w:t>
      </w:r>
      <w:r>
        <w:rPr>
          <w:rFonts w:hint="eastAsia" w:ascii="Times New Roman" w:hAnsi="Times New Roman" w:eastAsia="方正仿宋简体" w:cs="Times New Roman"/>
          <w:color w:val="000000"/>
          <w:kern w:val="0"/>
          <w:sz w:val="32"/>
          <w:szCs w:val="32"/>
        </w:rPr>
        <w:t>对已取得合法用地手续，已取得规划条件或已取得总平面方案或修建性详细规划批复，且仍然有效并仍具备实施条件的存量工业用地，详细规划将其调整为其他用地性质但近中期暂不组织实施的，如建设项目规划指标未有突破，由区行政审批部门征得产业、规划部门同意意见后，根据有效的批复文件直接受理后续报建手续，无需办理国土空间详细规划修正手续。 </w:t>
      </w:r>
    </w:p>
    <w:p w14:paraId="6D6014F8">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 优化程序推动解决存量工业用地规划历史问题。</w:t>
      </w:r>
      <w:r>
        <w:rPr>
          <w:rFonts w:hint="eastAsia" w:ascii="Times New Roman" w:hAnsi="Times New Roman" w:eastAsia="方正仿宋简体" w:cs="Times New Roman"/>
          <w:color w:val="000000"/>
          <w:kern w:val="0"/>
          <w:sz w:val="32"/>
          <w:szCs w:val="32"/>
        </w:rPr>
        <w:t>对于已取得合法用地手续，详细规划已调整但近中期暂不组织实施的存量工业用地，用地单位申请仍按工业用地建设的，按以下方式处理： </w:t>
      </w:r>
    </w:p>
    <w:p w14:paraId="7FEEA96F">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（一）地块可纳入在编控规的，在编控规方案通过专家评审后，由区规划和自然资源部门出具规划要求，企业免于提交提容论证材料，区行政审批部门根据规划要求直接核发批复。</w:t>
      </w:r>
    </w:p>
    <w:p w14:paraId="4F15F736">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地块已取得规划条件或已取得总平面方案或修建性详细规划批复且仍然有效的，如工业项目容积率等规划指标需突破前述历史批复文件，由产业部门函告区行政审批部门，区行政审批部门牵头征求区生态环境、规划和自然资源、住房和城乡建设、水务、应急管理以及街镇园区等相关部门意见后，分类办理：</w:t>
      </w:r>
    </w:p>
    <w:p w14:paraId="632C4716">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1.各部门无实质性反对意见的，由区行政审批部门按权属用地性质直接开展提容审批； </w:t>
      </w:r>
    </w:p>
    <w:p w14:paraId="6CF6BBE2">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2.相关部门提出实质性反对意见的，由区行政审批部门提交区层面会议审议。审议通过后，由区行政审批部门按权属用地性质直接开展提容审批，由区规划和自然资源部门后续结合详细规划优化进行落实。 </w:t>
      </w:r>
    </w:p>
    <w:p w14:paraId="07928FF2">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 连片提高工业用地规划指标。</w:t>
      </w:r>
      <w:r>
        <w:rPr>
          <w:rFonts w:hint="eastAsia" w:ascii="Times New Roman" w:hAnsi="Times New Roman" w:eastAsia="方正仿宋简体" w:cs="Times New Roman"/>
          <w:color w:val="000000"/>
          <w:kern w:val="0"/>
          <w:sz w:val="32"/>
          <w:szCs w:val="32"/>
        </w:rPr>
        <w:t>区规划和自然资源部门集中连片调整全区工业产业区以及村镇工业集聚区块规划容积率、建筑密度、绿地率、建筑高度（不超过100米）等指标。 申请提高工业用地利用效率的项目，其容积率符合调整后片区指标的，无需企业单独委托技术单位编制控规修正方案论证，由区行政审批部门直接办理规划报批。</w:t>
      </w:r>
    </w:p>
    <w:p w14:paraId="651CD9CD">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 优化补签土地使用权出让合同补充合同程序。</w:t>
      </w:r>
      <w:r>
        <w:rPr>
          <w:rFonts w:hint="eastAsia" w:ascii="Times New Roman" w:hAnsi="Times New Roman" w:eastAsia="方正仿宋简体" w:cs="Times New Roman"/>
          <w:color w:val="000000"/>
          <w:kern w:val="0"/>
          <w:sz w:val="32"/>
          <w:szCs w:val="32"/>
        </w:rPr>
        <w:t>经审批同意提高工业用地利用效率的项目，土地使用权人凭规划设计方案批准文件，与区规划和自然资源部门签订土地使用权出让合同补充合同，将明确动竣工时限、租金优惠等内容的投资协议作为补充合同附件。土地使用权人向区规划和自然资源部门递交签订土地使用权出让合同补充合同需要的相关材料后，同步向区行政审批部门申请核发建设工程规划许可证。 </w:t>
      </w:r>
    </w:p>
    <w:p w14:paraId="0A8E0151">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w:t>
      </w:r>
      <w:r>
        <w:rPr>
          <w:rFonts w:hint="eastAsia" w:ascii="Times New Roman" w:hAnsi="Times New Roman" w:eastAsia="方正仿宋简体" w:cs="Times New Roman"/>
          <w:color w:val="000000"/>
          <w:kern w:val="0"/>
          <w:sz w:val="32"/>
          <w:szCs w:val="32"/>
        </w:rPr>
        <w:t> 本措施自印发之日起实施，有效期5年。本措施规定与《广州市黄埔区 广州开发区提高工业用地利用效率实施办法》（穗开规划资源规字〔2022〕4号）不一致的，以本措施规定为准。本措施有效期内如遇法律、法规、规章或国家、省市有关政策文件调整变化的，从其规定。</w:t>
      </w:r>
    </w:p>
    <w:p w14:paraId="4C7201F3">
      <w:pPr>
        <w:shd w:val="clear" w:color="auto" w:fill="FFFFFF"/>
        <w:spacing w:line="420" w:lineRule="atLeas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4519291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"https://www.gz.gov.cn/attachment/7/7662/7662470/9863591.doc"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附表：高标准厂房建设基本要求.doc</w:t>
      </w:r>
      <w:r>
        <w:rPr>
          <w:rFonts w:hint="eastAsia" w:ascii="Times New Roman" w:hAnsi="Times New Roman" w:eastAsia="方正仿宋简体" w:cs="Times New Roman"/>
          <w:color w:val="000000"/>
          <w:kern w:val="0"/>
          <w:sz w:val="32"/>
          <w:szCs w:val="32"/>
          <w:u w:val="single"/>
        </w:rPr>
        <w:fldChar w:fldCharType="end"/>
      </w:r>
    </w:p>
    <w:p w14:paraId="3D51B615">
      <w:pPr>
        <w:shd w:val="clear" w:color="auto" w:fill="FFFFFF"/>
        <w:jc w:val="left"/>
        <w:textAlignment w:val="baseline"/>
        <w:rPr>
          <w:rFonts w:ascii="Times New Roman" w:hAnsi="Times New Roman" w:eastAsia="方正仿宋简体" w:cs="Times New Roman"/>
          <w:color w:val="000000"/>
          <w:kern w:val="0"/>
          <w:sz w:val="32"/>
          <w:szCs w:val="32"/>
        </w:rPr>
      </w:pPr>
    </w:p>
    <w:p w14:paraId="56ABAFF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449EE561">
      <w:pPr>
        <w:rPr>
          <w:rFonts w:ascii="Times New Roman" w:hAnsi="Times New Roman" w:eastAsia="方正仿宋简体" w:cs="Times New Roman"/>
          <w:color w:val="000000"/>
          <w:sz w:val="32"/>
          <w:szCs w:val="32"/>
        </w:rPr>
      </w:pPr>
    </w:p>
    <w:p w14:paraId="625EB5BB">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9.6广州市发展和改革委员会关于延长广州市新兴产业发展引导基金管理暂行办法有效期的通知</w:t>
      </w:r>
    </w:p>
    <w:p w14:paraId="1205C2A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0D9A3E88">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市委金融办，市工业和信息化局、市科技局、市财政局、市国资委，广州产业投资基金管理有限公司、广州市新兴产业发展基金管理有限公司：</w:t>
      </w:r>
    </w:p>
    <w:p w14:paraId="5B4579B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仿宋简体" w:cs="宋体"/>
          <w:color w:val="000000"/>
          <w:kern w:val="0"/>
          <w:sz w:val="32"/>
          <w:szCs w:val="32"/>
        </w:rPr>
        <w:t>根据《广东省行政规范性文件管理规定》，现将《广州市发展和改革委员会关于印发广州市新兴产业发展引导基金管理暂行办法的通知》（穗发改规字〔2023〕7号）有效期延长两年。执行中如遇问题，请径向市发展改革委反映。</w:t>
      </w:r>
    </w:p>
    <w:p w14:paraId="50F3637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0C3E012F">
      <w:pPr>
        <w:widowControl/>
        <w:spacing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广州市发展和改革委员会</w:t>
      </w:r>
    </w:p>
    <w:p w14:paraId="74D3BB54">
      <w:pPr>
        <w:widowControl/>
        <w:spacing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2024年9月6日</w:t>
      </w:r>
    </w:p>
    <w:p w14:paraId="41637EE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5F1AE5FC">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广州市新兴产业发展引导基金管理暂行办法</w:t>
      </w:r>
    </w:p>
    <w:p w14:paraId="30CB4CC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3D0B51F3">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总则</w:t>
      </w:r>
    </w:p>
    <w:p w14:paraId="42C272B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第一条    </w:t>
      </w:r>
      <w:r>
        <w:rPr>
          <w:rFonts w:hint="eastAsia" w:ascii="Times New Roman" w:hAnsi="Times New Roman" w:eastAsia="方正仿宋简体" w:cs="宋体"/>
          <w:color w:val="000000"/>
          <w:kern w:val="0"/>
          <w:sz w:val="32"/>
          <w:szCs w:val="32"/>
        </w:rPr>
        <w:t>为充分发挥财政资金对广州市新兴产业发展的引导带动作用，规范广州市新兴产业发展引导基金（以下简称引导基金）的运行管理，依据《政府投资基金暂行管理办法》（财预〔2015〕210号）、《政府出资产业投资基金管理暂行办法》（发改财金规〔2016〕2800号）、《广东省政府投资基金管理实施办法（试行）》（粤财预〔2016〕178号）等规定，结合广州市实际，制定本办法。</w:t>
      </w:r>
    </w:p>
    <w:p w14:paraId="6453A94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第二条  </w:t>
      </w:r>
      <w:r>
        <w:rPr>
          <w:rFonts w:hint="eastAsia" w:ascii="Times New Roman" w:hAnsi="Times New Roman" w:eastAsia="方正仿宋简体" w:cs="宋体"/>
          <w:color w:val="000000"/>
          <w:kern w:val="0"/>
          <w:sz w:val="32"/>
          <w:szCs w:val="32"/>
        </w:rPr>
        <w:t>引导基金的设立、投资、运作、退出、监督检查等管理工作适用本办法。</w:t>
      </w:r>
    </w:p>
    <w:p w14:paraId="183BCA9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第三条</w:t>
      </w:r>
      <w:r>
        <w:rPr>
          <w:rFonts w:hint="eastAsia" w:ascii="Times New Roman" w:hAnsi="Times New Roman" w:eastAsia="方正仿宋简体" w:cs="宋体"/>
          <w:color w:val="000000"/>
          <w:kern w:val="0"/>
          <w:sz w:val="32"/>
          <w:szCs w:val="32"/>
        </w:rPr>
        <w:t>  引导基金按照“政府引导、市场运作、科学决策、防范风险”原则，通过母基金的投资方式，选择股权投资类企业等合作发起设立子基金，引导社会资本投向新兴产业领域。本办法所称子基金，是指在广州行政区域内的子基金。</w:t>
      </w:r>
    </w:p>
    <w:p w14:paraId="79C91B0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第四条  </w:t>
      </w:r>
      <w:r>
        <w:rPr>
          <w:rFonts w:hint="eastAsia" w:ascii="Times New Roman" w:hAnsi="Times New Roman" w:eastAsia="方正仿宋简体" w:cs="宋体"/>
          <w:color w:val="000000"/>
          <w:kern w:val="0"/>
          <w:sz w:val="32"/>
          <w:szCs w:val="32"/>
        </w:rPr>
        <w:t>引导基金于2017年设立，由市财政全额出资，存续期10年。引导基金基础规模为18.03亿元人民币，总规模根据市政府决策及财政预算安排情况进行动态调整。引导基金投资退出后回收的本金及产生的投资收益，以及引导基金账户孳息，除市发展改革委、财政局与引导基金受托管理机构签订的委托管理协议明确约定用于滚动使用外，应按照财政国库管理制度有关规定及时足额上缴国库。</w:t>
      </w:r>
    </w:p>
    <w:p w14:paraId="45916EE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第五条  </w:t>
      </w:r>
      <w:r>
        <w:rPr>
          <w:rFonts w:hint="eastAsia" w:ascii="Times New Roman" w:hAnsi="Times New Roman" w:eastAsia="方正仿宋简体" w:cs="宋体"/>
          <w:color w:val="000000"/>
          <w:kern w:val="0"/>
          <w:sz w:val="32"/>
          <w:szCs w:val="32"/>
        </w:rPr>
        <w:t>子基金的组织形式根据实际情况，可采用有限合伙制或公司制的形式。在采用有限合伙制形式下，引导基金以有限合伙人（LP）身份出资参与子基金；在采用公司制形式下，引导基金以股东身份参与子基金。</w:t>
      </w:r>
    </w:p>
    <w:p w14:paraId="35EDF03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第六条  </w:t>
      </w:r>
      <w:r>
        <w:rPr>
          <w:rFonts w:hint="eastAsia" w:ascii="Times New Roman" w:hAnsi="Times New Roman" w:eastAsia="方正仿宋简体" w:cs="宋体"/>
          <w:color w:val="000000"/>
          <w:kern w:val="0"/>
          <w:sz w:val="32"/>
          <w:szCs w:val="32"/>
        </w:rPr>
        <w:t>子基金的发起设立、投资管理、业绩奖励等按照市场化方式独立运作，自主经营，自负盈亏。</w:t>
      </w:r>
    </w:p>
    <w:p w14:paraId="53F1B59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第七条</w:t>
      </w:r>
      <w:r>
        <w:rPr>
          <w:rFonts w:hint="eastAsia" w:ascii="Times New Roman" w:hAnsi="Times New Roman" w:eastAsia="方正仿宋简体" w:cs="宋体"/>
          <w:color w:val="000000"/>
          <w:kern w:val="0"/>
          <w:sz w:val="32"/>
          <w:szCs w:val="32"/>
        </w:rPr>
        <w:t>  市发展改革委指导引导基金受托管理机构组织开展储备合作机构（含子基金管理人）申报审查、专家评审、尽职调查等工作；基于受托管理机构前述遴选结果，研究确定储备合作机构（含子基金管理人）名单，并对引导基金运行情况进行监督，推进相关政策目标落实；组织受托管理机构按规定对引导基金组建情况、政策目标实现程度、投资运营情况等开展绩效自评。</w:t>
      </w:r>
    </w:p>
    <w:p w14:paraId="144B1F7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市财政局会同市发展改革委联合下达新增财政预算安排的资金计划，并按规定拨付财政资金；配合市发展改革委对引导基金运作及其资金的使用情况进行监督检查；根据实际情况开展引导基金绩效自评复核、组织重点评价或委托第三方实施绩效评价。</w:t>
      </w:r>
    </w:p>
    <w:p w14:paraId="105B256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4B5621F9">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受托管理机构</w:t>
      </w:r>
    </w:p>
    <w:p w14:paraId="2EB5563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第八条</w:t>
      </w:r>
      <w:r>
        <w:rPr>
          <w:rFonts w:hint="eastAsia" w:ascii="Times New Roman" w:hAnsi="Times New Roman" w:eastAsia="方正仿宋简体" w:cs="宋体"/>
          <w:color w:val="000000"/>
          <w:kern w:val="0"/>
          <w:sz w:val="32"/>
          <w:szCs w:val="32"/>
        </w:rPr>
        <w:t>  市发展改革委会同市财政局按规定遴选确定引导基金受托管理机构，三方签订委托管理协议。引导基金受托管理机构按照相关法律法规、市政府有关要求及委托管理协议约定，对引导基金进行管理。</w:t>
      </w:r>
    </w:p>
    <w:p w14:paraId="33C29D3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第九条  </w:t>
      </w:r>
      <w:r>
        <w:rPr>
          <w:rFonts w:hint="eastAsia" w:ascii="Times New Roman" w:hAnsi="Times New Roman" w:eastAsia="方正仿宋简体" w:cs="宋体"/>
          <w:color w:val="000000"/>
          <w:kern w:val="0"/>
          <w:sz w:val="32"/>
          <w:szCs w:val="32"/>
        </w:rPr>
        <w:t>引导基金受托管理机构原则上为股权投资机构，须符合以下条件：</w:t>
      </w:r>
    </w:p>
    <w:p w14:paraId="1EAF726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（一）具有独立法人资格的公司，并已在中国证券投资基金业协会取得私募基金管理人资格；</w:t>
      </w:r>
    </w:p>
    <w:p w14:paraId="7D55950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（二）实缴注册资本不低于1亿元人民币；</w:t>
      </w:r>
    </w:p>
    <w:p w14:paraId="5C3F7D5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（三）至少5名从事3年以上投资基金相关经历并具备基金从业资格的从业人员；</w:t>
      </w:r>
    </w:p>
    <w:p w14:paraId="441D9DC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（四）有完善的投资基金管理制度和风险管控机制；</w:t>
      </w:r>
    </w:p>
    <w:p w14:paraId="5A30C34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（五）有作为出资人参与设立并管理投资基金、且有管理政府引导基金的成功经验；</w:t>
      </w:r>
    </w:p>
    <w:p w14:paraId="581D422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（六）最近三年以上保持良好的财务状况，没有受过行政主管机关或司法机关重大处罚的不良记录，严格按照委托管理协议管理政府出资资金；</w:t>
      </w:r>
    </w:p>
    <w:p w14:paraId="364D2B6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（七）其他国家省市法律法规的规定。</w:t>
      </w:r>
    </w:p>
    <w:p w14:paraId="3F92786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第十条  </w:t>
      </w:r>
      <w:r>
        <w:rPr>
          <w:rFonts w:hint="eastAsia" w:ascii="Times New Roman" w:hAnsi="Times New Roman" w:eastAsia="方正仿宋简体" w:cs="宋体"/>
          <w:color w:val="000000"/>
          <w:kern w:val="0"/>
          <w:sz w:val="32"/>
          <w:szCs w:val="32"/>
        </w:rPr>
        <w:t>引导基金受托管理机构根据授权，在受托权限内履行以下职责：</w:t>
      </w:r>
    </w:p>
    <w:p w14:paraId="178B3B6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（一）对引导基金申报机构开展符合性审查、专家评审、尽职调查、入股谈判，签订《合伙协议》或《公司章程》等相关法律文件；</w:t>
      </w:r>
    </w:p>
    <w:p w14:paraId="5940B7C6">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代表引导基金以出资额为限对子基金行使出资人权利并承担相应义务，并严格按照《中华人民共和国合伙企业法》或《中华人民共和国公司法》等相关法律法规，有效履行引导基金投后管理，监督子基金投向；</w:t>
      </w:r>
    </w:p>
    <w:p w14:paraId="57E3141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（三）建立完善内部决策和风险管控机制，负责财政资金安全高效运作；</w:t>
      </w:r>
    </w:p>
    <w:p w14:paraId="1930479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（四）按季度向市发展改革委、市财政局书面报告基金运作、资金管理和项目投资等情况；及时发现、报告并解决可能对财政资金安全、政府公信力等产生不利影响的重大问题；</w:t>
      </w:r>
    </w:p>
    <w:p w14:paraId="3DDBAD0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（五）每年度4月30日前，对上一年度基金管理情况作出自评报告，向市发展改革委、市财政局书面报告；</w:t>
      </w:r>
    </w:p>
    <w:p w14:paraId="7269053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（六）根据本办法及委托管理协议规定，负责引导基金的依法退出，保障财政资金安全回收；</w:t>
      </w:r>
    </w:p>
    <w:p w14:paraId="7165BA1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（七）法律法规规章及其他规范性文件规定的其他职责。</w:t>
      </w:r>
    </w:p>
    <w:p w14:paraId="0C2FEC6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第十一条</w:t>
      </w:r>
      <w:r>
        <w:rPr>
          <w:rFonts w:hint="eastAsia" w:ascii="Times New Roman" w:hAnsi="Times New Roman" w:eastAsia="方正仿宋简体" w:cs="宋体"/>
          <w:color w:val="000000"/>
          <w:kern w:val="0"/>
          <w:sz w:val="32"/>
          <w:szCs w:val="32"/>
        </w:rPr>
        <w:t>  引导基金受托管理机构按照国家、省、市有关规定开设引导基金账户，对受托管理的引导基金实行专户管理。托管银行依据托管协议负责账户管理、资金清算、资产保管等事务，对投资活动实施动态监管，应符合以下条件：</w:t>
      </w:r>
    </w:p>
    <w:p w14:paraId="22EE39C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（一）经国家有关部门核准认定具有基金托管资格的；</w:t>
      </w:r>
    </w:p>
    <w:p w14:paraId="39EF1EA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（二）最近三年以上保持良好的财务状况，没有受过行政主管机关或司法机关重大处罚的不良记录。</w:t>
      </w:r>
    </w:p>
    <w:p w14:paraId="48B09C6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69654A18">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 投资领域</w:t>
      </w:r>
    </w:p>
    <w:p w14:paraId="01BF480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第十二条</w:t>
      </w:r>
      <w:r>
        <w:rPr>
          <w:rFonts w:hint="eastAsia" w:ascii="Times New Roman" w:hAnsi="Times New Roman" w:eastAsia="方正仿宋简体" w:cs="宋体"/>
          <w:color w:val="000000"/>
          <w:kern w:val="0"/>
          <w:sz w:val="32"/>
          <w:szCs w:val="32"/>
        </w:rPr>
        <w:t>  引导基金发起设立的子基金主要投资领域须为新一代信息技术、智能与新能源汽车、生物医药与健康、智能装备与机器人、轨道交通、新能源与节能环保、新材料与精细化工、数字创意、量子科技、区块链、太赫兹、天然气水合物、纳米科技等领域，以及国家、省明确的战略性新兴产业领域，处于种子期、起步期、成长期、扩张期和成熟期等各发展阶段的企业。</w:t>
      </w:r>
    </w:p>
    <w:p w14:paraId="766BBF4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第十三条</w:t>
      </w:r>
      <w:r>
        <w:rPr>
          <w:rFonts w:hint="eastAsia" w:ascii="Times New Roman" w:hAnsi="Times New Roman" w:eastAsia="方正仿宋简体" w:cs="宋体"/>
          <w:color w:val="000000"/>
          <w:kern w:val="0"/>
          <w:sz w:val="32"/>
          <w:szCs w:val="32"/>
        </w:rPr>
        <w:t>  引导基金按产业领域分类与社会资本合作发起设立子基金。</w:t>
      </w:r>
    </w:p>
    <w:p w14:paraId="1C29281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第十四条</w:t>
      </w:r>
      <w:r>
        <w:rPr>
          <w:rFonts w:hint="eastAsia" w:ascii="Times New Roman" w:hAnsi="Times New Roman" w:eastAsia="方正仿宋简体" w:cs="宋体"/>
          <w:color w:val="000000"/>
          <w:kern w:val="0"/>
          <w:sz w:val="32"/>
          <w:szCs w:val="32"/>
        </w:rPr>
        <w:t>  子基金投资项目须聚焦子基金申报的产业领域，在该领域投资金额原则上不低于子基金总规模的60%。</w:t>
      </w:r>
    </w:p>
    <w:p w14:paraId="448D59B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第十五条</w:t>
      </w:r>
      <w:r>
        <w:rPr>
          <w:rFonts w:hint="eastAsia" w:ascii="Times New Roman" w:hAnsi="Times New Roman" w:eastAsia="方正仿宋简体" w:cs="宋体"/>
          <w:color w:val="000000"/>
          <w:kern w:val="0"/>
          <w:sz w:val="32"/>
          <w:szCs w:val="32"/>
        </w:rPr>
        <w:t>  投资期内子基金的返投金额原则上不低于引导基金实缴出资额的2.5倍。</w:t>
      </w:r>
    </w:p>
    <w:p w14:paraId="38AEC25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第十六条</w:t>
      </w:r>
      <w:r>
        <w:rPr>
          <w:rFonts w:hint="eastAsia" w:ascii="Times New Roman" w:hAnsi="Times New Roman" w:eastAsia="方正仿宋简体" w:cs="宋体"/>
          <w:color w:val="000000"/>
          <w:kern w:val="0"/>
          <w:sz w:val="32"/>
          <w:szCs w:val="32"/>
        </w:rPr>
        <w:t>  子基金不得从事以下业务：</w:t>
      </w:r>
    </w:p>
    <w:p w14:paraId="2D1C46C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 从事融资担保以外的担保、抵押、委托贷款等业务；</w:t>
      </w:r>
    </w:p>
    <w:p w14:paraId="10062DC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 投资二级市场股票、期货、房地产、证券投资基金、评级 AAA 以下的企业债、信托产品、非保本型理财产品、保险计划及其他金融衍生品；</w:t>
      </w:r>
    </w:p>
    <w:p w14:paraId="2561856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 向任何第三方提供赞助、捐赠（经批准的公益性捐赠除外）；</w:t>
      </w:r>
    </w:p>
    <w:p w14:paraId="4F987A6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 吸收或变相吸收存款，或向第三方提供贷款和资金拆借；</w:t>
      </w:r>
    </w:p>
    <w:p w14:paraId="6C94282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 进行承担无限连带责任的对外投资；</w:t>
      </w:r>
    </w:p>
    <w:p w14:paraId="6CFDB57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 发行信托或集合理财产品募集资金；</w:t>
      </w:r>
    </w:p>
    <w:p w14:paraId="7917823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 其他法律法规禁止从事的业务。</w:t>
      </w:r>
    </w:p>
    <w:p w14:paraId="20A300F3">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2245C08C">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申报机构</w:t>
      </w:r>
    </w:p>
    <w:p w14:paraId="63E8E60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第十七条</w:t>
      </w:r>
      <w:r>
        <w:rPr>
          <w:rFonts w:hint="eastAsia" w:ascii="Times New Roman" w:hAnsi="Times New Roman" w:eastAsia="方正仿宋简体" w:cs="宋体"/>
          <w:color w:val="000000"/>
          <w:kern w:val="0"/>
          <w:sz w:val="32"/>
          <w:szCs w:val="32"/>
        </w:rPr>
        <w:t>  引导基金申报机构原则上为股权投资类企业（含创业投资企业），由其依法依规负责募集社会资本。引导基金与社会资本按1:4以上的比例设立子基金，引导基金对子基金的出资比例不超过子基金规模的20%，且不作为第一大出资人或股东。</w:t>
      </w:r>
    </w:p>
    <w:p w14:paraId="6BE0886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第十八条</w:t>
      </w:r>
      <w:r>
        <w:rPr>
          <w:rFonts w:hint="eastAsia" w:ascii="Times New Roman" w:hAnsi="Times New Roman" w:eastAsia="方正仿宋简体" w:cs="宋体"/>
          <w:color w:val="000000"/>
          <w:kern w:val="0"/>
          <w:sz w:val="32"/>
          <w:szCs w:val="32"/>
        </w:rPr>
        <w:t>  申报机构除满足相关法律要求外，还须符合以下条件：</w:t>
      </w:r>
    </w:p>
    <w:p w14:paraId="1DE7491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（一）申报机构须已依法完成工商登记手续，最近三年不存在重大违法违规行为；</w:t>
      </w:r>
    </w:p>
    <w:p w14:paraId="65886D2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（二）原则上，申报机构成立时间满1年，已在中国证券投资基金业协会取得私募基金管理人资格或在各级创投备案管理部门完成备案手续；</w:t>
      </w:r>
    </w:p>
    <w:p w14:paraId="6170746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（三）注册资本在3000万元人民币以上，或其基金管理规模在10亿元人民币以上，且以货币形式实缴出资；</w:t>
      </w:r>
    </w:p>
    <w:p w14:paraId="3B88A25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（四）有完善的投资基金管理制度；</w:t>
      </w:r>
    </w:p>
    <w:p w14:paraId="7932970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（五）最近三年以上保持良好的财务状况，没有受过行政主管机关或司法机关重大处罚的不良记录；</w:t>
      </w:r>
    </w:p>
    <w:p w14:paraId="668A2B9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申报机构或其主要股东（公司制）、普通合伙人（有限合伙制）或管理团队主要成员具备5年及以上投资经验，有至少3个退出的投资案例（含至少2个完全退出案例，其余为部分退出案例），已退出部分的平均收益率不低于20%。</w:t>
      </w:r>
    </w:p>
    <w:p w14:paraId="4B81FA8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（七）申报机构已储备至少5个符合申报领域的广州项目。</w:t>
      </w:r>
    </w:p>
    <w:p w14:paraId="530E5E1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第十九条</w:t>
      </w:r>
      <w:r>
        <w:rPr>
          <w:rFonts w:hint="eastAsia" w:ascii="Times New Roman" w:hAnsi="Times New Roman" w:eastAsia="方正仿宋简体" w:cs="宋体"/>
          <w:color w:val="000000"/>
          <w:kern w:val="0"/>
          <w:sz w:val="32"/>
          <w:szCs w:val="32"/>
        </w:rPr>
        <w:t>  为鼓励孵化器及创新创业企业发展，广州市经认定的专业孵化器也可作为申报机构，申请与引导基金合作发起设立子基金，引导基金与社会资本出资比例放宽至1:1.5，子基金须投资于专业孵化器内企业的资金比例不低于子基金实缴规模的80%。其中，专业孵化器在申报时已经完成工商注册并运作3个月以上，面积应不小于3000平方米，或在孵企业不少于20家。</w:t>
      </w:r>
    </w:p>
    <w:p w14:paraId="63258DC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第二十条</w:t>
      </w:r>
      <w:r>
        <w:rPr>
          <w:rFonts w:hint="eastAsia" w:ascii="Times New Roman" w:hAnsi="Times New Roman" w:eastAsia="方正仿宋简体" w:cs="宋体"/>
          <w:color w:val="000000"/>
          <w:kern w:val="0"/>
          <w:sz w:val="32"/>
          <w:szCs w:val="32"/>
        </w:rPr>
        <w:t>  申报机构可直接作为子基金的基金管理人，也可指定或新设关联企业作为子基金的基金管理人。在采用有限合伙制形式下，基金管理人为子基金的普通合伙人（GP）；在采用公司制形式下，基金管理人为有限责任公司承担管理职责的股东。</w:t>
      </w:r>
    </w:p>
    <w:p w14:paraId="3730D4F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子基金的基金管理人须符合以下条件：</w:t>
      </w:r>
    </w:p>
    <w:p w14:paraId="26A6D9E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（一）企业须已依法完成工商登记手续，注册资本或认缴出资额不低于1000万元人民币，且均以货币形式实缴出资；</w:t>
      </w:r>
    </w:p>
    <w:p w14:paraId="0FBF4BC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（二）企业及其董事、监事、高级管理人员及其他从业人员在最近三年无重大违法行为；</w:t>
      </w:r>
    </w:p>
    <w:p w14:paraId="60249C1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（三）有完善的投资基金管理制度，包括内部控制和治理制度、风险约束和控制制度、投资决策和外部监管制度；</w:t>
      </w:r>
    </w:p>
    <w:p w14:paraId="13BE9E5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（四）主要负责人具备丰富基金管理运作经验，并已取得良好的管理业绩，且至少有4名具备5年以上股权投资或相关业务经验的专职高级管理人员；</w:t>
      </w:r>
    </w:p>
    <w:p w14:paraId="7B6981A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管理和运作规范，具有严格合理的投资决策程序和风险控制机制；按照国家企业财务、会计制度规定，有健全的内部财务管理制度和会计核算办法；最近三年以上保持良好的财务状况，没有受过行政主管机关或司法机关重大处罚的不良记录；</w:t>
      </w:r>
    </w:p>
    <w:p w14:paraId="085440F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（六）出资不低于子基金规模的5%。</w:t>
      </w:r>
    </w:p>
    <w:p w14:paraId="65CC464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0A1D99A1">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审批程序</w:t>
      </w:r>
    </w:p>
    <w:p w14:paraId="3E395BD8">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第二十一条</w:t>
      </w:r>
      <w:r>
        <w:rPr>
          <w:rFonts w:hint="eastAsia" w:ascii="Times New Roman" w:hAnsi="Times New Roman" w:eastAsia="方正仿宋简体" w:cs="宋体"/>
          <w:color w:val="000000"/>
          <w:kern w:val="0"/>
          <w:sz w:val="32"/>
          <w:szCs w:val="32"/>
        </w:rPr>
        <w:t>  引导基金视投资运作实际，按照以下程序从申报机构中遴选符合条件的储备合作机构（含子基金管理人），按规定合作组建子基金：</w:t>
      </w:r>
    </w:p>
    <w:p w14:paraId="5CF65CD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（一）发布指南。市发展改革委会同引导基金受托管理机构根据市政府的总体工作部署及产业发展实际需要，研究制定并发布申报指南。</w:t>
      </w:r>
    </w:p>
    <w:p w14:paraId="3B2DA04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（二）材料申报。申报机构根据申报指南及本办法的规定和要求编制申报材料，报送至引导基金受托管理机构。</w:t>
      </w:r>
    </w:p>
    <w:p w14:paraId="7CAD59D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组织审查。引导基金受托管理机构根据本办法要求，组织开展符合性审查、专家评审、尽职调查、拟定储备合作机构（含子基金管理人）名单及引导基金出资方案，报市发展改革委。上一环节审查通过后，方能进入下一审查环节。符合性审查环节对是否符合各项申报条件的审查时点为申报截止日。</w:t>
      </w:r>
    </w:p>
    <w:p w14:paraId="2D79D7A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（四）社会公示。市发展改革委经研究复核，将拟定的储备合作机构（含子基金管理人）名单征求市财政局意见后，向社会公示10个工作日，并对公示中发现的问题进行核查并提出意见。</w:t>
      </w:r>
    </w:p>
    <w:p w14:paraId="1FF88D0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（五）批复确定。公示无异议或异议经核实不成立后，市发展改革委经集体决策后，按程序批复引导基金储备合作机构（含子基金管理人）名单。</w:t>
      </w:r>
    </w:p>
    <w:p w14:paraId="171ECEE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签署协议。根据批复的引导基金储备合作机构（含子基金管理人）名单及经符合性审查、专家评审、尽职调查等环节提出的出资方案，引导基金受托管理机构按程序与子基金管理人进行谈判，并按规程草拟和签订《合伙协议》或《公司章程》等相关法律文件。</w:t>
      </w:r>
    </w:p>
    <w:p w14:paraId="28AD987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资金拨付。新增财政预算增资引导基金的，由市发展改革委、市财政局与引导基金受托管理机构签订委托管理协议并下达资金计划，由市财政局将新增财政出资拨付至引导基金受托管理机构；由引导基金受托管理机构按规定出资设立子基金，督促子基金在规定的时间内完成募资和设立，按有关规定履行引导基金出资手续。</w:t>
      </w:r>
    </w:p>
    <w:p w14:paraId="3A40CB6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（八）投后管理。引导基金受托管理机构须按照相关法律法规以及本办法有关要求制定引导基金投后管理细则，确保子基金重点投资于本办法第十二条规定的领域，保障财政资金安全运作。</w:t>
      </w:r>
    </w:p>
    <w:p w14:paraId="4BB33F8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九）退出回收。退出时，引导基金受托管理机构按照本办法及委托管理协议约定，完成财政资金回收并及时办理工商变更等手续；回收的本金及投资收益及时拨入引导基金账户，用于引导基金出资设立子基金或支付引导基金受托管理机构年度管理费。</w:t>
      </w:r>
    </w:p>
    <w:p w14:paraId="630F411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涉及重大事项的，由市发展改革委上报市政府审批，或联合市财政局上报市政府审批。</w:t>
      </w:r>
    </w:p>
    <w:p w14:paraId="24882AC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0C0C5E9D">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投资管理</w:t>
      </w:r>
    </w:p>
    <w:p w14:paraId="0998AF7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第二十二条</w:t>
      </w:r>
      <w:r>
        <w:rPr>
          <w:rFonts w:hint="eastAsia" w:ascii="Times New Roman" w:hAnsi="Times New Roman" w:eastAsia="方正仿宋简体" w:cs="宋体"/>
          <w:color w:val="000000"/>
          <w:kern w:val="0"/>
          <w:sz w:val="32"/>
          <w:szCs w:val="32"/>
        </w:rPr>
        <w:t>  每支子基金募集资金总额不低于5000万元人民币，引导基金出资额不高于2亿元人民币；子基金中广州市、区两级财政出资总额占子基金总规模的比例不超过50%。</w:t>
      </w:r>
    </w:p>
    <w:p w14:paraId="0703A60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第二十三条</w:t>
      </w:r>
      <w:r>
        <w:rPr>
          <w:rFonts w:hint="eastAsia" w:ascii="Times New Roman" w:hAnsi="Times New Roman" w:eastAsia="方正仿宋简体" w:cs="宋体"/>
          <w:color w:val="000000"/>
          <w:kern w:val="0"/>
          <w:sz w:val="32"/>
          <w:szCs w:val="32"/>
        </w:rPr>
        <w:t>  所有出资人均以货币形式出资。子基金完成注册手续后，引导基金在《合伙协议》或《公司章程》等法律文件签署后的两年内进行实缴出资。引导基金出资可分期缴付，每期均采取末位出资方式缴付资金。两年出资期满后，引导基金不再予以出资，累计出资额核定为实缴出资。</w:t>
      </w:r>
    </w:p>
    <w:p w14:paraId="5123CE5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第二十四条</w:t>
      </w:r>
      <w:r>
        <w:rPr>
          <w:rFonts w:hint="eastAsia" w:ascii="Times New Roman" w:hAnsi="Times New Roman" w:eastAsia="方正仿宋简体" w:cs="宋体"/>
          <w:color w:val="000000"/>
          <w:kern w:val="0"/>
          <w:sz w:val="32"/>
          <w:szCs w:val="32"/>
        </w:rPr>
        <w:t>  子基金对单个企业的累计投资额不得超过子基金实缴规模的20%。</w:t>
      </w:r>
    </w:p>
    <w:p w14:paraId="4D93459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第二十五条</w:t>
      </w:r>
      <w:r>
        <w:rPr>
          <w:rFonts w:hint="eastAsia" w:ascii="Times New Roman" w:hAnsi="Times New Roman" w:eastAsia="方正仿宋简体" w:cs="宋体"/>
          <w:color w:val="000000"/>
          <w:kern w:val="0"/>
          <w:sz w:val="32"/>
          <w:szCs w:val="32"/>
        </w:rPr>
        <w:t>  子基金管理机构按市场规律提取一定比例的管理费用。管理费用由引导基金受托管理机构和其他出资人共同按子基金《合伙协议》或《公司章程》等法律文件约定向子基金管理机构支付，引导基金受托管理机构支付部分从引导基金已出资额中列支。年度管理费一般不超过子基金实缴规模或实缴注册资本的2.5%，具体标准在《合伙协议》或《公司章程》等法律文件中明确。</w:t>
      </w:r>
    </w:p>
    <w:p w14:paraId="1B2989D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第二十六条</w:t>
      </w:r>
      <w:r>
        <w:rPr>
          <w:rFonts w:hint="eastAsia" w:ascii="Times New Roman" w:hAnsi="Times New Roman" w:eastAsia="方正仿宋简体" w:cs="宋体"/>
          <w:color w:val="000000"/>
          <w:kern w:val="0"/>
          <w:sz w:val="32"/>
          <w:szCs w:val="32"/>
        </w:rPr>
        <w:t>  托管银行接受子基金管理人委托并签订资金托管协议，按照协议约定对子基金托管账户进行管理。托管银行以引导基金受托管理机构出具的合规性审查报告为依据，划拨投资款项。</w:t>
      </w:r>
    </w:p>
    <w:p w14:paraId="229C3AF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160B3BC2">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第七章  退出机制</w:t>
      </w:r>
    </w:p>
    <w:p w14:paraId="2D63C3F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第二十七条</w:t>
      </w:r>
      <w:r>
        <w:rPr>
          <w:rFonts w:hint="eastAsia" w:ascii="Times New Roman" w:hAnsi="Times New Roman" w:eastAsia="方正仿宋简体" w:cs="宋体"/>
          <w:color w:val="000000"/>
          <w:kern w:val="0"/>
          <w:sz w:val="32"/>
          <w:szCs w:val="32"/>
        </w:rPr>
        <w:t>  子基金的存续期原则上不超过10年。</w:t>
      </w:r>
    </w:p>
    <w:p w14:paraId="058C984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第二十八条</w:t>
      </w:r>
      <w:r>
        <w:rPr>
          <w:rFonts w:hint="eastAsia" w:ascii="Times New Roman" w:hAnsi="Times New Roman" w:eastAsia="方正仿宋简体" w:cs="宋体"/>
          <w:color w:val="000000"/>
          <w:kern w:val="0"/>
          <w:sz w:val="32"/>
          <w:szCs w:val="32"/>
        </w:rPr>
        <w:t>  在有受让人的情况下，引导基金可适时通过转让份额（股权）的方式退出子基金，其他出资人在同等条件下享有优先受让引导基金份额（股权）的权利。引导基金退出前，子基金已实现盈利的，引导基金应在退出前按照出资份额获取相应的分红。引导基金转让退出方式如下：</w:t>
      </w:r>
    </w:p>
    <w:p w14:paraId="1760F8F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（一）引导基金受托管理机构所持有子基金份额在3年以内（含3年）的，转让价格参照引导基金原始投资额确定；</w:t>
      </w:r>
    </w:p>
    <w:p w14:paraId="70ACE15A">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引导基金受托管理机构所持有子基金份额在3年以上5年以内（含5年）的，如累计分红高于同期银行贷款基准利率计算的利息，转让价格参照引导基金原始投资额确定；如累计分红不足同期银行贷款基准利率计算的利息，则转让价格不低于原始投资额加上同期银行贷款基准利率计算的利息与累计分红的差额之和；</w:t>
      </w:r>
    </w:p>
    <w:p w14:paraId="598650D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（三）引导基金受托管理机构所持有子基金份额超过5年的，按照市场化方式确定转让价格后退出。</w:t>
      </w:r>
    </w:p>
    <w:p w14:paraId="4051E60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第二十九条</w:t>
      </w:r>
      <w:r>
        <w:rPr>
          <w:rFonts w:hint="eastAsia" w:ascii="Times New Roman" w:hAnsi="Times New Roman" w:eastAsia="方正仿宋简体" w:cs="宋体"/>
          <w:color w:val="000000"/>
          <w:kern w:val="0"/>
          <w:sz w:val="32"/>
          <w:szCs w:val="32"/>
        </w:rPr>
        <w:t>  子基金在发生清算（包括解散和破产）时，按照法律程序清偿债权人的债权后，剩余财产按照同股同权原则分配。引导基金以出资额为限承担有限责任。</w:t>
      </w:r>
    </w:p>
    <w:p w14:paraId="7D4A3DF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第三十条</w:t>
      </w:r>
      <w:r>
        <w:rPr>
          <w:rFonts w:hint="eastAsia" w:ascii="Times New Roman" w:hAnsi="Times New Roman" w:eastAsia="方正仿宋简体" w:cs="宋体"/>
          <w:color w:val="000000"/>
          <w:kern w:val="0"/>
          <w:sz w:val="32"/>
          <w:szCs w:val="32"/>
        </w:rPr>
        <w:t>  引导基金受托管理机构应与引导基金合作机构（含子基金管理人）在《合伙协议》或《公司章程》等法律文件中约定，有下列情形之一的，引导基金可无需其他出资人同意，选择退出：</w:t>
      </w:r>
    </w:p>
    <w:p w14:paraId="1397BDE8">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（一）引导基金储备合作机构（含子基金管理人）名单批复后一年内，未按规定程序和时间要求完成子基金设立手续的；</w:t>
      </w:r>
    </w:p>
    <w:p w14:paraId="30FED45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（二）引导基金出资拨付至子基金投资账户一年内，子基金未开展投资业务的；</w:t>
      </w:r>
    </w:p>
    <w:p w14:paraId="1D819A9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（三）子基金投资领域和方向不符合政策目标的；</w:t>
      </w:r>
    </w:p>
    <w:p w14:paraId="23E1D98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（四）子基金未按已签署法律文件约定投资的；</w:t>
      </w:r>
    </w:p>
    <w:p w14:paraId="4161BE4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（五）其他不符合已签署法律文件约定情形的。</w:t>
      </w:r>
    </w:p>
    <w:p w14:paraId="706218CD">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4247519">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第八章  激励约束机制</w:t>
      </w:r>
    </w:p>
    <w:p w14:paraId="705EC57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第三十一条</w:t>
      </w:r>
      <w:r>
        <w:rPr>
          <w:rFonts w:hint="eastAsia" w:ascii="Times New Roman" w:hAnsi="Times New Roman" w:eastAsia="方正仿宋简体" w:cs="宋体"/>
          <w:color w:val="000000"/>
          <w:kern w:val="0"/>
          <w:sz w:val="32"/>
          <w:szCs w:val="32"/>
        </w:rPr>
        <w:t>  引导基金受托管理机构对受托管理的引导基金收取日常管理费，管理费视年度财政预算安排情况在市发展改革委有关专项资金或引导基金存量资金中安排，原则上当年支付上年。市发展改革委会同市财政局对引导基金受托管理机构按年度从投资领域、返投比例、信息披露、风险管控、资金利用效率等方面进行考核，根据考核结果确定管理费用比例，具体标准如下：</w:t>
      </w:r>
    </w:p>
    <w:p w14:paraId="576161B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考核评价分数为90分及以上的，考核结果核定为优秀等次，管理费比例根据引导基金年度在投金额按超额累退方式分别核定为：1亿元人民币及以下、1-5亿元人民币（含5亿元）、5亿元人民币以上分别按1.2%、1.0%、0.8%反向递减。</w:t>
      </w:r>
    </w:p>
    <w:p w14:paraId="10268173">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考核评价分数为80-89分的，考核结果核定为良好等次，管理费比例根据引导基金年度在投金额按超额累退方式分别核定为：1亿元人民币及以下、1-5亿元人民币（含5亿元）、5亿元人民币以上分别按1.1%、0.9%、0.7%反向递减。</w:t>
      </w:r>
    </w:p>
    <w:p w14:paraId="4CDB7A0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考核评价分数为70-79分的，考核结果核定为合格等次，管理费比例根据引导基金年度在投金额按超额累退方式分别核定为：1亿元人民币及以下、1-5亿元人民币（含5亿元）、5亿元人民币以上分别按1.0%、0.8%、0.6%反向递减。</w:t>
      </w:r>
    </w:p>
    <w:p w14:paraId="52B4A1E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（四）考核评价分数为70分以下的，考核结果核定为不合格等次，年度管理费按照考核结果合格等次管理费用减半支付。</w:t>
      </w:r>
    </w:p>
    <w:p w14:paraId="54A65D7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第三十二条</w:t>
      </w:r>
      <w:r>
        <w:rPr>
          <w:rFonts w:hint="eastAsia" w:ascii="Times New Roman" w:hAnsi="Times New Roman" w:eastAsia="方正仿宋简体" w:cs="宋体"/>
          <w:color w:val="000000"/>
          <w:kern w:val="0"/>
          <w:sz w:val="32"/>
          <w:szCs w:val="32"/>
        </w:rPr>
        <w:t>  为保证政策导向，引导基金受托管理机构应与子基金管理人在《合伙协议》或《公司章程》等法律文件中约定，引导基金受托管理机构派出代表进入子基金管理机构的投资决策委员会，不参与子基金管理机构经营业务和日常管理，但在派出代表认为所参与子基金违法、违规和偏离政策导向的情况下，可行使一票否决权。</w:t>
      </w:r>
    </w:p>
    <w:p w14:paraId="1869751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第三十三条</w:t>
      </w:r>
      <w:r>
        <w:rPr>
          <w:rFonts w:hint="eastAsia" w:ascii="Times New Roman" w:hAnsi="Times New Roman" w:eastAsia="方正仿宋简体" w:cs="宋体"/>
          <w:color w:val="000000"/>
          <w:kern w:val="0"/>
          <w:sz w:val="32"/>
          <w:szCs w:val="32"/>
        </w:rPr>
        <w:t>  子基金投资收益的一定比例用于激励子基金管理机构（超额收益）和引导基金受托管理机构（效益奖励）。子基金管理机构超额收益原则上不超过子基金投资收益的20%，具体按照子基金《合伙协议》或《公司章程》等法律文件约定执行。引导基金受托管理机构年度考核评价结果为良好及以上等次的，可按照“先回本后分利”的原则计取考核年度内完全退出子基金的效益奖励，效益奖励按照引导基金对子基金的投资收益（回收资金扣减出资额）的20%核定。</w:t>
      </w:r>
    </w:p>
    <w:p w14:paraId="34DC8B0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第三十四条</w:t>
      </w:r>
      <w:r>
        <w:rPr>
          <w:rFonts w:hint="eastAsia" w:ascii="Times New Roman" w:hAnsi="Times New Roman" w:eastAsia="方正仿宋简体" w:cs="宋体"/>
          <w:color w:val="000000"/>
          <w:kern w:val="0"/>
          <w:sz w:val="32"/>
          <w:szCs w:val="32"/>
        </w:rPr>
        <w:t>  引导基金受托管理机构连续两年考核结果不合格的，市发展改革委可根据情况另行遴选符合条件的管理机构。</w:t>
      </w:r>
    </w:p>
    <w:p w14:paraId="47F23C3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F722912">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第九章  监督检查</w:t>
      </w:r>
    </w:p>
    <w:p w14:paraId="2971BB0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第三十五条</w:t>
      </w:r>
      <w:r>
        <w:rPr>
          <w:rFonts w:hint="eastAsia" w:ascii="Times New Roman" w:hAnsi="Times New Roman" w:eastAsia="方正仿宋简体" w:cs="宋体"/>
          <w:color w:val="000000"/>
          <w:kern w:val="0"/>
          <w:sz w:val="32"/>
          <w:szCs w:val="32"/>
        </w:rPr>
        <w:t>  引导基金实行定期报告制度。引导基金受托管理机构应在每季度结束后15日内向市发展改革委、市财政局书面报告引导基金运行情况。主要包括：</w:t>
      </w:r>
    </w:p>
    <w:p w14:paraId="43A09964">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（一）引导基金的拨付、退出、收益、亏损情况；</w:t>
      </w:r>
    </w:p>
    <w:p w14:paraId="1046BA8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（二）子基金投资运作情况、政策性指标完成情况；</w:t>
      </w:r>
    </w:p>
    <w:p w14:paraId="7C14F97C">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（三）引导基金及子基金运作风险监测、管控及问题处置情况；</w:t>
      </w:r>
    </w:p>
    <w:p w14:paraId="47E2CD87">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（四）引导基金及子基金对新兴产业项目的投资成效及风险监测情况。</w:t>
      </w:r>
    </w:p>
    <w:p w14:paraId="2EA205DF">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第三十六条</w:t>
      </w:r>
      <w:r>
        <w:rPr>
          <w:rFonts w:hint="eastAsia" w:ascii="Times New Roman" w:hAnsi="Times New Roman" w:eastAsia="方正仿宋简体" w:cs="宋体"/>
          <w:color w:val="000000"/>
          <w:kern w:val="0"/>
          <w:sz w:val="32"/>
          <w:szCs w:val="32"/>
        </w:rPr>
        <w:t>  引导基金运行中发生违法违规、投资项目退出可能遭受重大损失等重大问题，引导基金受托管理机构应当在发现后3日内，向市发展改革委、市财政局书面报告，并及时处理解决问题。</w:t>
      </w:r>
    </w:p>
    <w:p w14:paraId="5061991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第三十七条</w:t>
      </w:r>
      <w:r>
        <w:rPr>
          <w:rFonts w:hint="eastAsia" w:ascii="Times New Roman" w:hAnsi="Times New Roman" w:eastAsia="方正仿宋简体" w:cs="宋体"/>
          <w:color w:val="000000"/>
          <w:kern w:val="0"/>
          <w:sz w:val="32"/>
          <w:szCs w:val="32"/>
        </w:rPr>
        <w:t>  市发展改革委定期向市政府报告引导基金运作情况。对监管中发现引导基金受托管理机构存在或可能存在失职等问题和隐患的，市发展改革委、市财政局应当向引导基金受托管理机构提出书面整改意见或质询。经认定为违法、失职行为的，引导基金受托管理机构依法对造成的损失承担相应的法律责任。</w:t>
      </w:r>
    </w:p>
    <w:p w14:paraId="287C7A9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44E6F63C">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第十章  附则</w:t>
      </w:r>
    </w:p>
    <w:p w14:paraId="50A166C2">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第三十八条</w:t>
      </w:r>
      <w:r>
        <w:rPr>
          <w:rFonts w:hint="eastAsia" w:ascii="Times New Roman" w:hAnsi="Times New Roman" w:eastAsia="方正仿宋简体" w:cs="宋体"/>
          <w:color w:val="000000"/>
          <w:kern w:val="0"/>
          <w:sz w:val="32"/>
          <w:szCs w:val="32"/>
        </w:rPr>
        <w:t>  市发展改革委、市财政局根据市政府决策，委托引导基金受托管理机构出资参股国家级、省级基金或其他基金（含财政资金受托管理方委托其管理的基金）的，按照国家、省有关基金管理办法及委托管理协议规定执行。上述资金受托管理机构年度管理费计取按照委托管理协议有关规定执行，但参股基金运作情况纳入引导基金受托管理机构年度考核评价体系中，设立单独板块进行考核，考核分数计入引导基金受托管理机构年度考核总分。</w:t>
      </w:r>
    </w:p>
    <w:p w14:paraId="3F9EECD5">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第三十九条</w:t>
      </w:r>
      <w:r>
        <w:rPr>
          <w:rFonts w:hint="eastAsia" w:ascii="Times New Roman" w:hAnsi="Times New Roman" w:eastAsia="方正仿宋简体" w:cs="宋体"/>
          <w:color w:val="000000"/>
          <w:kern w:val="0"/>
          <w:sz w:val="32"/>
          <w:szCs w:val="32"/>
        </w:rPr>
        <w:t>  本办法自2024年9月19日起施行，有效期两年。本办法施行前，已签订合伙协议的子基金，以及已进入申报审批程序、但未签订合伙协议的子基金，按照《广州市新兴产业发展引导基金管理实施细则》（穗发改规字〔2018〕10号文附件1）规定执行。</w:t>
      </w:r>
    </w:p>
    <w:p w14:paraId="366B6CA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第四十条  </w:t>
      </w:r>
      <w:r>
        <w:rPr>
          <w:rFonts w:hint="eastAsia" w:ascii="Times New Roman" w:hAnsi="Times New Roman" w:eastAsia="方正仿宋简体" w:cs="宋体"/>
          <w:color w:val="000000"/>
          <w:kern w:val="0"/>
          <w:sz w:val="32"/>
          <w:szCs w:val="32"/>
        </w:rPr>
        <w:t>本办法施行前，引导基金受托管理机构根据《广州市新兴产业发展引导基金管理实施细则》（穗发改规字〔2018〕10号文附件1）自主开展的直接投资，按已签订的《广州市新兴产业发展引导基金直投资金委托管理协议》执行；直接投资资金未投出部分，以及已投出部分的退出资金（含本金、收益等），统一回收并按本办法执行；直接投资资金已投出部分资金，如总体产生亏损的，亏损额从引导基金管理机构的年度管理费中抵扣。</w:t>
      </w:r>
    </w:p>
    <w:p w14:paraId="56CFBBD9">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第四十一条</w:t>
      </w:r>
      <w:r>
        <w:rPr>
          <w:rFonts w:hint="eastAsia" w:ascii="Times New Roman" w:hAnsi="Times New Roman" w:eastAsia="方正仿宋简体" w:cs="宋体"/>
          <w:color w:val="000000"/>
          <w:kern w:val="0"/>
          <w:sz w:val="32"/>
          <w:szCs w:val="32"/>
        </w:rPr>
        <w:t>  本办法由广州市发展和改革委员会负责解释。</w:t>
      </w:r>
    </w:p>
    <w:p w14:paraId="19BBA9D0">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23736368">
      <w:pPr>
        <w:widowControl/>
        <w:spacing w:line="420" w:lineRule="atLeast"/>
        <w:jc w:val="left"/>
        <w:rPr>
          <w:rFonts w:hint="eastAsia" w:ascii="Times New Roman" w:hAnsi="Times New Roman" w:eastAsia="方正仿宋简体" w:cs="宋体"/>
          <w:color w:val="000000"/>
          <w:kern w:val="0"/>
          <w:sz w:val="32"/>
          <w:szCs w:val="32"/>
        </w:rPr>
      </w:pPr>
    </w:p>
    <w:p w14:paraId="325FEEDE">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公开方式：主动公开</w:t>
      </w:r>
    </w:p>
    <w:p w14:paraId="4B404CE4">
      <w:pPr>
        <w:widowControl/>
        <w:spacing w:line="420" w:lineRule="atLeast"/>
        <w:jc w:val="left"/>
        <w:rPr>
          <w:rFonts w:hint="eastAsia" w:ascii="Times New Roman" w:hAnsi="Times New Roman" w:eastAsia="方正仿宋简体" w:cs="宋体"/>
          <w:color w:val="000000"/>
          <w:kern w:val="0"/>
          <w:sz w:val="32"/>
          <w:szCs w:val="32"/>
        </w:rPr>
      </w:pPr>
    </w:p>
    <w:p w14:paraId="5321798E">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9.10广州市卫生健康委员会  广州市发展和改革委员会  广州市教育局  广州市财政局关于印发广州市普惠性托育机构认定及资金补助管理办法（试行）的通知</w:t>
      </w:r>
    </w:p>
    <w:p w14:paraId="3AE39ECD">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3B9AA667">
      <w:pPr>
        <w:widowControl/>
        <w:shd w:val="clear" w:color="auto" w:fill="FFFFFF"/>
        <w:spacing w:line="50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各区人民政府、市政府各部门：</w:t>
      </w:r>
    </w:p>
    <w:p w14:paraId="1411C7A6">
      <w:pPr>
        <w:widowControl/>
        <w:shd w:val="clear" w:color="auto" w:fill="FFFFFF"/>
        <w:spacing w:line="50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经市人民政府同意，现将《广州市普惠性托育机构认定及资金补助管理办法（试行）》印发给你们，请结合实际，认真贯彻落实。</w:t>
      </w:r>
    </w:p>
    <w:p w14:paraId="65BD5BB5">
      <w:pPr>
        <w:widowControl/>
        <w:shd w:val="clear" w:color="auto" w:fill="FFFFFF"/>
        <w:spacing w:line="500" w:lineRule="atLeast"/>
        <w:ind w:firstLine="480"/>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5C8B71B2">
      <w:pPr>
        <w:widowControl/>
        <w:shd w:val="clear" w:color="auto" w:fill="FFFFFF"/>
        <w:spacing w:line="500" w:lineRule="atLeast"/>
        <w:ind w:firstLine="480"/>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47420DA2">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广州市卫生健康委员会</w:t>
      </w:r>
    </w:p>
    <w:p w14:paraId="5B73F996">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广州市发展和改革委员会</w:t>
      </w:r>
    </w:p>
    <w:p w14:paraId="3A48312E">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广州市教育局</w:t>
      </w:r>
    </w:p>
    <w:p w14:paraId="5E2AF212">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广州市财政局</w:t>
      </w:r>
    </w:p>
    <w:p w14:paraId="32D2D453">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2024年9月10日</w:t>
      </w:r>
    </w:p>
    <w:p w14:paraId="0146DEA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1A62E0D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52113A4A">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广州市普惠性托育机构认定及资金补助管理办法（试行）</w:t>
      </w:r>
    </w:p>
    <w:p w14:paraId="1336C7DB">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1FE7E153">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总则</w:t>
      </w:r>
    </w:p>
    <w:p w14:paraId="2F56DB7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第一条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为提升普惠性托育机构规范化管理水平，推动本市普惠托育服务体系高质量发展，提高资金使用效益，根据《广东省卫生健康委 广东省发展改革委关于普惠性托育服务机构的认定和管理办法》（粤卫规〔2024〕7号）、《广州市3岁以下婴幼儿照护服务体系建设三年行动计划（2023—2025年）》（穗府办〔2024〕3号）等文件精神，结合本市实际，制定本办法。</w:t>
      </w:r>
    </w:p>
    <w:p w14:paraId="4B972FB4">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第二条 </w:t>
      </w:r>
      <w:r>
        <w:rPr>
          <w:rFonts w:hint="eastAsia" w:ascii="Times New Roman" w:hAnsi="Times New Roman" w:eastAsia="方正仿宋简体" w:cs="宋体"/>
          <w:color w:val="000000"/>
          <w:kern w:val="0"/>
          <w:sz w:val="32"/>
          <w:szCs w:val="32"/>
          <w:shd w:val="clear" w:color="auto" w:fill="FFFFFF"/>
        </w:rPr>
        <w:t> 本办法适用于本市普惠性托育机构及幼儿园普惠性托班的认定、收费和市、区级财政补助资金的安排、申请、发放和管理。</w:t>
      </w:r>
    </w:p>
    <w:p w14:paraId="2DC111E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第三条</w:t>
      </w:r>
      <w:r>
        <w:rPr>
          <w:rFonts w:hint="eastAsia" w:ascii="Times New Roman" w:hAnsi="Times New Roman" w:eastAsia="方正仿宋简体" w:cs="宋体"/>
          <w:color w:val="000000"/>
          <w:kern w:val="0"/>
          <w:sz w:val="32"/>
          <w:szCs w:val="32"/>
          <w:shd w:val="clear" w:color="auto" w:fill="FFFFFF"/>
        </w:rPr>
        <w:t>  普惠托育服务是指面向3岁以下婴幼儿提供的质量有保障、价格可承受，方便可及的婴幼儿照护服务。普惠性托育机构是指已依法登记备案并经区卫生健康行政部门认定，提供普惠托育服务的婴幼儿照护服务机构。</w:t>
      </w:r>
    </w:p>
    <w:p w14:paraId="6D814315">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第四条 </w:t>
      </w:r>
      <w:r>
        <w:rPr>
          <w:rFonts w:hint="eastAsia" w:ascii="Times New Roman" w:hAnsi="Times New Roman" w:eastAsia="方正仿宋简体" w:cs="宋体"/>
          <w:color w:val="000000"/>
          <w:kern w:val="0"/>
          <w:sz w:val="32"/>
          <w:szCs w:val="32"/>
          <w:shd w:val="clear" w:color="auto" w:fill="FFFFFF"/>
        </w:rPr>
        <w:t> 市卫生健康行政部门统筹指导全市普惠性托育机构认定工作，</w:t>
      </w:r>
      <w:r>
        <w:rPr>
          <w:rFonts w:hint="eastAsia" w:ascii="Times New Roman" w:hAnsi="Times New Roman" w:eastAsia="方正仿宋简体" w:cs="宋体"/>
          <w:color w:val="000000"/>
          <w:kern w:val="0"/>
          <w:sz w:val="32"/>
          <w:szCs w:val="32"/>
        </w:rPr>
        <w:t>负责指导各区编制补助资金预算。</w:t>
      </w:r>
      <w:r>
        <w:rPr>
          <w:rFonts w:hint="eastAsia" w:ascii="Times New Roman" w:hAnsi="Times New Roman" w:eastAsia="方正仿宋简体" w:cs="宋体"/>
          <w:color w:val="000000"/>
          <w:kern w:val="0"/>
          <w:sz w:val="32"/>
          <w:szCs w:val="32"/>
          <w:shd w:val="clear" w:color="auto" w:fill="FFFFFF"/>
        </w:rPr>
        <w:t>区卫生健康行政部门组织实施本地区普惠性托育机构认定、质量评估、</w:t>
      </w:r>
      <w:r>
        <w:rPr>
          <w:rFonts w:hint="eastAsia" w:ascii="Times New Roman" w:hAnsi="Times New Roman" w:eastAsia="方正仿宋简体" w:cs="宋体"/>
          <w:color w:val="000000"/>
          <w:kern w:val="0"/>
          <w:sz w:val="32"/>
          <w:szCs w:val="32"/>
        </w:rPr>
        <w:t>补助资金测算和审核，提出本地区资金需求和分配建议，按要求做好绩效管理工作。</w:t>
      </w:r>
    </w:p>
    <w:p w14:paraId="0E449241">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市财政部门负责按规定落实市本级补助资金。区财政部门负责本地区补助资金预算安排，配合开展绩效管理工作。</w:t>
      </w:r>
    </w:p>
    <w:p w14:paraId="7DAC981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shd w:val="clear" w:color="auto" w:fill="FFFFFF"/>
        </w:rPr>
        <w:t>市教育行政部门统筹指导幼儿园开办托班工作。区教育行政部门牵头组织实施幼儿园开设托班的登记管理以及普惠性托班的认定工作，向区卫生健康行政部门及时推送幼儿园开设托班信息。</w:t>
      </w:r>
    </w:p>
    <w:p w14:paraId="18171E8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shd w:val="clear" w:color="auto" w:fill="FFFFFF"/>
        </w:rPr>
        <w:t>街（镇）负责补助资金申请的受理、初步审核。</w:t>
      </w:r>
    </w:p>
    <w:p w14:paraId="30DDC9F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666B385E">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普惠性托育机构认定</w:t>
      </w:r>
    </w:p>
    <w:p w14:paraId="0696084D">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第五条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同时具备以下条件的托育机构，可向所在地区卫生健康行政部门申请认定为普惠性托育机构：</w:t>
      </w:r>
    </w:p>
    <w:p w14:paraId="7E46D671">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（一）在本市依法登记，主要经营范围（或业务范围）包括为3岁以下婴幼儿提供托育服务并通过卫生健康行政部门备案；</w:t>
      </w:r>
    </w:p>
    <w:p w14:paraId="009420C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（二）遵守相关法律法规和政策文件要求；无失信惩戒记录，未发生歧视、体罚、变相体罚、侮辱、虐待婴幼儿等行为，未发生安全责任事故、婴幼儿伤害事件或其他负面影响事件；</w:t>
      </w:r>
    </w:p>
    <w:p w14:paraId="34EE4A4A">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（三）自愿提供普惠托育服务，本机构全部托位均符合本办法第九条的收费要求；</w:t>
      </w:r>
    </w:p>
    <w:p w14:paraId="12466472">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（四）财务管理规范，制度健全、独立核算、运转良好；与从业人员签订劳动合同，按有关规定落实工资待遇，为从业人员按相关规范缴纳社会保险；</w:t>
      </w:r>
    </w:p>
    <w:p w14:paraId="48275DE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（五）收费行为规范，按规定进行收费公示，无乱收费现象；</w:t>
      </w:r>
    </w:p>
    <w:p w14:paraId="5004A70D">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（六）符合托育机构质量评估标准。</w:t>
      </w:r>
    </w:p>
    <w:p w14:paraId="29F0BCB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第六条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申请普惠性托育机构认定需提交以下材料：</w:t>
      </w:r>
    </w:p>
    <w:p w14:paraId="689DA91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（一）《广州市普惠性托育机构申报表》；</w:t>
      </w:r>
    </w:p>
    <w:p w14:paraId="7F06059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（二）托育机构备案回执；</w:t>
      </w:r>
    </w:p>
    <w:p w14:paraId="2B5A1BFB">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（三）机构保育费收费凭证或公示材料；</w:t>
      </w:r>
    </w:p>
    <w:p w14:paraId="6ED9D4C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（四）机构自愿提供普惠托育服务承诺书。</w:t>
      </w:r>
    </w:p>
    <w:p w14:paraId="348B716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第七条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普惠性托育机构认定程序：</w:t>
      </w:r>
    </w:p>
    <w:p w14:paraId="7755CB13">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（一）申请认定。以机构自愿为原则，由各区卫生健康行政部门对本地区已备案托育机构组织集中认定。</w:t>
      </w:r>
    </w:p>
    <w:p w14:paraId="241E845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（二）审核公示。区卫生健康行政部门对认定申请材料进行审核评估，向社会公示拟确定普惠性托育机构名单，接受家长和社会监督，公示期不少于5个工作日。</w:t>
      </w:r>
    </w:p>
    <w:p w14:paraId="67A6FAF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（三）结果公布。公示无异议或异议不成立的，由区卫生健康行政部门与普惠性托育机构签订认定协议书，并将机构名单、收托费用、托位设置和联系方式等信息向社会公布，同时报市卫生健康行政部门备案。</w:t>
      </w:r>
    </w:p>
    <w:p w14:paraId="19923C62">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普惠性托育机构认定程序每年进行一次，认定时间为每年9-10月份。</w:t>
      </w:r>
    </w:p>
    <w:p w14:paraId="75F8BBEA">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幼儿园开设的托班，符合第五条规定的，可由各区教育行政部门认定为普惠性托班。幼儿园开设普惠性托班信息由区卫生健康行政部门根据区教育行政部门推送信息一并向社会公布。</w:t>
      </w:r>
    </w:p>
    <w:p w14:paraId="1E9D195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第八条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普惠性托育机构认定后，有效期2年。如期间发生机构名称、住所、性质、收费不符合规定等重大变更的，根据具体情形重新进行认定。</w:t>
      </w:r>
    </w:p>
    <w:p w14:paraId="45142E41">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5C246837">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 普惠性托育机构收费</w:t>
      </w:r>
    </w:p>
    <w:p w14:paraId="29349FC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第九条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申请普惠性托育机构及普惠性托班认定，收费应符合普惠要求，在全日托每人每月保育费（不含膳食费）不超过同等情况市场化价格80%的基础上，普惠价格（托大班全日托每人每月保育费，不含膳食费）分区分级执行，其中天河区不高于上年度本地区月人均可支配收入的50%，其他区不高于上年度本地区月人均可支配收入的55%。</w:t>
      </w:r>
    </w:p>
    <w:p w14:paraId="40DD40DD">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各区卫生健康行政部门应当根据所在区上年度月人均可支配收入计算上述收费标准供查询，年度新的人均可支配收入数据发布前，执行上年度的标准。</w:t>
      </w:r>
    </w:p>
    <w:p w14:paraId="5631F2D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收托12-24个月龄幼儿，普惠价认定标准可上浮5%；收托12个月龄以下婴儿，普惠价认定标准可上浮10%。</w:t>
      </w:r>
    </w:p>
    <w:p w14:paraId="05E4FCB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普惠性托育机构应当与家长签署书面收托合同，明确双方权利义务和责任，开具发票收据。收费项目和标准、服务内容、退费规则等应当向家长公示，接受社会监督。</w:t>
      </w:r>
    </w:p>
    <w:p w14:paraId="5F1F52A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保育费一般按月收取，一次性收费不宜超过3个月。膳食费（含税）应当专款专用，不得用于支付其他间接费用。</w:t>
      </w:r>
    </w:p>
    <w:p w14:paraId="0EDE3C7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第十一条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普惠性托育机构收费认定实行浮动标准，根据服务质量等级评定结果，可按比例调整收费要求：</w:t>
      </w:r>
    </w:p>
    <w:p w14:paraId="23D586C1">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被评定为五星级的普惠性托育机构，可按所在区普惠性托育机构收费要求上浮15%，评定为三星级或者四星级的可上浮10%，评定为一星级或者二星级的可上浮5%。</w:t>
      </w:r>
    </w:p>
    <w:p w14:paraId="0C92FCB4">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第十二条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普惠性托育机构及普惠性托班的质量评估及等级评定标准由市卫生健康行政部门另行制定，结合托育服务行业发展状况及执行效果动态调整。市、区级卫生健康行政部门定期开展质量评估和等级评定。</w:t>
      </w:r>
    </w:p>
    <w:p w14:paraId="6632F16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6C238719">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财政补助标准及申请流程</w:t>
      </w:r>
    </w:p>
    <w:p w14:paraId="704F4736">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第一节 街（镇）普惠托育点建设补助</w:t>
      </w:r>
    </w:p>
    <w:p w14:paraId="5BAF540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第十三条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街（镇）通过公办或公建民营等形式新建普惠性托育机构，实际提供普惠托育服务且符合第五条要求的，给予一次性建设补助资金。</w:t>
      </w:r>
    </w:p>
    <w:p w14:paraId="39B80344">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2024年新建的按每个托位2000元的标准给予补助，2025年新建的按每个托位1500元的标准给予补助。</w:t>
      </w:r>
    </w:p>
    <w:p w14:paraId="6430C1D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已获得中央、省级以上财政一次性建设补助的托育机构不重复享受。</w:t>
      </w:r>
    </w:p>
    <w:p w14:paraId="42024ED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街（镇）普惠托育点建设补助资金由市、区两级按照财政体制规定比例分担。即市本级财政与越秀、荔湾、海珠、白云区按5:5比例负担，与天河、番禺、花都区按4:6比例负担，与增城区按6:4比例负担，与从化区按8:2比例负担，黄埔、南沙区由区财政全额负担。市、区财政分担比例有调整的从其规定执行。</w:t>
      </w:r>
    </w:p>
    <w:p w14:paraId="3C10C247">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第二节 普惠性托位运营补助</w:t>
      </w:r>
    </w:p>
    <w:p w14:paraId="61A8F922">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第十四条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2024年起，通过卫生健康行政部门认定为普惠性托育机构的可以按照其上年实际收托数量给予运营补助。</w:t>
      </w:r>
    </w:p>
    <w:p w14:paraId="64C42D23">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运营补助实施3年，由市本级财政按2023年机构实际收托人数每人每月170元、2024年按机构实际收托人数每人每月150元、2025年按机构实际收托人数每人每月补助120元的标准给予运营补助；区财政按指定比例配套补助。</w:t>
      </w:r>
    </w:p>
    <w:p w14:paraId="1BB29E93">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区级财政配套补助金额不低于按市补助标准的指定比例确定的金额，即越秀、荔湾、海珠、白云区按不低于市本级财政50%的比例配套，天河、番禺、花都区按不低于市本级财政60%的比例配套，增城区按不低于市本级财政40%的比例配套，从化区按不低于市本级财政20%的比例配套，黄埔、南沙区按市本级财政100%的比例配套。</w:t>
      </w:r>
    </w:p>
    <w:p w14:paraId="5C71BF94">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收托婴幼儿总月数按实计算，收托时间满15天按1个月计算，不满15天不计算（每月按法定工作日计，病假天数计入在托天数）。</w:t>
      </w:r>
    </w:p>
    <w:p w14:paraId="14254A0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实际收托人数超过托育机构备案托位数的，超出部分不予补助。</w:t>
      </w:r>
    </w:p>
    <w:p w14:paraId="3B7A789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经教育行政部门认定的幼儿园普惠性托班，执行普惠性托位运营补助政策，托班已获得教育行政部门生均补贴的，不再重复享受托位运营补助。</w:t>
      </w:r>
    </w:p>
    <w:p w14:paraId="71FA862D">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第三节 示范性奖励补助</w:t>
      </w:r>
    </w:p>
    <w:p w14:paraId="5416818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第十五条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对获评为国家级、省级、市级的示范性（或五星级）托育机构，市级财政分别给予每个机构20万元、15万元、10万元的一次性奖励补助。</w:t>
      </w:r>
    </w:p>
    <w:p w14:paraId="358EF97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同一机构就高补助，示范期间，获评高一等级的示范性机构按照与上次获评等级的差额予以补助。</w:t>
      </w:r>
    </w:p>
    <w:p w14:paraId="793F8A19">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第四节 补助申请流程</w:t>
      </w:r>
    </w:p>
    <w:p w14:paraId="66E3628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第十六条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街（镇）普惠托育点一次性建设补助由街（镇）向区卫生健康行政部门提出申请，申请材料包括：</w:t>
      </w:r>
    </w:p>
    <w:p w14:paraId="52EF14EB">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1.建设工程施工许可证或项目建设合同；</w:t>
      </w:r>
    </w:p>
    <w:p w14:paraId="15F1B71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2.街（镇）招投标公告或合作协议；</w:t>
      </w:r>
    </w:p>
    <w:p w14:paraId="7E080EA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3.托育服务用房平面布局图；</w:t>
      </w:r>
    </w:p>
    <w:p w14:paraId="6844E8B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4.项目竣工验收材料；</w:t>
      </w:r>
    </w:p>
    <w:p w14:paraId="1F0C868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5.托育机构收费标准、班型和托位设置材料；</w:t>
      </w:r>
    </w:p>
    <w:p w14:paraId="66DDB22A">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6.托育机构备案回执；</w:t>
      </w:r>
    </w:p>
    <w:p w14:paraId="4E7E46F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7.申报资料真实性、合规性、完整性承诺书。</w:t>
      </w:r>
    </w:p>
    <w:p w14:paraId="7A1FB330">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普惠性托位运营补助以自愿为原则，由符合条件的托育机构向属地街（镇）提出申请，申请材料包括：</w:t>
      </w:r>
    </w:p>
    <w:p w14:paraId="43BB1B31">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1.上年度在托婴幼儿花名册及考勤登记汇总表；</w:t>
      </w:r>
    </w:p>
    <w:p w14:paraId="6F359799">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2.上年度在托婴幼儿收费发票或缴费转账流水凭证；</w:t>
      </w:r>
    </w:p>
    <w:p w14:paraId="59D481FB">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3.托育机构收费公示材料；</w:t>
      </w:r>
    </w:p>
    <w:p w14:paraId="3F47926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4.普惠性托育机构认定及等级评定结果；</w:t>
      </w:r>
    </w:p>
    <w:p w14:paraId="108054A5">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5.申报资料真实性、合规性、完整性承诺书。</w:t>
      </w:r>
    </w:p>
    <w:p w14:paraId="6699274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第十七条</w:t>
      </w:r>
      <w:r>
        <w:rPr>
          <w:rFonts w:hint="eastAsia" w:ascii="Times New Roman" w:hAnsi="Times New Roman" w:eastAsia="方正仿宋简体" w:cs="宋体"/>
          <w:color w:val="000000"/>
          <w:kern w:val="0"/>
          <w:sz w:val="32"/>
          <w:szCs w:val="32"/>
        </w:rPr>
        <w:t>  普惠性托育机构认定及财政补助资金可通过广州市智慧化托育平台提交申请材料，平台可以自动获取的信息，申请单位无需重复上传提交。申请单位对所提交申请材料的真实性、合法性、准确性负责，自觉接受卫生健康、财政等部门的监督检查。</w:t>
      </w:r>
    </w:p>
    <w:p w14:paraId="455F7905">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普惠性托育机构资金补助实行全流程网办，由街（镇）在广州市智慧化托育平台进行受理、初步审核并提交区卫生健康行政部门审核。</w:t>
      </w:r>
    </w:p>
    <w:p w14:paraId="74530F83">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幼儿园普惠性托班资金补助申请材料由区教育行政部门审核汇总报区卫生健康行政部门。</w:t>
      </w:r>
    </w:p>
    <w:p w14:paraId="61072DA8">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第十八条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财政补助资金按年发放，隔年清算，每年度1月1日至12月31日为一个补助周期。</w:t>
      </w:r>
    </w:p>
    <w:p w14:paraId="1812539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每年6月前，区卫生健康行政部门按照上年资金清算结果及次年入托预估情况，完成下一年度预算编制并报市卫生健康行政部门。市卫生健康行政部门按规定将补助资金纳入部门预算，市级资金转移支付下达各区。上年度市财政存在结余资金的区应在编制次年预算时予以抵扣。</w:t>
      </w:r>
    </w:p>
    <w:p w14:paraId="302BE737">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第十九条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各区卫生健康行政部门及时了解本区普惠托育财政补助资金预算执行情况，当年资金预算不足时，应及时调整。</w:t>
      </w:r>
    </w:p>
    <w:p w14:paraId="074B3EEF">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040F1F0B">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退出机制</w:t>
      </w:r>
    </w:p>
    <w:p w14:paraId="594AA5D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第二十条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普惠性托育机构在认定有效期内停止办托或不再提供普惠托育服务的，需提前以书面形式向机构所在地区卫生健康行政部门报告。</w:t>
      </w:r>
    </w:p>
    <w:p w14:paraId="0F907B91">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第二十一条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托育机构发生以下情形之一的，由机构所在地区卫生健康行政部门核实，取消其普惠性托育机构资格，及时组织财政补助资金清算。</w:t>
      </w:r>
    </w:p>
    <w:p w14:paraId="18B2A09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（一）机构经营主体或机构法人不再存在；</w:t>
      </w:r>
    </w:p>
    <w:p w14:paraId="5086296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（二）发生场地、举办者等重大改变，不再具备办托条件；</w:t>
      </w:r>
    </w:p>
    <w:p w14:paraId="45C6018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（三）机构及其主要负责人被纳入严重失信主体名单；</w:t>
      </w:r>
    </w:p>
    <w:p w14:paraId="5E36FA8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（四）从业人员不具备从业资格或有违法犯罪记录，或出现歧视、体罚、变相体罚、侮辱、虐待婴幼儿等事件；</w:t>
      </w:r>
    </w:p>
    <w:p w14:paraId="33B6D17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（五）从业人员以伪造等方式提供虚假从业资格信息；</w:t>
      </w:r>
    </w:p>
    <w:p w14:paraId="04F0C66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（六）机构出现重大安全事故或其他造成社会重大负面影响事件；</w:t>
      </w:r>
    </w:p>
    <w:p w14:paraId="0240BEC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（七）机构存在安全隐患，拒不整改；</w:t>
      </w:r>
    </w:p>
    <w:p w14:paraId="7F61313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（八）机构违规收取费用，产生纠纷后未妥善解决；</w:t>
      </w:r>
    </w:p>
    <w:p w14:paraId="6D5F1C36">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（九）机构存在弄虚作假骗取谋取普惠性托育机构认定资格或虚构在托婴幼儿数量、在托时间，骗取谋取财政补助的行为；</w:t>
      </w:r>
    </w:p>
    <w:p w14:paraId="4C50A955">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（十）其他违反相关标准和规范的情况。</w:t>
      </w:r>
    </w:p>
    <w:p w14:paraId="5C086B0E">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6864D3B1">
      <w:pPr>
        <w:widowControl/>
        <w:shd w:val="clear" w:color="auto" w:fill="FFFFFF"/>
        <w:spacing w:line="50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附则</w:t>
      </w:r>
    </w:p>
    <w:p w14:paraId="236369DA">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shd w:val="clear" w:color="auto" w:fill="FFFFFF"/>
        </w:rPr>
        <w:t> </w:t>
      </w:r>
    </w:p>
    <w:p w14:paraId="5B914D32">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第二十二条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各区卫生健康行政部门及时向社会公布普惠性托育机构名单和财政补助信息，开通举报电话、邮箱接受社会监督，并适时通过随机检查、举报核查等方式对普惠性托育机构开展监督。</w:t>
      </w:r>
    </w:p>
    <w:p w14:paraId="13A79CCC">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第二十三条 </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本办法由市卫生健康行政部门会同市财政、发展改革、教育行政部门解释。各区可依据本办法，结合本区实际制定实施细则。</w:t>
      </w:r>
    </w:p>
    <w:p w14:paraId="7E4CA3DE">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shd w:val="clear" w:color="auto" w:fill="FFFFFF"/>
        </w:rPr>
        <w:t>第二十四条</w:t>
      </w:r>
      <w:r>
        <w:rPr>
          <w:rFonts w:hint="eastAsia" w:ascii="Times New Roman" w:hAnsi="Times New Roman" w:eastAsia="方正仿宋简体" w:cs="宋体"/>
          <w:color w:val="000000"/>
          <w:kern w:val="0"/>
          <w:sz w:val="32"/>
          <w:szCs w:val="32"/>
          <w:shd w:val="clear" w:color="auto" w:fill="FFFFFF"/>
        </w:rPr>
        <w:t>  </w:t>
      </w:r>
      <w:r>
        <w:rPr>
          <w:rFonts w:hint="eastAsia" w:ascii="Times New Roman" w:hAnsi="Times New Roman" w:eastAsia="方正仿宋简体" w:cs="宋体"/>
          <w:color w:val="000000"/>
          <w:kern w:val="0"/>
          <w:sz w:val="32"/>
          <w:szCs w:val="32"/>
        </w:rPr>
        <w:t>本办法自2024年10月1日起施行，有效期3年。</w:t>
      </w:r>
    </w:p>
    <w:p w14:paraId="2C504F40">
      <w:pPr>
        <w:widowControl/>
        <w:shd w:val="clear" w:color="auto" w:fill="FFFFFF"/>
        <w:spacing w:line="50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059A3AE2">
      <w:pPr>
        <w:widowControl/>
        <w:shd w:val="clear" w:color="auto" w:fill="FFFFFF"/>
        <w:spacing w:line="50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公开方式:主动公开</w:t>
      </w:r>
    </w:p>
    <w:p w14:paraId="10387DF2">
      <w:pPr>
        <w:widowControl/>
        <w:spacing w:line="420" w:lineRule="atLeast"/>
        <w:jc w:val="left"/>
        <w:rPr>
          <w:rFonts w:hint="eastAsia" w:ascii="Times New Roman" w:hAnsi="Times New Roman" w:eastAsia="方正仿宋简体" w:cs="宋体"/>
          <w:color w:val="000000"/>
          <w:kern w:val="0"/>
          <w:sz w:val="32"/>
          <w:szCs w:val="32"/>
        </w:rPr>
      </w:pPr>
    </w:p>
    <w:p w14:paraId="45056219">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9.12广州市南沙区知识产权局关于印发广州南沙新区（自贸片区）促进知识产权高质量发展扶持办法实施细则的通知</w:t>
      </w:r>
    </w:p>
    <w:p w14:paraId="744C543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各镇（街），开发区（区）各部门、各直属机构：</w:t>
      </w:r>
    </w:p>
    <w:p w14:paraId="1DB5057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《广州南沙新区（自贸片区）促进知识产权高质量发展扶持办法实施细则》已按程序审批同意，现印发给你们，请认真组织实施。实施过程中遇到的问题，请径向广州市南沙区知识产权局反映。</w:t>
      </w:r>
    </w:p>
    <w:p w14:paraId="508BC692">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广州市南沙区知识产权局</w:t>
      </w:r>
    </w:p>
    <w:p w14:paraId="11D6D838">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2024年9月12日</w:t>
      </w:r>
    </w:p>
    <w:p w14:paraId="59F330B4">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6D3A460A">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广州南沙新区（自贸片区）促进知识产权高质量发展扶持办法实施细则</w:t>
      </w:r>
    </w:p>
    <w:p w14:paraId="031F651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 </w:t>
      </w:r>
      <w:r>
        <w:rPr>
          <w:rFonts w:hint="eastAsia" w:ascii="Times New Roman" w:hAnsi="Times New Roman" w:eastAsia="方正仿宋简体" w:cs="宋体"/>
          <w:color w:val="000000"/>
          <w:kern w:val="0"/>
          <w:sz w:val="32"/>
          <w:szCs w:val="32"/>
        </w:rPr>
        <w:t>为了明确《广州南沙新区（自贸片区）促进知识产权高质量发展扶持办法》（穗南开管办规〔2023〕10号，以下简称“办法”）条款具体内容及操作规范，结合本区实际，制订本实施细则。</w:t>
      </w:r>
    </w:p>
    <w:p w14:paraId="4082FFA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 </w:t>
      </w:r>
      <w:r>
        <w:rPr>
          <w:rFonts w:hint="eastAsia" w:ascii="Times New Roman" w:hAnsi="Times New Roman" w:eastAsia="方正仿宋简体" w:cs="宋体"/>
          <w:color w:val="000000"/>
          <w:kern w:val="0"/>
          <w:sz w:val="32"/>
          <w:szCs w:val="32"/>
        </w:rPr>
        <w:t>申请人应当符合以下条件之一：</w:t>
      </w:r>
    </w:p>
    <w:p w14:paraId="675B80E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（一）在南沙区从事经营或业务活动的法人、非法人组织；</w:t>
      </w:r>
    </w:p>
    <w:p w14:paraId="0F7707F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（二）在南沙区实际从事经营活动的知识产权服务机构分支机构；</w:t>
      </w:r>
    </w:p>
    <w:p w14:paraId="749AE18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（三）具有南沙区户籍或者在南沙区工作并持有居住地址为南沙区的“广东省居住证”的自然人；</w:t>
      </w:r>
    </w:p>
    <w:p w14:paraId="0524037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（四）在南沙区工作，遵纪守法，拥护“一国两制”，符合办法第二条第（九）项有关规定的香港、澳门居民。</w:t>
      </w:r>
    </w:p>
    <w:p w14:paraId="2516789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 </w:t>
      </w:r>
      <w:r>
        <w:rPr>
          <w:rFonts w:hint="eastAsia" w:ascii="Times New Roman" w:hAnsi="Times New Roman" w:eastAsia="方正仿宋简体" w:cs="宋体"/>
          <w:color w:val="000000"/>
          <w:kern w:val="0"/>
          <w:sz w:val="32"/>
          <w:szCs w:val="32"/>
        </w:rPr>
        <w:t>针对办法第二条第（一）项规定的各类知识产权奖项或证书，相关奖项获奖时应当归属南沙区，且申请人应是获奖项目的第一权利人。</w:t>
      </w:r>
    </w:p>
    <w:p w14:paraId="6A12095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同一申请人有多个获奖项目的，可以申报多个扶持项目。</w:t>
      </w:r>
    </w:p>
    <w:p w14:paraId="48C75D8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 </w:t>
      </w:r>
      <w:r>
        <w:rPr>
          <w:rFonts w:hint="eastAsia" w:ascii="Times New Roman" w:hAnsi="Times New Roman" w:eastAsia="方正仿宋简体" w:cs="宋体"/>
          <w:color w:val="000000"/>
          <w:kern w:val="0"/>
          <w:sz w:val="32"/>
          <w:szCs w:val="32"/>
        </w:rPr>
        <w:t>办法第二条第（一）项规定的各类知识产权优势、示范企业奖励和版权示范企业奖励属于同类事项，按照就高不重复原则给予扶持。</w:t>
      </w:r>
    </w:p>
    <w:p w14:paraId="7560E30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w:t>
      </w:r>
      <w:r>
        <w:rPr>
          <w:rFonts w:hint="eastAsia" w:ascii="Times New Roman" w:hAnsi="Times New Roman" w:eastAsia="方正仿宋简体" w:cs="宋体"/>
          <w:color w:val="000000"/>
          <w:kern w:val="0"/>
          <w:sz w:val="32"/>
          <w:szCs w:val="32"/>
        </w:rPr>
        <w:t> 办法第二条第（二）项中的知识产权质押贷款涉及混合担保物权的，如果担保份额可以区分，则按照其中知识产权质押份额计算贷款额度；份额难以确定的，不予补贴。</w:t>
      </w:r>
    </w:p>
    <w:p w14:paraId="3A455EE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 </w:t>
      </w:r>
      <w:r>
        <w:rPr>
          <w:rFonts w:hint="eastAsia" w:ascii="Times New Roman" w:hAnsi="Times New Roman" w:eastAsia="方正仿宋简体" w:cs="宋体"/>
          <w:color w:val="000000"/>
          <w:kern w:val="0"/>
          <w:sz w:val="32"/>
          <w:szCs w:val="32"/>
        </w:rPr>
        <w:t>办法第二条第（二）项中的相关概念定义标准如下：</w:t>
      </w:r>
    </w:p>
    <w:p w14:paraId="10AC4FC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中小微企业”是指符合国家统计局《统计上大中小微型企业划分办法（2017）》（国统字〔2017〕213号）中、小、微型企业划分标准的企业。对于从事金融业的企业，按照《金融业企业划型标准规定》（银发〔2015〕309 号）进行划分；</w:t>
      </w:r>
    </w:p>
    <w:p w14:paraId="07CEEBD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（二）“发起单位”是指经许可、转让、质押等方式获得企业知识产权权益作为基础资产，承担证券化项目发起任务的金融机构、知识产权运营机构；</w:t>
      </w:r>
    </w:p>
    <w:p w14:paraId="050923B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（三）“实际发行金额”是指知识产权证券化发行成功后，发行人所筹集到的资金总额；</w:t>
      </w:r>
    </w:p>
    <w:p w14:paraId="5C03271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（四）“实际融资金额”是指单个融资企业实际获得的融资金额。</w:t>
      </w:r>
    </w:p>
    <w:p w14:paraId="6150395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 </w:t>
      </w:r>
      <w:r>
        <w:rPr>
          <w:rFonts w:hint="eastAsia" w:ascii="Times New Roman" w:hAnsi="Times New Roman" w:eastAsia="方正仿宋简体" w:cs="宋体"/>
          <w:color w:val="000000"/>
          <w:kern w:val="0"/>
          <w:sz w:val="32"/>
          <w:szCs w:val="32"/>
        </w:rPr>
        <w:t>办法第二条第（三）项中申请人的专利转让和专利实施许可合同应当依法在国家知识产权局办理登记、备案。其中专利实施许可合同中的专利许可年限低于1年的，不属于办法扶持范围。</w:t>
      </w:r>
    </w:p>
    <w:p w14:paraId="2B795DC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 </w:t>
      </w:r>
      <w:r>
        <w:rPr>
          <w:rFonts w:hint="eastAsia" w:ascii="Times New Roman" w:hAnsi="Times New Roman" w:eastAsia="方正仿宋简体" w:cs="宋体"/>
          <w:color w:val="000000"/>
          <w:kern w:val="0"/>
          <w:sz w:val="32"/>
          <w:szCs w:val="32"/>
        </w:rPr>
        <w:t>办法第二条第（四）项中“上年度计算机软件著作权登记数累计30件以上”是指该年度1月1日至12月31日期间申请人新增软件著作权登记数达到30件以上（含30件）。</w:t>
      </w:r>
    </w:p>
    <w:p w14:paraId="51A0229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根据申请人提供的购买合同无法区分具体购买软件费用的，不予资助。</w:t>
      </w:r>
    </w:p>
    <w:p w14:paraId="2BF6011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 </w:t>
      </w:r>
      <w:r>
        <w:rPr>
          <w:rFonts w:hint="eastAsia" w:ascii="Times New Roman" w:hAnsi="Times New Roman" w:eastAsia="方正仿宋简体" w:cs="宋体"/>
          <w:color w:val="000000"/>
          <w:kern w:val="0"/>
          <w:sz w:val="32"/>
          <w:szCs w:val="32"/>
        </w:rPr>
        <w:t>办法第二条第（五）项中“知识产权海外保险”是指“知识产权海外侵权责任保险”“境外展会专利纠纷法律费用保险”“全球知识产权复合险”等承保区域为全球范围或者境外的知识产权保险险种。</w:t>
      </w:r>
    </w:p>
    <w:p w14:paraId="0331830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 </w:t>
      </w:r>
      <w:r>
        <w:rPr>
          <w:rFonts w:hint="eastAsia" w:ascii="Times New Roman" w:hAnsi="Times New Roman" w:eastAsia="方正仿宋简体" w:cs="宋体"/>
          <w:color w:val="000000"/>
          <w:kern w:val="0"/>
          <w:sz w:val="32"/>
          <w:szCs w:val="32"/>
        </w:rPr>
        <w:t>申请办法第二条第（六）项奖励的，应当符合以下条件：</w:t>
      </w:r>
    </w:p>
    <w:p w14:paraId="15DB7B8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人在南沙区工作期间取得专利代理师资格证书、高级知识产权师职称（以证书颁发时间为准），申报时已在南沙区用人单位从事知识产权工作并连续缴纳社保满1年，且与南沙区用人单位签订累计2年以上劳动合同；</w:t>
      </w:r>
    </w:p>
    <w:p w14:paraId="429A0DC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（二）除科研机构外的机关事业单位在编人员不得申报此项奖励。</w:t>
      </w:r>
    </w:p>
    <w:p w14:paraId="127F5A0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本项奖励与《广州南沙国际化人才特区集聚人才九条措施》（穗南开人发〔2023〕1号）中“技能人才、专业技术人才职业能力提升支持”属于同类事项，按就高不重复原则予以扶持。</w:t>
      </w:r>
    </w:p>
    <w:p w14:paraId="2B92827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 </w:t>
      </w:r>
      <w:r>
        <w:rPr>
          <w:rFonts w:hint="eastAsia" w:ascii="Times New Roman" w:hAnsi="Times New Roman" w:eastAsia="方正仿宋简体" w:cs="宋体"/>
          <w:color w:val="000000"/>
          <w:kern w:val="0"/>
          <w:sz w:val="32"/>
          <w:szCs w:val="32"/>
        </w:rPr>
        <w:t>区知识产权行政主管部门负责每年组织或者委托第三方机构组织对办法第二条第（八）项的“知识产权维权援助机构”上一年度绩效完成情况进行考核，考核满分为100分，综合评分达到90分以上（含90分）的，给予50万元资助；综合评分低于90分的，当年度不予资助。具体绩效考核指标如下：</w:t>
      </w:r>
    </w:p>
    <w:p w14:paraId="030A334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1.申请人应当是经国家、省、市批准挂牌的公益性知识产权维权援助机构；</w:t>
      </w:r>
    </w:p>
    <w:p w14:paraId="7E9030A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了解南沙区重点产业知识产权维权保护的相关状况，具备提供知识产权侵权判定、专家论证、纠纷调解、知识产权申请授权程序和法律状态咨询的能力，建立了完善的知识产权维权援助工作制度，为企业提供维权援助服务（分值10分）；</w:t>
      </w:r>
    </w:p>
    <w:p w14:paraId="7D6AECB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3.具有不少于100m</w:t>
      </w:r>
      <w:r>
        <w:rPr>
          <w:rFonts w:hint="eastAsia" w:ascii="Times New Roman" w:hAnsi="Times New Roman" w:eastAsia="方正仿宋简体" w:cs="宋体"/>
          <w:color w:val="000000"/>
          <w:kern w:val="0"/>
          <w:sz w:val="32"/>
          <w:szCs w:val="32"/>
          <w:vertAlign w:val="superscript"/>
        </w:rPr>
        <w:t>2</w:t>
      </w:r>
      <w:r>
        <w:rPr>
          <w:rFonts w:hint="eastAsia" w:ascii="Times New Roman" w:hAnsi="Times New Roman" w:eastAsia="方正仿宋简体" w:cs="宋体"/>
          <w:color w:val="000000"/>
          <w:kern w:val="0"/>
          <w:sz w:val="32"/>
          <w:szCs w:val="32"/>
        </w:rPr>
        <w:t>固定办公场所及必要的服务设施、设备等，配备3人以上知识产权维权援助专业工作团队，具备维权援助的经验及能力（分值10分）；</w:t>
      </w:r>
    </w:p>
    <w:p w14:paraId="1EB9D77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4.建立知识产权维权援助网站，推广宣传政策法规、维权案例、行业动态等资讯，提供快速便捷的线上维权援助申请渠道（分值15分）；</w:t>
      </w:r>
    </w:p>
    <w:p w14:paraId="0896D5E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5.建立侵权判定咨询机制或专家咨询服务机制，具备不少于50人的知识产权专家库，年度开展维权援助咨询服务不少于100次（分值20分）；</w:t>
      </w:r>
    </w:p>
    <w:p w14:paraId="5187D18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6.开展相关重点产业知识产权维权状况调研，了解相关重点产业企业知识产权情况及维权情况，建立知识产权维权援助案件台账，年度受理知识产权维权援助案件不少于30件，向重点产业企业或权利人提供知识产权侵权技术咨询判定意见不少于20份（分值30分）；</w:t>
      </w:r>
    </w:p>
    <w:p w14:paraId="395068B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7.年度举办公益类的知识产权维权援助活动不少于2场，累计参与人数不少于100人次（分值15分）。</w:t>
      </w:r>
    </w:p>
    <w:p w14:paraId="55CEF6F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w:t>
      </w:r>
      <w:r>
        <w:rPr>
          <w:rFonts w:hint="eastAsia" w:ascii="Times New Roman" w:hAnsi="Times New Roman" w:eastAsia="方正仿宋简体" w:cs="宋体"/>
          <w:color w:val="000000"/>
          <w:kern w:val="0"/>
          <w:sz w:val="32"/>
          <w:szCs w:val="32"/>
        </w:rPr>
        <w:t> 区知识产权行政主管部门负责每年组织或者委托第三方机构组织对办法第二条第（八）项的“社会组织”上一年度绩效完成情况进行考核，考核满分为100分，综合评分达到90分以上（含90分）的，给予10万元资助；综合评分低于90分的，当年度不予资助。具体绩效考核指标如下：</w:t>
      </w:r>
    </w:p>
    <w:p w14:paraId="3C239EB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1.申请人应当是依照《社会团体登记管理条例》登记成立，以推动知识产权发展为目的并对外提供知识产权公益性服务的非营利性社会组织；</w:t>
      </w:r>
    </w:p>
    <w:p w14:paraId="278072E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具有健全的管理制度和章程，会员单位在100家以上，搭建政府、企业、高校、科研机构等知识产权交流互动平台，建立沟通交流机制，开展区内知识产权管理人员、技术人员交流座谈活动不少于2次（分值30分）；</w:t>
      </w:r>
    </w:p>
    <w:p w14:paraId="5973506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利用网站、期刊、公众号等宣贯解读知识产权政策法规，分享企业、高校、服务机构等知识产权行业动态、活动、管理经验和优秀案例等，传播知识产权文化，宣传推广区内知识产权工作情况和创新成果，发布宣传文稿10篇以上（分值30分）；</w:t>
      </w:r>
    </w:p>
    <w:p w14:paraId="356C102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4.整合线上和线下资源，免费为全区创新主体和社会公众开展知识产权咨询、检索、对接、培训等公共服务，年度走访服务企业不少于20家次，提供知识产权公益服务不少于30次（分值40分）。</w:t>
      </w:r>
    </w:p>
    <w:p w14:paraId="11C7CD5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第十三条</w:t>
      </w:r>
      <w:r>
        <w:rPr>
          <w:rFonts w:hint="eastAsia" w:ascii="Times New Roman" w:hAnsi="Times New Roman" w:eastAsia="方正仿宋简体" w:cs="宋体"/>
          <w:color w:val="000000"/>
          <w:kern w:val="0"/>
          <w:sz w:val="32"/>
          <w:szCs w:val="32"/>
        </w:rPr>
        <w:t> 办法第二条第（八）项规定的“高校国家知识产权信息服务中心”“技术与创新中心（TISC）”“国家知识产权信息公共服务网点”“广东省知识产权信息公共服务网点”属于同类事项，按就高不重复原则予以支持。</w:t>
      </w:r>
    </w:p>
    <w:p w14:paraId="2806DDB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第十四条 </w:t>
      </w:r>
      <w:r>
        <w:rPr>
          <w:rFonts w:hint="eastAsia" w:ascii="Times New Roman" w:hAnsi="Times New Roman" w:eastAsia="方正仿宋简体" w:cs="宋体"/>
          <w:color w:val="000000"/>
          <w:kern w:val="0"/>
          <w:sz w:val="32"/>
          <w:szCs w:val="32"/>
        </w:rPr>
        <w:t>申请办法第二条第（九）项奖励的香港、澳门居民，应当符合下列条件之一：</w:t>
      </w:r>
    </w:p>
    <w:p w14:paraId="531F9D6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（一）就业香港、澳门居民应当与南沙区用人单位建立1年以上期限的合法劳动关系，在该用人单位实际工作且连续缴纳社保6个月以上，申请奖励时社保关系在南沙区；</w:t>
      </w:r>
    </w:p>
    <w:p w14:paraId="09B7847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（二）执业香港、澳门居民应当在南沙区用人单位实际从事知识产权相关工作6个月以上；</w:t>
      </w:r>
    </w:p>
    <w:p w14:paraId="74AEAA0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（三）创业香港、澳门居民应当为知识产权服务机构股东，且其企业应在南沙区登记成立并依法履行纳税义务6个月以上。</w:t>
      </w:r>
    </w:p>
    <w:p w14:paraId="59E9F27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除科研机构外的机关事业单位在编人员不得申报本项奖励。</w:t>
      </w:r>
    </w:p>
    <w:p w14:paraId="365AA72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本项奖励与《广州南沙国际化人才特区集聚人才九条措施》（穗南开人发〔2023〕1号）中“技能人才、专业技术人才职业能力提升支持”属于同类事项，按就高不重复原则予以扶持。</w:t>
      </w:r>
    </w:p>
    <w:p w14:paraId="3E9FE24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第十五条 </w:t>
      </w:r>
      <w:r>
        <w:rPr>
          <w:rFonts w:hint="eastAsia" w:ascii="Times New Roman" w:hAnsi="Times New Roman" w:eastAsia="方正仿宋简体" w:cs="宋体"/>
          <w:color w:val="000000"/>
          <w:kern w:val="0"/>
          <w:sz w:val="32"/>
          <w:szCs w:val="32"/>
        </w:rPr>
        <w:t>办法第二条第（九）项涉及的《广州南沙深化面向世界的粤港澳全面合作总体方案》税收优惠政策的具体申报条件、申报程序、实施期限等，按照《财政部 税务总局关于广州南沙企业所得税优惠政策的通知》（财税〔2022〕40号）、《财政部 税务总局关于广州南沙个人所得税优惠政策的通知》（财税〔2022〕29号）及省、市、区有关政策文件规定执行。</w:t>
      </w:r>
    </w:p>
    <w:p w14:paraId="2A8E803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第十六条</w:t>
      </w:r>
      <w:r>
        <w:rPr>
          <w:rFonts w:hint="eastAsia" w:ascii="Times New Roman" w:hAnsi="Times New Roman" w:eastAsia="方正仿宋简体" w:cs="宋体"/>
          <w:color w:val="000000"/>
          <w:kern w:val="0"/>
          <w:sz w:val="32"/>
          <w:szCs w:val="32"/>
        </w:rPr>
        <w:t> 申请人存在以下情形之一的，不予扶持：</w:t>
      </w:r>
    </w:p>
    <w:p w14:paraId="1579AA3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（一）单位被列入严重失信主体名单的，该单位及其工作人员不予扶持；个人被列入严重失信主体名单的，不予扶持；</w:t>
      </w:r>
    </w:p>
    <w:p w14:paraId="54B8765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单位在奖励扶持年度内因存在违法违规行为受到严重行政处罚（含“一票否决”事项）的，该单位及其工作人员不予扶持；单位涉嫌犯罪被立案查处尚未结案的，该单位及其工作人员暂缓扶持；单位涉嫌犯罪依法移送司法机关处理后被判定构成犯罪的，该单位及其工作人员不予扶持；</w:t>
      </w:r>
    </w:p>
    <w:p w14:paraId="2A0EBDB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个人在奖励扶持年度内因存在违法违规行为受到严重行政处罚（含“一票否决”事项）的，不予扶持；个人涉嫌犯罪被立案查处尚未结案的，暂缓扶持；个人涉嫌犯罪依法移送司法机关处理后被判定构成犯罪的，不予扶持；</w:t>
      </w:r>
    </w:p>
    <w:p w14:paraId="74238AB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（三）申请人截至申请之日3年内存在承担区知识产权项目验收未通过情形的，不予扶持；</w:t>
      </w:r>
    </w:p>
    <w:p w14:paraId="7901B29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（四）其他按规定不予扶持的情形。</w:t>
      </w:r>
    </w:p>
    <w:p w14:paraId="639A402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第十七条 </w:t>
      </w:r>
      <w:r>
        <w:rPr>
          <w:rFonts w:hint="eastAsia" w:ascii="Times New Roman" w:hAnsi="Times New Roman" w:eastAsia="方正仿宋简体" w:cs="宋体"/>
          <w:color w:val="000000"/>
          <w:kern w:val="0"/>
          <w:sz w:val="32"/>
          <w:szCs w:val="32"/>
        </w:rPr>
        <w:t>办法扶持事项按照以下程序管理:</w:t>
      </w:r>
    </w:p>
    <w:p w14:paraId="25FB288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区知识产权行政主管部门负责制定申报指南及申报通知，并通过区政府门户网站等途径公开发布。申报指南应当明确具体扶持项目申请条件、申请要求、时间期限等，申请人应当按照申报指南要求提交申请材料；</w:t>
      </w:r>
    </w:p>
    <w:p w14:paraId="5874018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（二）受理。区政策兑现窗口负责受理申请材料，对申请材料不完善的，限期要求予以补正；申请人未按照要求补正的，视为放弃申请；</w:t>
      </w:r>
    </w:p>
    <w:p w14:paraId="4591575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部门审查。区知识产权行政主管部门负责会同区内相关部门对申请材料、申请人违法违规情况和信用状况等进行核查，必要时可以委托第三方机构进行评审，经部门集体研究审议后，形成扶持资金安排方案；</w:t>
      </w:r>
    </w:p>
    <w:p w14:paraId="09EB225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区评审小组审定。区知识产权行政主管部门负责提请分管区领导主持召开由区政策研究、财政、统计、行政审批、人才、人社等部门组成的区评审小组会议，对扶持资金安排方案进行审定；区评审小组成员单位根据具体扶持事项确定；</w:t>
      </w:r>
    </w:p>
    <w:p w14:paraId="11562F7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（五）公示。区知识产权行政主管部门负责将通过审定的扶持资金安排方案通过区政府门户网站等途径向社会公示，公示期限不少于7个工作日。</w:t>
      </w:r>
    </w:p>
    <w:p w14:paraId="15CBEA2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公示期满无异议的，区知识产权行政主管部门按《广州南沙本级部门预算管理办法》（穗南开管办函〔2021〕4号）等规定程序申请办理拨付扶持资金。</w:t>
      </w:r>
    </w:p>
    <w:p w14:paraId="203161C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示期限内社会公众提出异议的，由区知识产权行政主管部门负责复核，经复核认定异议不成立的，经分管区领导审批同意后按照区评审小组原评审意见执行；经复核认定异议成立或者确有其他影响扶持的情况的，提请区评审小组再次审议。区知识产权行政主管部门应当及时将有关复核、复审情况反馈异议人、申请人。</w:t>
      </w:r>
    </w:p>
    <w:p w14:paraId="79F42A0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第十八条 </w:t>
      </w:r>
      <w:r>
        <w:rPr>
          <w:rFonts w:hint="eastAsia" w:ascii="Times New Roman" w:hAnsi="Times New Roman" w:eastAsia="方正仿宋简体" w:cs="宋体"/>
          <w:color w:val="000000"/>
          <w:kern w:val="0"/>
          <w:sz w:val="32"/>
          <w:szCs w:val="32"/>
        </w:rPr>
        <w:t>本实施细则涉及“低于”的表述，不包含本数。</w:t>
      </w:r>
    </w:p>
    <w:p w14:paraId="0BF7096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关于市内跨区迁移企业的政策扶持，按照广州市有关规定执行。如涉及预算划转的上解资金，应在政策兑现时按规定予以扣减。</w:t>
      </w:r>
    </w:p>
    <w:p w14:paraId="02497D2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办法涉及的扶持资金为税前金额，扶持个人的，由支付单位依法代扣代缴相关个人所得税；扶持单位的，由申请单位依法办理纳税申报。</w:t>
      </w:r>
    </w:p>
    <w:p w14:paraId="396D8AC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第</w:t>
      </w:r>
      <w:r>
        <w:rPr>
          <w:rFonts w:hint="eastAsia" w:ascii="Times New Roman" w:hAnsi="Times New Roman" w:eastAsia="方正仿宋简体" w:cs="宋体"/>
          <w:b/>
          <w:bCs/>
          <w:color w:val="000000"/>
          <w:kern w:val="0"/>
          <w:sz w:val="32"/>
          <w:szCs w:val="32"/>
        </w:rPr>
        <w:t>十九条</w:t>
      </w:r>
      <w:r>
        <w:rPr>
          <w:rFonts w:hint="eastAsia" w:ascii="Times New Roman" w:hAnsi="Times New Roman" w:eastAsia="方正仿宋简体" w:cs="宋体"/>
          <w:color w:val="000000"/>
          <w:kern w:val="0"/>
          <w:sz w:val="32"/>
          <w:szCs w:val="32"/>
        </w:rPr>
        <w:t> 本实施细则自印发之日起施行，有效期至2028年10月12日。因办法所涉扶持资金属于事后奖补，自办法印发实施当年起，每年对上一年度符合条件的事项依照办法规定进行扶持，办法中涉及“申报年度”的具体起止时间以申报指南为准。区知识产权行政主管部门可以根据实际情况在具体项目完成年度提前组织开展申报兑现工作。</w:t>
      </w:r>
    </w:p>
    <w:p w14:paraId="52A7BB1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本实施细则有效期内如遇法律法规或有关政策调整变化的，从其规定。</w:t>
      </w:r>
    </w:p>
    <w:p w14:paraId="4FE5D36A">
      <w:pPr>
        <w:rPr>
          <w:rFonts w:ascii="Times New Roman" w:hAnsi="Times New Roman" w:eastAsia="方正仿宋简体" w:cs="Times New Roman"/>
          <w:color w:val="000000"/>
          <w:sz w:val="32"/>
          <w:szCs w:val="32"/>
        </w:rPr>
      </w:pPr>
    </w:p>
    <w:p w14:paraId="7B7A2717">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9.12广州市越秀区优化营商环境促进新质生产力发展实施方案</w:t>
      </w:r>
    </w:p>
    <w:p w14:paraId="547049F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落实国家、省市关于全面优化营商环境的决策部署，全面落实省市关于实施“百县千镇万村高质量发展工程”促进城乡区域协调发展的部署要求，打造一流营商环境，营造产业友好型、企业友好型、企业家友好型营商环境，建设全国产业生态最好、政务服务最优、综合成本最低的营商环境高地，高水平高标准建设老城市新活力引领区，打造高能级国际大都市核心区，结合我区实际，特制定本实施方案。</w:t>
      </w:r>
    </w:p>
    <w:p w14:paraId="3B896BA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一、工作目标</w:t>
      </w:r>
    </w:p>
    <w:p w14:paraId="2E7204B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以习近平新时代中国特色社会主义思想为指导，围绕新质生产力发展主线，推动体制机制变革，不断调整生产关系，以改革创新为经济发展注入源源动力。对标国际一流水平，以优良营商环境充分激发市场主体的活力、发挥社会创造力，不断催生新产业、新模式、新动能，完善现代化产业体系，服务“百县千镇万村高质量发展工程”，切实助力经济高质量发展。</w:t>
      </w:r>
    </w:p>
    <w:p w14:paraId="5A466E1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二、主要任务</w:t>
      </w:r>
    </w:p>
    <w:p w14:paraId="07F0D1A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（一）优化产业空间配套供给</w:t>
      </w:r>
    </w:p>
    <w:p w14:paraId="47EBD58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1.拓展商业空间。</w:t>
      </w:r>
      <w:r>
        <w:rPr>
          <w:rFonts w:hint="eastAsia" w:ascii="Times New Roman" w:hAnsi="Times New Roman" w:eastAsia="方正仿宋简体" w:cs="宋体"/>
          <w:color w:val="000000"/>
          <w:kern w:val="0"/>
          <w:sz w:val="32"/>
          <w:szCs w:val="32"/>
        </w:rPr>
        <w:t>持续优化“一横三纵三片”总体空间布局，强力推进广州站片区改造，推动种子地块率先突破。完善环市东、五羊新城片区有机更新规划，加速融通广场、区工商联大厦等项目落地，争取全区新增商业面积8万平方米。充分盘活低效用地和公有物业，推动广大路、动物园北门等地块收储，首批打造4处公房整幢改造示范工程。</w:t>
      </w:r>
    </w:p>
    <w:p w14:paraId="76E7A71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2.专业市场升级。</w:t>
      </w:r>
      <w:r>
        <w:rPr>
          <w:rFonts w:hint="eastAsia" w:ascii="Times New Roman" w:hAnsi="Times New Roman" w:eastAsia="方正仿宋简体" w:cs="宋体"/>
          <w:color w:val="000000"/>
          <w:kern w:val="0"/>
          <w:sz w:val="32"/>
          <w:szCs w:val="32"/>
        </w:rPr>
        <w:t>引导民营企业加强品牌培育，办好采购节、美妆节等节庆活动，打造区域专业市场品牌，支持专业市场线上线下融合发展、内外贸融合发展、批零融合发展，推动一德路商圈传统业态向新业态转型。</w:t>
      </w:r>
    </w:p>
    <w:p w14:paraId="122FB7F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3.整治交通堵点。</w:t>
      </w:r>
      <w:r>
        <w:rPr>
          <w:rFonts w:hint="eastAsia" w:ascii="Times New Roman" w:hAnsi="Times New Roman" w:eastAsia="方正仿宋简体" w:cs="宋体"/>
          <w:color w:val="000000"/>
          <w:kern w:val="0"/>
          <w:sz w:val="32"/>
          <w:szCs w:val="32"/>
        </w:rPr>
        <w:t>开展多部门联动治理，提升轨道交通站点共享单车停放秩序，保持4+N小组日常运行机制，持续做好地铁站口综合整治和秩序维护，重点对西门口、农讲所、越秀公园、三元里等地铁站口开展常态化整治。</w:t>
      </w:r>
    </w:p>
    <w:p w14:paraId="132EDBC7">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4.改善停车体验。</w:t>
      </w:r>
      <w:r>
        <w:rPr>
          <w:rFonts w:hint="eastAsia" w:ascii="Times New Roman" w:hAnsi="Times New Roman" w:eastAsia="方正仿宋简体" w:cs="宋体"/>
          <w:color w:val="000000"/>
          <w:kern w:val="0"/>
          <w:sz w:val="32"/>
          <w:szCs w:val="32"/>
        </w:rPr>
        <w:t>进一步挖掘区域闲置空地、边角用地、公共设施闲置空间等资源潜力，增设临时停车设施，推动停车场“平改立”，新建5个停车场，新增停车泊位200个以上。探索实施“先离场、后付费”“信用+停车”模式，减少离场排队时间，优化升级停车信息服务平台，向市民提供不少于4.6万个经营性停车泊位的实时动态信息，提高既有停车资源利用效率。</w:t>
      </w:r>
    </w:p>
    <w:p w14:paraId="325C97E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（二）夯实创新创业要素保障</w:t>
      </w:r>
    </w:p>
    <w:p w14:paraId="4EFF0CA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5.加速科研成果转化。</w:t>
      </w:r>
      <w:r>
        <w:rPr>
          <w:rFonts w:hint="eastAsia" w:ascii="Times New Roman" w:hAnsi="Times New Roman" w:eastAsia="方正仿宋简体" w:cs="宋体"/>
          <w:color w:val="000000"/>
          <w:kern w:val="0"/>
          <w:sz w:val="32"/>
          <w:szCs w:val="32"/>
        </w:rPr>
        <w:t>全面摸查区内大院大所情况，对接智能制造装备与技术国地联合工程研究中心、省人民医院药物/医疗器械临床试验（GCP）中心、干细胞与再生医学国家地方联合工程研究中心、省能源经济大数据实验室等研究机构协同打造新质生产力应用场景。构建行业龙头企业、专精特新企业、高校和科研院所组成的创新联合体，构建战略性新兴产业“半小时科研圈”“1小时产业圈”。加快完善科技成果从研发端向企业端转化渠道，加强高校合作，支持落地医工融合、概念验证、成果转化、临床应用服务等专业服务平台。推动知识产权服务资源向超高清视频和新型显示、生物医药与健康等战略性新兴产业和新能源汽车等先进制造业集群汇聚。</w:t>
      </w:r>
    </w:p>
    <w:p w14:paraId="0291DC4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6.打造“越创未来”品牌</w:t>
      </w:r>
      <w:r>
        <w:rPr>
          <w:rFonts w:hint="eastAsia" w:ascii="Times New Roman" w:hAnsi="Times New Roman" w:eastAsia="方正仿宋简体" w:cs="宋体"/>
          <w:color w:val="000000"/>
          <w:kern w:val="0"/>
          <w:sz w:val="32"/>
          <w:szCs w:val="32"/>
        </w:rPr>
        <w:t>。围绕企业“起步-初创-加速-成熟-上市”建立全周期全要素创业服务体系，集聚区内众创空间、孵化器、科技园区资源优势，制作“创业者地图”，通过营商环境专栏等渠道全面展示区内创新创业全流程服务。全面梳理创新创业服务事项，提供商业计划书、人才招聘、公司章程代拟等投资创业“零成本”一条龙服务。依法推动与区内、省内外高校建立常态化创业项目承接机制，批量承接高校创业项目，完成项目过渡加速融资，助力创业团队成熟上市。</w:t>
      </w:r>
    </w:p>
    <w:p w14:paraId="0E02740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7.强化特色金融支撑。</w:t>
      </w:r>
      <w:r>
        <w:rPr>
          <w:rFonts w:hint="eastAsia" w:ascii="Times New Roman" w:hAnsi="Times New Roman" w:eastAsia="方正仿宋简体" w:cs="宋体"/>
          <w:color w:val="000000"/>
          <w:kern w:val="0"/>
          <w:sz w:val="32"/>
          <w:szCs w:val="32"/>
        </w:rPr>
        <w:t>选择试点街道组建融资服务工作专班，搭建银企对接平台。开展金融服务进园区、进楼宇、进市场、进企业等活动，对重点楼宇、重点企业开展信用监测，精准信用画像，强化企业信贷数据支持；常态化收集办理企业融资诉求，为各基层商（协）会配备专属融资服务顾问，提升贷款可得性。探索绿色金融，鼓励区内金融机构研发绿色金融专属产品，探索以节能改造项目为主体，为企业提供专项贷款，激发企业节能降碳内生动力，创新绿色金融供给模式。</w:t>
      </w:r>
    </w:p>
    <w:p w14:paraId="03E82EB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8.建设国际人才高地。</w:t>
      </w:r>
      <w:r>
        <w:rPr>
          <w:rFonts w:hint="eastAsia" w:ascii="Times New Roman" w:hAnsi="Times New Roman" w:eastAsia="方正仿宋简体" w:cs="宋体"/>
          <w:color w:val="000000"/>
          <w:kern w:val="0"/>
          <w:sz w:val="32"/>
          <w:szCs w:val="32"/>
        </w:rPr>
        <w:t>推动新一轮“越揽众星”人才项目落地，擦亮“大家归秀”人才服务品牌，完善区人才公寓政策，拓展“越秀高端人才 VIP 卡”服务项目，组建常态化人才政策宣讲队伍，畅通项目申报服务渠道，提升越秀国际人才中心服务能级。</w:t>
      </w:r>
    </w:p>
    <w:p w14:paraId="2A06A25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9.激发商圈消费活力。</w:t>
      </w:r>
      <w:r>
        <w:rPr>
          <w:rFonts w:hint="eastAsia" w:ascii="Times New Roman" w:hAnsi="Times New Roman" w:eastAsia="方正仿宋简体" w:cs="宋体"/>
          <w:color w:val="000000"/>
          <w:kern w:val="0"/>
          <w:sz w:val="32"/>
          <w:szCs w:val="32"/>
        </w:rPr>
        <w:t>以“古越今秀 悦享精彩”为主题，持续举办消费促进活动，组织推动北京路-海珠广场片区、环市东片区，中山三路-农林下路片区申报广州市首批羊城夜市先行区。持续通过多渠道宣传发动消费券活动参与方式，激发民营企业参与积极性，让更多企业参加“广东‘粤消费 粤精彩’消费券活动”等省市消费券活动。</w:t>
      </w:r>
    </w:p>
    <w:p w14:paraId="4A5A3DD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（三）探索跨域资源交融协作</w:t>
      </w:r>
    </w:p>
    <w:p w14:paraId="2EA8DF5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10.探索“信用+文旅”场景。</w:t>
      </w:r>
      <w:r>
        <w:rPr>
          <w:rFonts w:hint="eastAsia" w:ascii="Times New Roman" w:hAnsi="Times New Roman" w:eastAsia="方正仿宋简体" w:cs="宋体"/>
          <w:color w:val="000000"/>
          <w:kern w:val="0"/>
          <w:sz w:val="32"/>
          <w:szCs w:val="32"/>
        </w:rPr>
        <w:t>借鉴“信游长三角”思路理念，挖掘粤港澳大湾区内文化旅游、餐饮美食、商圈购物等优质资源，以守信激励为纽带，主动与佛山、惠州等地对接交流合作打造信用促消费品牌。</w:t>
      </w:r>
    </w:p>
    <w:p w14:paraId="3490F66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11.深化跨区对口协作。</w:t>
      </w:r>
      <w:r>
        <w:rPr>
          <w:rFonts w:hint="eastAsia" w:ascii="Times New Roman" w:hAnsi="Times New Roman" w:eastAsia="方正仿宋简体" w:cs="宋体"/>
          <w:color w:val="000000"/>
          <w:kern w:val="0"/>
          <w:sz w:val="32"/>
          <w:szCs w:val="32"/>
        </w:rPr>
        <w:t>聚焦开办企业、市场监管政务服务等领域，推进营商环境对口协作，依托数字政府平台支撑，深化“一网通办”“一网统管”一网协同”一网共享”水平，协助打造粤西地区先进营商环境品牌。支持综合性“反向飞地”园区建设，将分散在各前台的招商、展示、孵化、引才等功能进行聚合优化，选取合适产业园区，共建产业转移合作园区，在建设资金、产业规划、招商引资等方面给予支持，共同打造“总部+基地”经济，形成双区联动、共进模式。</w:t>
      </w:r>
    </w:p>
    <w:p w14:paraId="1EFC796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12.强化跨境纠纷调解。</w:t>
      </w:r>
      <w:r>
        <w:rPr>
          <w:rFonts w:hint="eastAsia" w:ascii="Times New Roman" w:hAnsi="Times New Roman" w:eastAsia="方正仿宋简体" w:cs="宋体"/>
          <w:color w:val="000000"/>
          <w:kern w:val="0"/>
          <w:sz w:val="32"/>
          <w:szCs w:val="32"/>
        </w:rPr>
        <w:t>以涉外案件集中管辖为基础，发挥“越秀区涉港澳商事多元解纷服务站”等法律服务新模式作用，创新域外法律查明与适用机制，完善涉外涉港澳纠纷调解机制，拓宽域外委托送达渠道，加大港澳特邀调解员参与案件调解介入力度，推动港澳籍人民陪审员参与案件庭审，发挥越秀首家粤港联营律师事务所优势，吸引更多涉外法律服务人才集聚，深化与高校合作，加强涉外法治人才培养，擦亮涉外民商事案件集中审判“越秀品牌”，主动融入广州湾区中央法务区建设。</w:t>
      </w:r>
    </w:p>
    <w:p w14:paraId="3393220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（四）迭代升级新质政务服务</w:t>
      </w:r>
    </w:p>
    <w:p w14:paraId="1092D00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13.建设信用服务专区。</w:t>
      </w:r>
      <w:r>
        <w:rPr>
          <w:rFonts w:hint="eastAsia" w:ascii="Times New Roman" w:hAnsi="Times New Roman" w:eastAsia="方正仿宋简体" w:cs="宋体"/>
          <w:color w:val="000000"/>
          <w:kern w:val="0"/>
          <w:sz w:val="32"/>
          <w:szCs w:val="32"/>
        </w:rPr>
        <w:t>改造升级区政务服务中心征信自助查询区域，对接联系中国人民银行征信中心广东分中心，对接企业征信预约取号系统，增设企业信用报告自助查询打印服务，提供全功能、智能化、一站式信用查询服务。</w:t>
      </w:r>
    </w:p>
    <w:p w14:paraId="711C8DF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14.拓展党群“智税圈”。</w:t>
      </w:r>
      <w:r>
        <w:rPr>
          <w:rFonts w:hint="eastAsia" w:ascii="Times New Roman" w:hAnsi="Times New Roman" w:eastAsia="方正仿宋简体" w:cs="宋体"/>
          <w:color w:val="000000"/>
          <w:kern w:val="0"/>
          <w:sz w:val="32"/>
          <w:szCs w:val="32"/>
        </w:rPr>
        <w:t>持续深化家门口党群“智税圈”项目建设，推动智税服务站点于全区18条街道全面覆盖，深化拓展智能双屏辅导机和远程辅导平台的应用，引导更多的纳税人缴费人“线上办”“就近办”。</w:t>
      </w:r>
    </w:p>
    <w:p w14:paraId="177EC1F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15.构建常态沟通机制。</w:t>
      </w:r>
      <w:r>
        <w:rPr>
          <w:rFonts w:hint="eastAsia" w:ascii="Times New Roman" w:hAnsi="Times New Roman" w:eastAsia="方正仿宋简体" w:cs="宋体"/>
          <w:color w:val="000000"/>
          <w:kern w:val="0"/>
          <w:sz w:val="32"/>
          <w:szCs w:val="32"/>
        </w:rPr>
        <w:t>将每月18日（遇节假日顺延）作为“越秀区工商联民企接待日”，与企业代表面对面问需求、谈服务、提意见，聚焦时事热点、行业趋势、创新提升、经营理念、企业文化等话题，听取企业意见建议，助力企业诉求问题及时响应解决。依托政府网站、政务公众号等及时宣贯涉企政策，强化国家专精特新“小巨人”企业辅导培育。建立区促进中小企业（民营企业）发展工作领导小组长效统筹协调机制，通过走访、调研等及时协调解决企业诉求，协调督导相关部门落实解决。</w:t>
      </w:r>
    </w:p>
    <w:p w14:paraId="639ED139">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16.增强政策兑现集成。</w:t>
      </w:r>
      <w:r>
        <w:rPr>
          <w:rFonts w:hint="eastAsia" w:ascii="Times New Roman" w:hAnsi="Times New Roman" w:eastAsia="方正仿宋简体" w:cs="宋体"/>
          <w:color w:val="000000"/>
          <w:kern w:val="0"/>
          <w:sz w:val="32"/>
          <w:szCs w:val="32"/>
        </w:rPr>
        <w:t>全面梳理现行财政补贴事项，推动各补贴业务主管部门将补贴申领事项归口统一平台，纳入一体化在线政务服务，实现财政补贴政策“一链条”业务办理和“一张网”监督。</w:t>
      </w:r>
    </w:p>
    <w:p w14:paraId="1CE86B19">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17.多语种AI服务升级。</w:t>
      </w:r>
      <w:r>
        <w:rPr>
          <w:rFonts w:hint="eastAsia" w:ascii="Times New Roman" w:hAnsi="Times New Roman" w:eastAsia="方正仿宋简体" w:cs="宋体"/>
          <w:color w:val="000000"/>
          <w:kern w:val="0"/>
          <w:sz w:val="32"/>
          <w:szCs w:val="32"/>
        </w:rPr>
        <w:t>结合港澳人士表达、书写习惯，开发繁体字、粤语等办事通道，升级“艾小越”粤语等多语种服务功能，为港澳人士提供专门服务。</w:t>
      </w:r>
    </w:p>
    <w:p w14:paraId="313F196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（五）营造公平公正市场环境</w:t>
      </w:r>
    </w:p>
    <w:p w14:paraId="5543105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18.优化公平竞争审查。</w:t>
      </w:r>
      <w:r>
        <w:rPr>
          <w:rFonts w:hint="eastAsia" w:ascii="Times New Roman" w:hAnsi="Times New Roman" w:eastAsia="方正仿宋简体" w:cs="宋体"/>
          <w:color w:val="000000"/>
          <w:kern w:val="0"/>
          <w:sz w:val="32"/>
          <w:szCs w:val="32"/>
        </w:rPr>
        <w:t>持续推动落实公平竞争审查制度，指导区各政策制定机关做好公平竞争审查自我审查工作，组织区各政策制定机关清理妨碍统一大市场和公平竞争的政策措施，借助第三方机构专业力量，对区重大行政决策文件开展复审，对全区公平竞争审查制度总体实施情况开展评估。</w:t>
      </w:r>
    </w:p>
    <w:p w14:paraId="0CC555C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19.规范公正文明执法。</w:t>
      </w:r>
      <w:r>
        <w:rPr>
          <w:rFonts w:hint="eastAsia" w:ascii="Times New Roman" w:hAnsi="Times New Roman" w:eastAsia="方正仿宋简体" w:cs="宋体"/>
          <w:color w:val="000000"/>
          <w:kern w:val="0"/>
          <w:sz w:val="32"/>
          <w:szCs w:val="32"/>
        </w:rPr>
        <w:t>完善信用风险分类监管机制，实行“触发式”监管，除涉及重点监管领域必检事项、投诉举报及监管线索以外，原则上不开展日常检查，同一年内对同一经营主体的随机抽查次数原则上不超过一次。在生态环境、金融、市场监管等领域实施以远程监管、移动监管、预警防控为特征的非现场监管，减少对市场主体的不必要干扰。</w:t>
      </w:r>
    </w:p>
    <w:p w14:paraId="6D476C4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20.深化网络交易监管。</w:t>
      </w:r>
      <w:r>
        <w:rPr>
          <w:rFonts w:hint="eastAsia" w:ascii="Times New Roman" w:hAnsi="Times New Roman" w:eastAsia="方正仿宋简体" w:cs="宋体"/>
          <w:color w:val="000000"/>
          <w:kern w:val="0"/>
          <w:sz w:val="32"/>
          <w:szCs w:val="32"/>
        </w:rPr>
        <w:t>依托国家网络交易监管平台及省、市监管系统，顺畅国家、省、市、区、所五级联动，强化线索处置反馈，加强对数据信息的综合分析运用及研判评估，提升“以网管网”工作水平。</w:t>
      </w:r>
    </w:p>
    <w:p w14:paraId="19DDA3E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三、保障措施</w:t>
      </w:r>
    </w:p>
    <w:p w14:paraId="3BE77AB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（一）加强统筹协调。</w:t>
      </w:r>
      <w:r>
        <w:rPr>
          <w:rFonts w:hint="eastAsia" w:ascii="Times New Roman" w:hAnsi="Times New Roman" w:eastAsia="方正仿宋简体" w:cs="宋体"/>
          <w:color w:val="000000"/>
          <w:kern w:val="0"/>
          <w:sz w:val="32"/>
          <w:szCs w:val="32"/>
        </w:rPr>
        <w:t>区全面优化营商环境领导小组办公室统筹推进改革，调度改革过程中遇到的困难问题。区各有关部门要牢固树立“一盘棋”思想，将优化营商环境作为2024年全区高质量发展的“一把手工程”，进一步提高政治站位，强化问题专题研究、事项协同解决，确保改革任务相互协调、改革进程前后衔接、改革成果彼此配套。</w:t>
      </w:r>
    </w:p>
    <w:p w14:paraId="7661BED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（二）强化督查考核。</w:t>
      </w:r>
      <w:r>
        <w:rPr>
          <w:rFonts w:hint="eastAsia" w:ascii="Times New Roman" w:hAnsi="Times New Roman" w:eastAsia="方正仿宋简体" w:cs="宋体"/>
          <w:color w:val="000000"/>
          <w:kern w:val="0"/>
          <w:sz w:val="32"/>
          <w:szCs w:val="32"/>
        </w:rPr>
        <w:t>完善优化营商环境工作常态化督查机制和考核评估机制，定期报送营商环境改革政策落地情况和存在问题。根据市的工作部署开展营商环境专项督查整治，对发现问题真抓实改、举一反三，对整改过程中行之有效的工作措施和经验做法，及时转化为完善和规范相关工作的长效机制。强化目标责任，将优化营商环境工作纳入相关单位年度机关绩效考核内容。</w:t>
      </w:r>
    </w:p>
    <w:p w14:paraId="32CF9E41">
      <w:pPr>
        <w:widowControl/>
        <w:spacing w:line="510" w:lineRule="atLeast"/>
        <w:ind w:firstLine="48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（三）加强宣传推介。</w:t>
      </w:r>
      <w:r>
        <w:rPr>
          <w:rFonts w:hint="eastAsia" w:ascii="Times New Roman" w:hAnsi="Times New Roman" w:eastAsia="方正仿宋简体" w:cs="宋体"/>
          <w:color w:val="000000"/>
          <w:kern w:val="0"/>
          <w:sz w:val="32"/>
          <w:szCs w:val="32"/>
        </w:rPr>
        <w:t>开展政策进园区、进企业等精准宣传推广工作，提高覆盖面和可及性。充分利用报纸、广播、电视、网络、新媒体等载体，采取“一图读懂”、政策问答等多种形式进行广泛深入宣传解读，及时总结各部门改革创新典型做法，形成我区营商环境改革特色亮点成效积极宣传推广，切实提高全社会对营商环境改革的认知度。</w:t>
      </w:r>
    </w:p>
    <w:p w14:paraId="0638BFBA">
      <w:pPr>
        <w:widowControl/>
        <w:spacing w:line="510" w:lineRule="atLeast"/>
        <w:rPr>
          <w:rFonts w:hint="eastAsia" w:ascii="Times New Roman" w:hAnsi="Times New Roman" w:eastAsia="方正仿宋简体" w:cs="宋体"/>
          <w:color w:val="000000"/>
          <w:kern w:val="0"/>
          <w:sz w:val="32"/>
          <w:szCs w:val="32"/>
        </w:rPr>
      </w:pPr>
    </w:p>
    <w:p w14:paraId="3E417BD6">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9.13广州市荔湾区市场监督管理局关于印发广州市荔湾区实施标准化战略专项资金管理办法的通知</w:t>
      </w:r>
    </w:p>
    <w:p w14:paraId="55966B4F">
      <w:pPr>
        <w:widowControl/>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各有关单位：</w:t>
      </w:r>
    </w:p>
    <w:p w14:paraId="0CF89895">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现将《广州市荔湾区实施标准化战略专项资金管理办法》印发给你们，请认真贯彻执行。执行中遇到问题，请径向荔湾区市场监管局反映。</w:t>
      </w:r>
    </w:p>
    <w:p w14:paraId="21F56B78">
      <w:pPr>
        <w:widowControl/>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635D445C">
      <w:pPr>
        <w:widowControl/>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广州市荔湾区市场监督管理局</w:t>
      </w:r>
    </w:p>
    <w:p w14:paraId="6A3B435A">
      <w:pPr>
        <w:widowControl/>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2024年9月13日</w:t>
      </w:r>
    </w:p>
    <w:p w14:paraId="59D9D887">
      <w:pPr>
        <w:widowControl/>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r>
        <w:rPr>
          <w:rFonts w:hint="eastAsia" w:ascii="Times New Roman" w:hAnsi="Times New Roman" w:eastAsia="方正仿宋简体" w:cs="宋体"/>
          <w:color w:val="000000"/>
          <w:kern w:val="0"/>
          <w:sz w:val="32"/>
          <w:szCs w:val="32"/>
        </w:rPr>
        <w:t>广州市荔湾区实施标准化战略专项资金管理办法</w:t>
      </w:r>
    </w:p>
    <w:p w14:paraId="519FC45F">
      <w:pPr>
        <w:widowControl/>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第一章 总则</w:t>
      </w:r>
    </w:p>
    <w:p w14:paraId="254C8CE3">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第一条 为进一步推动荔湾区标准化战略实施，规范标准化战略专项资金的使用、监督和管理，根据《中华人民共和国标准化法》《中华人民共和国预算法》《国家标准化发展纲要》《广东省标准化条例》《广州市标准化发展实施纲要》等有关规定及要求，结合荔湾区实际，制定本办法。</w:t>
      </w:r>
    </w:p>
    <w:p w14:paraId="05D023A2">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第二条 本办法所称标准化战略专项资金（以下简称专项资金)，是指区财政预算资金安排用于企业、事业单位、其它组织主导或参与标准制修订项目、承担标准化组织项目、承担标准化试点示范项目、获得标准化贡献奖、通过标准创新型企业认定以及获评企业标准“领跑者”等专项资助资金。</w:t>
      </w:r>
    </w:p>
    <w:p w14:paraId="0C693216">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第三条 本办法适用于专项资金的申报、受理、审核、使用、管理等活动。</w:t>
      </w:r>
    </w:p>
    <w:p w14:paraId="705F8D70">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第四条 专项资金的使用和管理遵循“依法依规、公开公正、鼓励先进、规范管理、注重绩效、强化监督”原则，有效发挥财政资金的引导和带动作用。</w:t>
      </w:r>
    </w:p>
    <w:p w14:paraId="1EFB6162">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第五条 专项资金的绩效目标是推动荔湾区标准化战略实施，促进荔湾区标准化深度发展，提升标准化服务经济社会发展和标准化自身发展的能力和水平。</w:t>
      </w:r>
    </w:p>
    <w:p w14:paraId="65E8C1CB">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第六条 申报单位应按照本办法和申报通知要求提交申报材料，并对材料的真实性、合法性、有效性和完整性负责，不得弄虚作假、套取或骗取专项资金。获得资助的申报单位负责资金使用和项目实施，应加强财务管理，并配合市场监督管理部门的监督检查和绩效评价。申报单位应承诺所申报资金用于标准化相关工作，申报单位虚假申报、骗取专项资金的，5年内停止其申报本专项资金资格。</w:t>
      </w:r>
    </w:p>
    <w:p w14:paraId="08CB42B2">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第七条 有下列情况之一的，不予资助，已经资助的，予以追回：</w:t>
      </w:r>
    </w:p>
    <w:p w14:paraId="621B5ADB">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（一）通过弄虚作假、贿赂等不正当手段获取本专项资金的；</w:t>
      </w:r>
    </w:p>
    <w:p w14:paraId="7BAF40C0">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（二）同一项目多头或重复申报本专项资金的；</w:t>
      </w:r>
    </w:p>
    <w:p w14:paraId="1A358558">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（三）申请单位被列入严重失信主体名单的；</w:t>
      </w:r>
    </w:p>
    <w:p w14:paraId="56F18C21">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（四）申请单位已进入破产清算程序的；</w:t>
      </w:r>
    </w:p>
    <w:p w14:paraId="0569D63F">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（五）不符合本办法和申报通知要求的。</w:t>
      </w:r>
    </w:p>
    <w:p w14:paraId="14E22E1E">
      <w:pPr>
        <w:widowControl/>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第二章  资助范围和额度</w:t>
      </w:r>
    </w:p>
    <w:p w14:paraId="2D05DC0C">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第八条 在荔湾区行政区域内依法开展标准化工作的企业、事业单位、其它组织（财政全额核拨单位除外），符合本办法所列使用范围和条件的，可依照本办法的有关规定申报专项资金资助。</w:t>
      </w:r>
    </w:p>
    <w:p w14:paraId="4F00CB86">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第九条 标准化战略专项资金资助的范围和额度：</w:t>
      </w:r>
    </w:p>
    <w:p w14:paraId="382B2C16">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一）主导国际标准、国家标准、行业标准、地方标准、粤港澳大湾区标准制修订的，分别资助不超过10万、6万、5万、4万、4万元；参与国际标准、国家标准、行业标准、地方标准、粤港澳大湾区标准制修订的，分别资助不超过4万、3万、2万、1万、1万元。</w:t>
      </w:r>
    </w:p>
    <w:p w14:paraId="30760B46">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标准制修订的主导单位是指已发布的正式标准文本唯一起草单位或标准“前言”中的排序处于前三的单位。标准文本中没有列出起草单位的，由标准的发布或归口单位出具主导标准制修订的佐证材料。标准制修订的参与单位是指标准文本“前言”中的排序处于第四及以后的单位。</w:t>
      </w:r>
    </w:p>
    <w:p w14:paraId="251F6F0F">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（二）对承担国际、全国、广东省专业标准化技术委员会/分技术委员会秘书处工作的单位，分别资助不超过8万、6万、4万元。</w:t>
      </w:r>
    </w:p>
    <w:p w14:paraId="023A3254">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（三）承担国家级、省级标准化试点示范项目建设的，分别资助不超过10万元、8万元。</w:t>
      </w:r>
    </w:p>
    <w:p w14:paraId="592C300B">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四）获得国际标准化组织标准化高等教育奖、国际标准化组织劳伦斯奖、国际标准化组织杰出成就奖、ISO国际标准化青年专家奖、国际电工委员会开尔文勋爵奖、国际电工委员会托马斯·爱迪生奖、国际电工委员会1906奖、国际电工委员会青年专家称号的，对获奖单位（获奖者所在单位）每项资助不超过10万元;获得中国标准创新贡献奖，对获奖单位（获奖者所在单位）每项资助不超过8万元；获得广东省标准化突出贡献奖，对获奖单位（获奖者所在单位）每项资助不超过5万元。</w:t>
      </w:r>
    </w:p>
    <w:p w14:paraId="17C6DB0E">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（五）首次通过标准创新型企业高级、中级、初级认定的，分别资助不超过6万、4万、1万元。</w:t>
      </w:r>
    </w:p>
    <w:p w14:paraId="3251D144">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（六）获评企业标准“领跑者”的，每项资助不超过1万元。</w:t>
      </w:r>
    </w:p>
    <w:p w14:paraId="12874512">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第十条 区市场监督管理部门负责印发年度标准化战略资金申报通知，申报通知应明确资金申报条件、申报要求、申报时间等，并负责标准化战略资金的具体管理工作，包括征集资助项目、申报受理、项目审核、项目公示、申报专项资金预算、开展项目绩效评价和信息公开等。</w:t>
      </w:r>
    </w:p>
    <w:p w14:paraId="4FAC92EB">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第十一条 申报标准化战略资金的单位应按照申报通知要求进行申报。符合标准化战略资金资助条件的单位应当在申报通知规定的期限内提出资助申报，逾期提出的视为放弃申报。</w:t>
      </w:r>
    </w:p>
    <w:p w14:paraId="7DAE2DDE">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第十二条 标准化战略资金同一项目只能有一个申报单位，两个以上单位同时符合同一项目资助申报条件的，由各单位自行协商，推选申报单位。同一项目只能申报一次资助。</w:t>
      </w:r>
    </w:p>
    <w:p w14:paraId="3A34A46C">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第十三条 除按规定需要保密外，标准化战略资金分配计划向社会公示，公示期为5个工作日。相关单位或个人对公示结果有异议的，可实名向区市场监督管理部门提出书面复核申请，复核申请应明确提请复核的内容、理由及证据材料。区市场监督管理部门应在收到复核申请之日起10个工作日内完成核查并回复申请人。</w:t>
      </w:r>
    </w:p>
    <w:p w14:paraId="7CE53C4F">
      <w:pPr>
        <w:widowControl/>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第三章  资金拨付和管理</w:t>
      </w:r>
    </w:p>
    <w:p w14:paraId="08D6FEE0">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第十四条 专项资金采取直接支付的方式支付，由区市场监督管理部门按照规定办理资金拨付。</w:t>
      </w:r>
    </w:p>
    <w:p w14:paraId="5571D4EF">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第十五条 专项资金实行绩效评价。区财政部门按规定组织实施专项资金绩效评价，区市场监督管理部门按规定开展专项资金绩效自评，深化绩效评价结果应用。获资助单位应按要求配合区市场监督管理部门开展资助项目的绩效评价工作。</w:t>
      </w:r>
    </w:p>
    <w:p w14:paraId="18B199D6">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第十六条 专项资金管理实行责任追究机制。在专项资金管理、使用过程中存在违法违纪行为的，依照有关法律法规规定处理。</w:t>
      </w:r>
    </w:p>
    <w:p w14:paraId="1FF41AE7">
      <w:pPr>
        <w:widowControl/>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第四章  附则</w:t>
      </w:r>
    </w:p>
    <w:p w14:paraId="44782D34">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第十七条 本办法所称国际标准，是指国际标准化组织（ISO）、国际电工委员会（IEC）和国际电信联盟（ITU）发布的国际标准，以及由《采用国际标准管理办法》确认的其他国际组织发布的国际标准。</w:t>
      </w:r>
    </w:p>
    <w:p w14:paraId="487FAADB">
      <w:pPr>
        <w:widowControl/>
        <w:jc w:val="left"/>
        <w:textAlignment w:val="baseline"/>
        <w:rPr>
          <w:rFonts w:hint="eastAsia" w:ascii="Times New Roman" w:hAnsi="Times New Roman" w:eastAsia="方正仿宋简体" w:cs="宋体"/>
          <w:color w:val="000000"/>
          <w:kern w:val="0"/>
          <w:sz w:val="32"/>
          <w:szCs w:val="32"/>
        </w:rPr>
      </w:pPr>
      <w:r>
        <w:rPr>
          <w:rFonts w:ascii="Times New Roman" w:hAnsi="Times New Roman" w:eastAsia="方正仿宋简体" w:cs="宋体"/>
          <w:color w:val="000000"/>
          <w:kern w:val="0"/>
          <w:sz w:val="32"/>
          <w:szCs w:val="32"/>
        </w:rPr>
        <w:t>　　</w:t>
      </w:r>
      <w:r>
        <w:rPr>
          <w:rFonts w:hint="eastAsia" w:ascii="Times New Roman" w:hAnsi="Times New Roman" w:eastAsia="方正仿宋简体" w:cs="宋体"/>
          <w:color w:val="000000"/>
          <w:kern w:val="0"/>
          <w:sz w:val="32"/>
          <w:szCs w:val="32"/>
        </w:rPr>
        <w:t>第十八条 本办法自印发之日起施行，有效期5年。</w:t>
      </w:r>
    </w:p>
    <w:p w14:paraId="02393FF1">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9.24深圳市前海管理局关于印发《前海深港青年梦工场创新创业企业遴选管理办法》的通知</w:t>
      </w:r>
    </w:p>
    <w:p w14:paraId="7303A8EA">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各有关单位：</w:t>
      </w:r>
    </w:p>
    <w:p w14:paraId="34F6107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现将《前海深港青年梦工场创新创业企业遴选管理办法》印发，请遵照执行。</w:t>
      </w:r>
    </w:p>
    <w:p w14:paraId="7648D72C">
      <w:pPr>
        <w:widowControl/>
        <w:shd w:val="clear" w:color="auto" w:fill="FFFFFF"/>
        <w:spacing w:line="57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深圳市前海管理局        </w:t>
      </w:r>
    </w:p>
    <w:p w14:paraId="3A50BAE8">
      <w:pPr>
        <w:widowControl/>
        <w:shd w:val="clear" w:color="auto" w:fill="FFFFFF"/>
        <w:spacing w:line="57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2024年9月24日        </w:t>
      </w:r>
    </w:p>
    <w:p w14:paraId="5DF64CD2">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前海深港青年梦工场创新创业企业遴选管理办法</w:t>
      </w:r>
    </w:p>
    <w:p w14:paraId="343C0BCE">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总  则</w:t>
      </w:r>
    </w:p>
    <w:p w14:paraId="4364030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w:t>
      </w:r>
      <w:r>
        <w:rPr>
          <w:rFonts w:hint="eastAsia" w:ascii="Times New Roman" w:hAnsi="Times New Roman" w:eastAsia="方正仿宋简体" w:cs="宋体"/>
          <w:color w:val="000000"/>
          <w:kern w:val="0"/>
          <w:sz w:val="32"/>
          <w:szCs w:val="32"/>
        </w:rPr>
        <w:t> 为深入贯彻《全面深化前海深港现代服务业合作区改革开放方案》《前海深港现代服务业合作区总体发展规划》关于大力支持港澳青年在前海合作区创业就业的任务要求，加快培育高成长创新型企业，全面深化深港合作，将前海深港青年梦工场（以下简称梦工场）打造为面向香港青年、香港企业的具有国际影响力的创新创业平台，制定本办法。</w:t>
      </w:r>
    </w:p>
    <w:p w14:paraId="78E31D2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w:t>
      </w:r>
      <w:r>
        <w:rPr>
          <w:rFonts w:hint="eastAsia" w:ascii="Times New Roman" w:hAnsi="Times New Roman" w:eastAsia="方正仿宋简体" w:cs="宋体"/>
          <w:color w:val="000000"/>
          <w:kern w:val="0"/>
          <w:sz w:val="32"/>
          <w:szCs w:val="32"/>
        </w:rPr>
        <w:t> 本办法适用于梦工场创新创业企业（团队）的遴选、入驻、出园、退出等管理事项。前海管理局委托运营主体负责梦工场的日常运营和管理。梦工场运营主体组织开展创新创业企业（团队）遴选工作，为企业（团队）提供优质创新创业服务。</w:t>
      </w:r>
    </w:p>
    <w:p w14:paraId="42564187">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w:t>
      </w:r>
      <w:r>
        <w:rPr>
          <w:rFonts w:hint="eastAsia" w:ascii="Times New Roman" w:hAnsi="Times New Roman" w:eastAsia="方正仿宋简体" w:cs="宋体"/>
          <w:color w:val="000000"/>
          <w:kern w:val="0"/>
          <w:sz w:val="32"/>
          <w:szCs w:val="32"/>
        </w:rPr>
        <w:t> 对前海管理局通过协议方式引进的香港高校创新创业平台，入驻该平台的企业（团队），按照香港高校与前海管理局签订的协议约定执行。</w:t>
      </w:r>
    </w:p>
    <w:p w14:paraId="2E14381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w:t>
      </w:r>
      <w:r>
        <w:rPr>
          <w:rFonts w:hint="eastAsia" w:ascii="Times New Roman" w:hAnsi="Times New Roman" w:eastAsia="方正仿宋简体" w:cs="宋体"/>
          <w:color w:val="000000"/>
          <w:kern w:val="0"/>
          <w:sz w:val="32"/>
          <w:szCs w:val="32"/>
        </w:rPr>
        <w:t> 梦工场遴选坚持公平、公正、公开原则，坚持科学决策、民主决策、依法决策，秉持“优中选优”“突出高成长性”理念。</w:t>
      </w:r>
    </w:p>
    <w:p w14:paraId="0946B098">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遴选条件</w:t>
      </w:r>
    </w:p>
    <w:p w14:paraId="70A99F1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w:t>
      </w:r>
      <w:r>
        <w:rPr>
          <w:rFonts w:hint="eastAsia" w:ascii="Times New Roman" w:hAnsi="Times New Roman" w:eastAsia="方正仿宋简体" w:cs="宋体"/>
          <w:color w:val="000000"/>
          <w:kern w:val="0"/>
          <w:sz w:val="32"/>
          <w:szCs w:val="32"/>
        </w:rPr>
        <w:t> 支持香港创新创业企业（团队）入驻梦工场，申请入驻的企业（团队）应当属于人工智能、具身智能、生命健康、文化创意、金融科技等香港重点发展的产业领域，并满足下列条件之一：</w:t>
      </w:r>
    </w:p>
    <w:p w14:paraId="2F1DF425">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（一）获得专业投资机构或者企业股权投资；</w:t>
      </w:r>
    </w:p>
    <w:p w14:paraId="7D5B4D8B">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（二）获得香港特别行政区政府部门、法定机构、公营机构、高校等资助（投资）；</w:t>
      </w:r>
    </w:p>
    <w:p w14:paraId="57CDA10C">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（三）获得粤港澳大湾区创新创业大赛三等奖及以上。</w:t>
      </w:r>
    </w:p>
    <w:p w14:paraId="475E993B">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w:t>
      </w:r>
      <w:r>
        <w:rPr>
          <w:rFonts w:hint="eastAsia" w:ascii="Times New Roman" w:hAnsi="Times New Roman" w:eastAsia="方正仿宋简体" w:cs="宋体"/>
          <w:color w:val="000000"/>
          <w:kern w:val="0"/>
          <w:sz w:val="32"/>
          <w:szCs w:val="32"/>
        </w:rPr>
        <w:t> 根据企业发展阶段，梦工场创新创业企业（团队）分为苗圃期、孵化期和加速期三类。申请入驻的企业（团队）在满足第五条条件的基础上，还须相应满足下列条件：</w:t>
      </w:r>
    </w:p>
    <w:p w14:paraId="46688D5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（一）苗圃期企业（团队）</w:t>
      </w:r>
    </w:p>
    <w:p w14:paraId="7EC9688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1.已成立企业的，企业法定代表人或者1名以上股东为香港永久性居民；企业股东中香港居民合计持股比例50%以上；企业人数规模不超过10人，其中香港居民占比50%以上。</w:t>
      </w:r>
    </w:p>
    <w:p w14:paraId="055E8F2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尚未成立企业的团队，团队人数规模不超过10人，其中香港居民占比50%以上，且有1名以上香港永久性居民。申请入驻梦工场时已获得首轮外部投资承诺的，应出具有法律效力的证明文件。团队成立企业后应达到本款第1项标准。</w:t>
      </w:r>
    </w:p>
    <w:p w14:paraId="5ED720CF">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（二）孵化期企业</w:t>
      </w:r>
    </w:p>
    <w:p w14:paraId="51BFDB6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企业法定代表人或者1名以上股东为香港永久性居民；企业股东中香港居民合计持股比例34%以上；企业人数规模11人以上、不超过30人，其中香港居民占比25%以上。</w:t>
      </w:r>
    </w:p>
    <w:p w14:paraId="77BE25D7">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（三）加速期企业</w:t>
      </w:r>
    </w:p>
    <w:p w14:paraId="0F0BCD6C">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1.企业法定代表人或者1名以上股东为香港永久性居民；企业股东中香港居民合计持股比例34%以上；企业人数规模31人以上，其中香港居民占比20%以上。</w:t>
      </w:r>
    </w:p>
    <w:p w14:paraId="6A7D1A21">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2.已获得专业投资机构或者企业股权投资金额1000万港元（或者等值货币）以上，或者香港特别行政区政府部门、法定机构、公营机构、高校等资助（投资）400万港元以上，且未上市。</w:t>
      </w:r>
    </w:p>
    <w:p w14:paraId="6F9CB04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w:t>
      </w:r>
      <w:r>
        <w:rPr>
          <w:rFonts w:hint="eastAsia" w:ascii="Times New Roman" w:hAnsi="Times New Roman" w:eastAsia="方正仿宋简体" w:cs="宋体"/>
          <w:color w:val="000000"/>
          <w:kern w:val="0"/>
          <w:sz w:val="32"/>
          <w:szCs w:val="32"/>
        </w:rPr>
        <w:t> 苗圃期企业（团队）申请共享或者独立办公空间面积不超过100平方米且人均面积不超过10平方米。</w:t>
      </w:r>
    </w:p>
    <w:p w14:paraId="7EA3ECD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孵化期企业申请办公空间面积不超过300平方米且人均面积不超过10平方米。</w:t>
      </w:r>
    </w:p>
    <w:p w14:paraId="285B4DB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加速期企业申请办公空间面积不超过800平方米且人均面积不超过15平方米；加速期企业最后一轮融资的投后估值1亿美元以上，且融资额达到500万美元（或者等值货币）以上的，可以申请办公空间面积不超过1000平方米且人均面积不超过15平方米。</w:t>
      </w:r>
    </w:p>
    <w:p w14:paraId="3665C3A2">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 遴选程序</w:t>
      </w:r>
    </w:p>
    <w:p w14:paraId="0C5EB339">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w:t>
      </w:r>
      <w:r>
        <w:rPr>
          <w:rFonts w:hint="eastAsia" w:ascii="Times New Roman" w:hAnsi="Times New Roman" w:eastAsia="方正仿宋简体" w:cs="宋体"/>
          <w:color w:val="000000"/>
          <w:kern w:val="0"/>
          <w:sz w:val="32"/>
          <w:szCs w:val="32"/>
        </w:rPr>
        <w:t> 梦工场运营主体从技术能力、市场前景、可行性等方面对提交申请的企业（团队）组织综合遴选，定期面向社会公开发布遴选公告，并常年接受申报。具体的申报要求以遴选公告为准。</w:t>
      </w:r>
    </w:p>
    <w:p w14:paraId="701DCF2C">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w:t>
      </w:r>
      <w:r>
        <w:rPr>
          <w:rFonts w:hint="eastAsia" w:ascii="Times New Roman" w:hAnsi="Times New Roman" w:eastAsia="方正仿宋简体" w:cs="宋体"/>
          <w:color w:val="000000"/>
          <w:kern w:val="0"/>
          <w:sz w:val="32"/>
          <w:szCs w:val="32"/>
        </w:rPr>
        <w:t> 梦工场运营主体受理申请后，对企业（团队）背景情况、申请材料合规性，以及是否符合遴选条件进行初步审核，并于15个工作日内作出初审意见。</w:t>
      </w:r>
    </w:p>
    <w:p w14:paraId="13504DD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材料不齐全的，应当一次性告知申请企业（团队）在5个工作日内补充完整。经审核不符合条件的，梦工场运营主体应当及时作出不予受理通知并告知具体理由。</w:t>
      </w:r>
    </w:p>
    <w:p w14:paraId="0604AD1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w:t>
      </w:r>
      <w:r>
        <w:rPr>
          <w:rFonts w:hint="eastAsia" w:ascii="Times New Roman" w:hAnsi="Times New Roman" w:eastAsia="方正仿宋简体" w:cs="宋体"/>
          <w:color w:val="000000"/>
          <w:kern w:val="0"/>
          <w:sz w:val="32"/>
          <w:szCs w:val="32"/>
        </w:rPr>
        <w:t> 初审通过后，梦工场运营主体组织专家采取“评定分离”的方式对企业（团队）进行评审与审定。评审遵循深港联合评审、诚信评审、同行评议原则，在专家库抽选7名专家组成评审组，共同作出评审意见。评审会议原则上2个月召开1次，可以根据实际情况调整会议频次。</w:t>
      </w:r>
    </w:p>
    <w:p w14:paraId="3B464E9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w:t>
      </w:r>
      <w:r>
        <w:rPr>
          <w:rFonts w:hint="eastAsia" w:ascii="Times New Roman" w:hAnsi="Times New Roman" w:eastAsia="方正仿宋简体" w:cs="宋体"/>
          <w:color w:val="000000"/>
          <w:kern w:val="0"/>
          <w:sz w:val="32"/>
          <w:szCs w:val="32"/>
        </w:rPr>
        <w:t> 梦工场运营主体应当在评审意见形成后5个工作日内，组织审定。按照回避、轮换规则，从专家库（非当次评审小组成员）抽取5名专家组成审定组。审定组应当结合评审组专家意见，以投票表决的方式，按照少数服从多数原则，审定拟入驻企业（团队）名单。</w:t>
      </w:r>
    </w:p>
    <w:p w14:paraId="070AB5AC">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w:t>
      </w:r>
      <w:r>
        <w:rPr>
          <w:rFonts w:hint="eastAsia" w:ascii="Times New Roman" w:hAnsi="Times New Roman" w:eastAsia="方正仿宋简体" w:cs="宋体"/>
          <w:color w:val="000000"/>
          <w:kern w:val="0"/>
          <w:sz w:val="32"/>
          <w:szCs w:val="32"/>
        </w:rPr>
        <w:t> 经专家审定后，梦工场运营主体应在2个工作日内将拟入驻企业（团队）名单面向社会公示，公示期不少于5个工作日。公示期间有异议的，由梦工场运营主体组织调查，经查实的，取消入驻资格。公示期满无异议或者异议不成立的，由梦工场运营主体确认入驻名单，并向前海管理局报告。</w:t>
      </w:r>
    </w:p>
    <w:p w14:paraId="663E468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第十三条</w:t>
      </w:r>
      <w:r>
        <w:rPr>
          <w:rFonts w:hint="eastAsia" w:ascii="Times New Roman" w:hAnsi="Times New Roman" w:eastAsia="方正仿宋简体" w:cs="宋体"/>
          <w:color w:val="000000"/>
          <w:kern w:val="0"/>
          <w:sz w:val="32"/>
          <w:szCs w:val="32"/>
        </w:rPr>
        <w:t> 梦工场运营主体向申请企业（团队）发放签约通知。双方签订服务协议，服务期限总计不超过36个月。</w:t>
      </w:r>
    </w:p>
    <w:p w14:paraId="2C0E288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申请企业（团队）收到通知后因自身原因未在规定期限内签订服务协议的，视为自动放弃入驻资格。</w:t>
      </w:r>
    </w:p>
    <w:p w14:paraId="40A6258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企业（团队）申请入驻梦工场创新创业孵化载体的，应当与梦工场运营主体、创新创业孵化载体签订三方协议。</w:t>
      </w:r>
    </w:p>
    <w:p w14:paraId="173010BC">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入驻管理</w:t>
      </w:r>
    </w:p>
    <w:p w14:paraId="45BE9866">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第十四条</w:t>
      </w:r>
      <w:r>
        <w:rPr>
          <w:rFonts w:hint="eastAsia" w:ascii="Times New Roman" w:hAnsi="Times New Roman" w:eastAsia="方正仿宋简体" w:cs="宋体"/>
          <w:color w:val="000000"/>
          <w:kern w:val="0"/>
          <w:sz w:val="32"/>
          <w:szCs w:val="32"/>
        </w:rPr>
        <w:t> 前海管理局向符合条件的企业（团队）提供空间。梦工场运营主体为企业（团队）开展创新创业服务，导入优质创新资源，营造良好创业生态，按照1元/平方米·月的价格收取服务金。</w:t>
      </w:r>
    </w:p>
    <w:p w14:paraId="32F6E71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第十五条</w:t>
      </w:r>
      <w:r>
        <w:rPr>
          <w:rFonts w:hint="eastAsia" w:ascii="Times New Roman" w:hAnsi="Times New Roman" w:eastAsia="方正仿宋简体" w:cs="宋体"/>
          <w:color w:val="000000"/>
          <w:kern w:val="0"/>
          <w:sz w:val="32"/>
          <w:szCs w:val="32"/>
        </w:rPr>
        <w:t> 已入驻企业（团队）因业务调整、人员增加等原因需调整场地面积不超过10%的，可以向梦工场运营主体提交一次申请，经审核通过并公示后进行调整。</w:t>
      </w:r>
    </w:p>
    <w:p w14:paraId="74B7CAD5">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第十六条</w:t>
      </w:r>
      <w:r>
        <w:rPr>
          <w:rFonts w:hint="eastAsia" w:ascii="Times New Roman" w:hAnsi="Times New Roman" w:eastAsia="方正仿宋简体" w:cs="宋体"/>
          <w:color w:val="000000"/>
          <w:kern w:val="0"/>
          <w:sz w:val="32"/>
          <w:szCs w:val="32"/>
        </w:rPr>
        <w:t> 苗圃期、孵化期企业经发展壮大，已符合下一阶段培育条件或者同一阶段需增加10%以上面积（总面积不超过阶段上限），需重新参加遴选审定环节，审定通过并公示后按程序重新签订服务协议，使用期限须与此前所有阶段连续计算。</w:t>
      </w:r>
    </w:p>
    <w:p w14:paraId="670950C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第十七条</w:t>
      </w:r>
      <w:r>
        <w:rPr>
          <w:rFonts w:hint="eastAsia" w:ascii="Times New Roman" w:hAnsi="Times New Roman" w:eastAsia="方正仿宋简体" w:cs="宋体"/>
          <w:color w:val="000000"/>
          <w:kern w:val="0"/>
          <w:sz w:val="32"/>
          <w:szCs w:val="32"/>
        </w:rPr>
        <w:t> 梦工场运营主体应当做好入驻企业（团队）的年度考核工作，考核方案由梦工场运营主体另行制定。</w:t>
      </w:r>
    </w:p>
    <w:p w14:paraId="042317EE">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出园和退出管理</w:t>
      </w:r>
    </w:p>
    <w:p w14:paraId="6E3945F0">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第十八条</w:t>
      </w:r>
      <w:r>
        <w:rPr>
          <w:rFonts w:hint="eastAsia" w:ascii="Times New Roman" w:hAnsi="Times New Roman" w:eastAsia="方正仿宋简体" w:cs="宋体"/>
          <w:color w:val="000000"/>
          <w:kern w:val="0"/>
          <w:sz w:val="32"/>
          <w:szCs w:val="32"/>
        </w:rPr>
        <w:t> 企业符合下列条件之一，根据服务协议约定从梦工场毕业出园：</w:t>
      </w:r>
    </w:p>
    <w:p w14:paraId="77E1D72C">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（一）入驻梦工场期限届满的；</w:t>
      </w:r>
    </w:p>
    <w:p w14:paraId="669E81D1">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（二）最新一轮融资金额1亿港元（或者等值货币）以上，或者最新一轮融资的投后估值10亿美元以上；</w:t>
      </w:r>
    </w:p>
    <w:p w14:paraId="7E0C9FF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（三）被兼并或者在境内外主要证券交易所上市。</w:t>
      </w:r>
    </w:p>
    <w:p w14:paraId="6347C337">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出园企业可根据相关政策，按程序申请入驻前海其他产业空间，并按规定享受相应优惠政策。</w:t>
      </w:r>
    </w:p>
    <w:p w14:paraId="1DC825B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第十九条</w:t>
      </w:r>
      <w:r>
        <w:rPr>
          <w:rFonts w:hint="eastAsia" w:ascii="Times New Roman" w:hAnsi="Times New Roman" w:eastAsia="方正仿宋简体" w:cs="宋体"/>
          <w:color w:val="000000"/>
          <w:kern w:val="0"/>
          <w:sz w:val="32"/>
          <w:szCs w:val="32"/>
        </w:rPr>
        <w:t> 在服务协议期限内，企业（团队）由于自身原因需退出梦工场的，可以向梦工场运营主体提出申请。经核实费用缴清等相关情况后办理退出手续。</w:t>
      </w:r>
    </w:p>
    <w:p w14:paraId="6BE1DEE0">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第二十条</w:t>
      </w:r>
      <w:r>
        <w:rPr>
          <w:rFonts w:hint="eastAsia" w:ascii="Times New Roman" w:hAnsi="Times New Roman" w:eastAsia="方正仿宋简体" w:cs="宋体"/>
          <w:color w:val="000000"/>
          <w:kern w:val="0"/>
          <w:sz w:val="32"/>
          <w:szCs w:val="32"/>
        </w:rPr>
        <w:t> 对于有下列情形之一的企业（团队），梦工场运营主体有权根据服务协议约定终止服务，要求企业（团队）在规定时间内退出：</w:t>
      </w:r>
    </w:p>
    <w:p w14:paraId="6035C0C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（一）遴选存在弄虚作假行为的；</w:t>
      </w:r>
    </w:p>
    <w:p w14:paraId="44E408B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（二）年度考核不达标且整改期届满后，再次考核仍不合格的；</w:t>
      </w:r>
    </w:p>
    <w:p w14:paraId="3B1C2E58">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（三）房间长期空置造成空间浪费的；</w:t>
      </w:r>
    </w:p>
    <w:p w14:paraId="45116505">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（四）违反规定擅自转租、分租的；</w:t>
      </w:r>
    </w:p>
    <w:p w14:paraId="5A29FEB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（五）严重拖欠费用的（包括不限于物业管理费、水电费及空调费等）；</w:t>
      </w:r>
    </w:p>
    <w:p w14:paraId="17B444BB">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（六）违反安全生产规定且情节严重的；</w:t>
      </w:r>
    </w:p>
    <w:p w14:paraId="0F4743A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（七）其他违反服务协议约定的解约情形的。</w:t>
      </w:r>
    </w:p>
    <w:p w14:paraId="0D768931">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监督管理</w:t>
      </w:r>
    </w:p>
    <w:p w14:paraId="586A765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第二十一条</w:t>
      </w:r>
      <w:r>
        <w:rPr>
          <w:rFonts w:hint="eastAsia" w:ascii="Times New Roman" w:hAnsi="Times New Roman" w:eastAsia="方正仿宋简体" w:cs="宋体"/>
          <w:color w:val="000000"/>
          <w:kern w:val="0"/>
          <w:sz w:val="32"/>
          <w:szCs w:val="32"/>
        </w:rPr>
        <w:t> 入驻企业（团队）应在签订服务协议之日起30日内在梦工场开展实际经营，严格遵守国家有关法律法规和梦工场各项规章制度，履行服务协议、安全管理责任书等相关义务。</w:t>
      </w:r>
    </w:p>
    <w:p w14:paraId="7290881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入驻企业（团队）应严格遵守安全生产相关法律法规，不得从事违法犯罪活动，并依法履行园区统计数据申报义务。</w:t>
      </w:r>
    </w:p>
    <w:p w14:paraId="7C0610F2">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第二十二条</w:t>
      </w:r>
      <w:r>
        <w:rPr>
          <w:rFonts w:hint="eastAsia" w:ascii="Times New Roman" w:hAnsi="Times New Roman" w:eastAsia="方正仿宋简体" w:cs="宋体"/>
          <w:color w:val="000000"/>
          <w:kern w:val="0"/>
          <w:sz w:val="32"/>
          <w:szCs w:val="32"/>
        </w:rPr>
        <w:t> 梦工场运营主体应加强园区管理，如实记录园区运营状况和企业经营情况。对入驻企业（团队）存在违法违规等情形应当退出的，梦工场运营主体应及时按程序采取措施。</w:t>
      </w:r>
    </w:p>
    <w:p w14:paraId="2AC2A688">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第二十三条</w:t>
      </w:r>
      <w:r>
        <w:rPr>
          <w:rFonts w:hint="eastAsia" w:ascii="Times New Roman" w:hAnsi="Times New Roman" w:eastAsia="方正仿宋简体" w:cs="宋体"/>
          <w:color w:val="000000"/>
          <w:kern w:val="0"/>
          <w:sz w:val="32"/>
          <w:szCs w:val="32"/>
        </w:rPr>
        <w:t> 前海管理局审计、港澳、科技等部门负责对梦工场运营主体的运行和管理工作进行监督，不定期开展联合检查。</w:t>
      </w:r>
    </w:p>
    <w:p w14:paraId="089E0ABA">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梦工场运营主体工作人员和专家在遴选和服务过程中玩忽职守、滥用职权，不履行或者不正确履行本办法规定的各项职责，或者利用职务便利谋取不正当利益的，入驻企业或者个人可以向前海管理局进行投诉。</w:t>
      </w:r>
    </w:p>
    <w:p w14:paraId="5953CE51">
      <w:pPr>
        <w:widowControl/>
        <w:shd w:val="clear" w:color="auto" w:fill="FFFFFF"/>
        <w:spacing w:line="57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第七章 附  则</w:t>
      </w:r>
    </w:p>
    <w:p w14:paraId="1DD6C2C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第二十四条</w:t>
      </w:r>
      <w:r>
        <w:rPr>
          <w:rFonts w:hint="eastAsia" w:ascii="Times New Roman" w:hAnsi="Times New Roman" w:eastAsia="方正仿宋简体" w:cs="宋体"/>
          <w:color w:val="000000"/>
          <w:kern w:val="0"/>
          <w:sz w:val="32"/>
          <w:szCs w:val="32"/>
        </w:rPr>
        <w:t> 申请入驻梦工场的企业应当依法进行设立登记、合法经营。</w:t>
      </w:r>
    </w:p>
    <w:p w14:paraId="04F475C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第二十五条</w:t>
      </w:r>
      <w:r>
        <w:rPr>
          <w:rFonts w:hint="eastAsia" w:ascii="Times New Roman" w:hAnsi="Times New Roman" w:eastAsia="方正仿宋简体" w:cs="宋体"/>
          <w:color w:val="000000"/>
          <w:kern w:val="0"/>
          <w:sz w:val="32"/>
          <w:szCs w:val="32"/>
        </w:rPr>
        <w:t> 名词解释：</w:t>
      </w:r>
    </w:p>
    <w:p w14:paraId="69B10B0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（一）“专业投资机构”，是指在中国证券投资基金业协会登记备案的投资机构、持牌金融机构、政府投资引导基金、境外投资机构。</w:t>
      </w:r>
    </w:p>
    <w:p w14:paraId="33B8D454">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（二）“香港特别行政区政府部门、法定机构、公营机构、高校等资助（投资）”，是指：</w:t>
      </w:r>
    </w:p>
    <w:p w14:paraId="5F2C40B9">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1.香港特别行政区政府部门、法定机构、公营机构资助（投资）；</w:t>
      </w:r>
    </w:p>
    <w:p w14:paraId="40559C91">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2.香港特别行政区政府大学教育资助委员会资助的高等学校资助（投资）；</w:t>
      </w:r>
    </w:p>
    <w:p w14:paraId="172E716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3.澳门特别行政区政府、法定机构、公营机构、高校等资助（投资）参照执行。</w:t>
      </w:r>
    </w:p>
    <w:p w14:paraId="36DF30AF">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（三）获得专业投资机构股权投资和香港特别行政区政府部门、法定机构、公营机构、高校等的资助（投资），包括申请主体自身或者股东获得。</w:t>
      </w:r>
    </w:p>
    <w:p w14:paraId="6C0E750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（四）“粤港澳大湾区创新创业大赛”，是指香港城市大学HK Tech 300全国创新创业千万大赛、香港科技大学港科大百万奖金国际创业大赛等香港高校创新创业赛事；香港数码港大湾区青年创业计划；前海粤港澳台青年创新创业大赛等粤港澳大湾区政府部门、法定机构、公营机构、高校举办的创新创业赛事。</w:t>
      </w:r>
    </w:p>
    <w:p w14:paraId="5D60DC53">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香港居民合计持股”，是指香港居民合计持有遴选企业所要求登记股权或者股份比例。股东为企业的，香港居民在企业中持有的登记股权或者股份经穿透折算后，与直接持股的自然人股东（如有）合计达到遴选企业所要求登记股权或者股份比例。</w:t>
      </w:r>
    </w:p>
    <w:p w14:paraId="5568B556">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（六）“香港居民”，是指香港特别行政区永久性居民和非永久性居民。</w:t>
      </w:r>
    </w:p>
    <w:p w14:paraId="65E30915">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（七）“办公空间面积”，是指入驻企业实际使用的建筑面积（不包含公摊部分）。</w:t>
      </w:r>
    </w:p>
    <w:p w14:paraId="1D17F9E9">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（八）本办法所称的“以上”“不超过”包含本数，“超过”不包含本数。</w:t>
      </w:r>
    </w:p>
    <w:p w14:paraId="4534297E">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第二十六条</w:t>
      </w:r>
      <w:r>
        <w:rPr>
          <w:rFonts w:hint="eastAsia" w:ascii="Times New Roman" w:hAnsi="Times New Roman" w:eastAsia="方正仿宋简体" w:cs="宋体"/>
          <w:color w:val="000000"/>
          <w:kern w:val="0"/>
          <w:sz w:val="32"/>
          <w:szCs w:val="32"/>
        </w:rPr>
        <w:t> 澳门特别行政区居民、台湾地区居民及外国人，参照本办法有关规定执行。</w:t>
      </w:r>
    </w:p>
    <w:p w14:paraId="759256FD">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第二十七条 </w:t>
      </w:r>
      <w:r>
        <w:rPr>
          <w:rFonts w:hint="eastAsia" w:ascii="Times New Roman" w:hAnsi="Times New Roman" w:eastAsia="方正仿宋简体" w:cs="宋体"/>
          <w:color w:val="000000"/>
          <w:kern w:val="0"/>
          <w:sz w:val="32"/>
          <w:szCs w:val="32"/>
        </w:rPr>
        <w:t>本办法由前海管理局负责解释。</w:t>
      </w:r>
    </w:p>
    <w:p w14:paraId="08EB19E9">
      <w:pPr>
        <w:widowControl/>
        <w:shd w:val="clear" w:color="auto" w:fill="FFFFFF"/>
        <w:spacing w:line="57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第二十八条</w:t>
      </w:r>
      <w:r>
        <w:rPr>
          <w:rFonts w:hint="eastAsia" w:ascii="Times New Roman" w:hAnsi="Times New Roman" w:eastAsia="方正仿宋简体" w:cs="宋体"/>
          <w:color w:val="000000"/>
          <w:kern w:val="0"/>
          <w:sz w:val="32"/>
          <w:szCs w:val="32"/>
        </w:rPr>
        <w:t> 本办法自2024年10月7日起施行，有效期3年。</w:t>
      </w:r>
    </w:p>
    <w:p w14:paraId="7DDD8057">
      <w:pPr>
        <w:widowControl/>
        <w:spacing w:line="510" w:lineRule="atLeast"/>
        <w:rPr>
          <w:rFonts w:hint="eastAsia" w:ascii="Times New Roman" w:hAnsi="Times New Roman" w:eastAsia="方正仿宋简体" w:cs="宋体"/>
          <w:color w:val="000000"/>
          <w:kern w:val="0"/>
          <w:sz w:val="32"/>
          <w:szCs w:val="32"/>
        </w:rPr>
      </w:pPr>
    </w:p>
    <w:p w14:paraId="6CA920E3">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9.24广州南沙经济技术开发区工业和信息化局关于印发广州南沙新区（自贸片区）促进网络安全和数据服务产业高质量发展扶持办法的通知</w:t>
      </w:r>
    </w:p>
    <w:p w14:paraId="4AFB6468">
      <w:pPr>
        <w:widowControl/>
        <w:spacing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各镇（街），开发区（区）各部门、各直属机构，市属驻区各单位：</w:t>
      </w:r>
    </w:p>
    <w:p w14:paraId="534B6724">
      <w:pPr>
        <w:widowControl/>
        <w:spacing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南沙新区（自贸片区）促进网络安全和数据服务产业高质量发展扶持办法》已经管委会同意，现印发给你们，请认真组织实施。实施过程中遇到的问题，请径向广州南沙经济技术开发区工业和信息化局反映。</w:t>
      </w:r>
    </w:p>
    <w:p w14:paraId="56B8BC62">
      <w:pPr>
        <w:widowControl/>
        <w:spacing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广州南沙经济技术开发区工业和信息化局</w:t>
      </w:r>
      <w:r>
        <w:rPr>
          <w:rFonts w:hint="eastAsia" w:ascii="Times New Roman" w:hAnsi="Times New Roman" w:eastAsia="方正仿宋简体" w:cs="宋体"/>
          <w:color w:val="000000"/>
          <w:kern w:val="0"/>
          <w:sz w:val="32"/>
          <w:szCs w:val="32"/>
        </w:rPr>
        <w:br w:type="textWrapping"/>
      </w:r>
    </w:p>
    <w:p w14:paraId="6DA9CE72">
      <w:pPr>
        <w:widowControl/>
        <w:spacing w:line="420" w:lineRule="atLeast"/>
        <w:ind w:firstLine="4450"/>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2024年9月24日</w:t>
      </w:r>
    </w:p>
    <w:p w14:paraId="7D229B62">
      <w:pPr>
        <w:widowControl/>
        <w:spacing w:line="420" w:lineRule="atLeast"/>
        <w:ind w:firstLine="4450"/>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64AF7B9">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广州南沙新区（自贸片区）促进网络安全和数据服务产业高质量发展扶持办法</w:t>
      </w:r>
    </w:p>
    <w:p w14:paraId="546ED546">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为贯彻《国务院关于印发广州南沙深化面向世界的粤港澳全面合作总体方案的通知》（国发〔2022〕13号）等文件精神，落实省市关于网络安全和数字经济的有关部署，推动南沙区网络安全和数据服务产业高质量发展，促进数据安全有序流动和高效配置，激发南沙区数字经济创新活力，特制定本扶持办法。</w:t>
      </w:r>
    </w:p>
    <w:p w14:paraId="56D0A9BC">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一、扶持对象</w:t>
      </w:r>
    </w:p>
    <w:p w14:paraId="58BBE460">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本办法扶持的对象为信息传输、软件和信息技术服务业企业（行业划分参照《国民经济行业分类》（GB/T 4754-2017）第64类、第65类，以下简称“信软业企业”）及第一条、第三条、第五条、第七条、第八条规定纳入扶持的其他对象。扶持对象应在南沙区（以下简称“本区”）实际从事经营活动或就业，并开展网络安全和数据服务相关业务。</w:t>
      </w:r>
    </w:p>
    <w:p w14:paraId="07A48ACC">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二、扶持内容</w:t>
      </w:r>
    </w:p>
    <w:p w14:paraId="5FE22795">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第一条 招引企业入驻</w:t>
      </w:r>
    </w:p>
    <w:p w14:paraId="7C7F3CF9">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新引入本区的企业给予奖励，鼓励其在本区开展网络安全或数据服务相关业务。其中，对在本区首次达到规模以上的信软业企业，给予一次性10万元奖励；对在本区首次达到规模以上的工业企业，给予一次性20万元奖励。</w:t>
      </w:r>
    </w:p>
    <w:p w14:paraId="5F25944C">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第二条 招引创业团队</w:t>
      </w:r>
    </w:p>
    <w:p w14:paraId="52255765">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获得中国工业互联网安全大赛、“网鼎杯”网络安全大赛、网络安全优秀创新成果大赛、“羊城杯”网络安全大赛（含“羊城杯”粤港澳大湾区网络安全大赛）、“数据要素×”大赛广东分赛三等奖以上奖项，或获得DEFCON极客大会、XCTF国际联赛的网络安全大赛正赛或总决赛前三名的团队，获奖后1年内在本区实地经营并经营良好，给予该企业一次性10万元奖励。</w:t>
      </w:r>
    </w:p>
    <w:p w14:paraId="4BD4A138">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第三条 招引检测认证企业</w:t>
      </w:r>
    </w:p>
    <w:p w14:paraId="54C6A435">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对已通过中国合格评定国家认可委员会（CNAS）网络安全领域认可且新引入的企业，以及本区首次通过中国合格评定国家认可委员会（CNAS）网络安全领域认可的企业，给予一次性20万元奖励。</w:t>
      </w:r>
    </w:p>
    <w:p w14:paraId="7838B33D">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对复评通过中国合格评定国家认可委员会（CNAS）网络安全领域认可的企业，给予一次性5万元奖励。</w:t>
      </w:r>
    </w:p>
    <w:p w14:paraId="3A1A5A80">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第四条 鼓励参与赛事</w:t>
      </w:r>
    </w:p>
    <w:p w14:paraId="71A19492">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获得中国工业互联网安全大赛、“网鼎杯”网络安全大赛、“羊城杯”网络安全大赛（含“羊城杯”粤港澳大湾区网络安全大赛）、“数据要素×”大赛广东分赛等大赛一等奖以上、二等奖、三等奖的企业，或获得DEFCON极客大会、XCTF国际联赛的网络安全大赛正赛或总决赛前三名的企业，按照所获奖项资金奖励标准的50％、30％、20％分别给予奖励，同项奖励按就高不重复原则执行，每个企业最高奖励100万元，本条款每年奖励最高200万元。</w:t>
      </w:r>
    </w:p>
    <w:p w14:paraId="48018055">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第五条 加快培养专业人才</w:t>
      </w:r>
    </w:p>
    <w:p w14:paraId="4688CE77">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持有网络安全能力认证（CCSC）、国际注册信息系统安全专家（CISSP）、信息安全保障人员（CISAW）、国家注册信息安全专家（CISP）等网络安全类证书并与本区信软业企业建立人事劳动关系的专业人员，按照证书相关的考试及认证费用的50%给予一次性补贴，每名专业人员限申领一个证书的补贴，补贴由企业统一申请。专业人员应在申报企业连续缴纳社保达6个月，本条款每年奖励最高100万元。</w:t>
      </w:r>
    </w:p>
    <w:p w14:paraId="56ADE0F3">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第六条 鼓励提升资质能力</w:t>
      </w:r>
    </w:p>
    <w:p w14:paraId="2F5D1D41">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通过信息技术服务标准（ITSS）一级、二级认证或信息安全服务资质（CCRC）一级、二级认证或数据安全能力成熟度模型（DSMM）二级或以上等级评估认证的企业，按照实际认证费用的50%给予企业一次性补贴。同项资质补贴按就高不重复、差额补足原则执行。</w:t>
      </w:r>
    </w:p>
    <w:p w14:paraId="1CE623C0">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对通过非跨境场景个人信息保护（PIP）认证的企业，给予一次性10万元奖励。</w:t>
      </w:r>
    </w:p>
    <w:p w14:paraId="49CC3F7B">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第七条 鼓励打造应用示范</w:t>
      </w:r>
    </w:p>
    <w:p w14:paraId="3036AF85">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在网络安全、数据服务等数字技术领域，每年择优打造不超过30个应用场景标杆案例，最高按每个场景实际投入费用的40%给予补贴，单个场景最高补贴300万元。具体依《广州市南沙区数字技术应用示范项目管理办法》执行。</w:t>
      </w:r>
    </w:p>
    <w:p w14:paraId="5E0342F3">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对获得国家部委评定的网络安全示范项目的信软业企业，给予一次性50万元奖励。</w:t>
      </w:r>
    </w:p>
    <w:p w14:paraId="2F73845B">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第八条 推动数据有序跨境流通</w:t>
      </w:r>
    </w:p>
    <w:p w14:paraId="02AD2BAB">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向基础电信运营商购买数据跨境通道资源等跨境通信服务，或购买数据出境安全评估、个人信息出境标准合同（含大湾区个人信息出境标准合同）备案、个人信息保护认证等数据跨境流通服务且通过国家监管部门审查或认可的企业，按照已履行的相关服务合同年度累计金额的30%给予补贴，每年最高补贴100万元。</w:t>
      </w:r>
    </w:p>
    <w:p w14:paraId="7F492D70">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第九条 促进数据产品交易</w:t>
      </w:r>
    </w:p>
    <w:p w14:paraId="48373D18">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对在经省级以上数据交易场所监管部门认定的数据交易场所，获得数据资产登记证书且年度挂牌交易额达到500万元以上的数据产品供方信软业企业，按照年度挂牌交易额的1%给予奖励，每年最高100万元。</w:t>
      </w:r>
    </w:p>
    <w:p w14:paraId="5986CC36">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三、附则</w:t>
      </w:r>
    </w:p>
    <w:p w14:paraId="42788704">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一）申请获得本办法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已获得本区“一企一策”优惠政策扶持的不再享受本办法同类扶持措施支持，另有规定的除外。对于信用评价等级为D的市场主体，依照《广州市南沙区市场主体信用评价管理办法》等相关规定不予奖励。获得奖补的涉税支出由申报主体承担。</w:t>
      </w:r>
    </w:p>
    <w:p w14:paraId="2D68C3A9">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（二）本办法提到的货币单位均以人民币计算，涉及“不超过”“以上”“最高”的数额均包含本数。本办法部分扶持奖励补贴的比例和限额为上限数额，具体政策扶持兑现视当年度财政预算情况相应调整。</w:t>
      </w:r>
    </w:p>
    <w:p w14:paraId="53407123">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（三）本办法提到的“新引入”是指法人或非法人组织于2024年1月1日之后（含当日）开始在本区实际从事经营活动。</w:t>
      </w:r>
    </w:p>
    <w:p w14:paraId="63AD40BB">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（四）本办法自印发之日起施行，有效期至2025年12月31日，2024年1月1日至本办法印发之日前期间参照本办法执行。本办法有效期内如遇法律、法规或有关政策调整变化的，从其规定。</w:t>
      </w:r>
    </w:p>
    <w:p w14:paraId="6B9E0DEF">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77CFEC2D">
      <w:pPr>
        <w:widowControl/>
        <w:spacing w:line="420" w:lineRule="atLeast"/>
        <w:ind w:firstLine="475"/>
        <w:jc w:val="left"/>
        <w:rPr>
          <w:rFonts w:hint="eastAsia" w:ascii="Times New Roman" w:hAnsi="Times New Roman" w:eastAsia="方正仿宋简体" w:cs="宋体"/>
          <w:color w:val="000000"/>
          <w:kern w:val="0"/>
          <w:sz w:val="32"/>
          <w:szCs w:val="32"/>
          <w:shd w:val="clear" w:color="auto" w:fill="FFFFFF"/>
        </w:rPr>
      </w:pPr>
      <w:r>
        <w:rPr>
          <w:rFonts w:hint="eastAsia" w:ascii="Times New Roman" w:hAnsi="Times New Roman" w:eastAsia="方正仿宋简体" w:cs="宋体"/>
          <w:b/>
          <w:bCs/>
          <w:color w:val="000000"/>
          <w:kern w:val="0"/>
          <w:sz w:val="32"/>
          <w:szCs w:val="32"/>
          <w:shd w:val="clear" w:color="auto" w:fill="FFFFFF"/>
        </w:rPr>
        <w:t>公开方式：</w:t>
      </w:r>
      <w:r>
        <w:rPr>
          <w:rFonts w:hint="eastAsia" w:ascii="Times New Roman" w:hAnsi="Times New Roman" w:eastAsia="方正仿宋简体" w:cs="宋体"/>
          <w:color w:val="000000"/>
          <w:kern w:val="0"/>
          <w:sz w:val="32"/>
          <w:szCs w:val="32"/>
          <w:shd w:val="clear" w:color="auto" w:fill="FFFFFF"/>
        </w:rPr>
        <w:t>主动公开</w:t>
      </w:r>
    </w:p>
    <w:p w14:paraId="757F9BB4">
      <w:pPr>
        <w:widowControl/>
        <w:spacing w:line="420" w:lineRule="atLeast"/>
        <w:ind w:firstLine="475"/>
        <w:jc w:val="left"/>
        <w:rPr>
          <w:rFonts w:hint="eastAsia" w:ascii="Times New Roman" w:hAnsi="Times New Roman" w:eastAsia="方正仿宋简体" w:cs="宋体"/>
          <w:color w:val="000000"/>
          <w:kern w:val="0"/>
          <w:sz w:val="32"/>
          <w:szCs w:val="32"/>
          <w:shd w:val="clear" w:color="auto" w:fill="FFFFFF"/>
        </w:rPr>
      </w:pPr>
    </w:p>
    <w:p w14:paraId="44AB39DD">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9.26广州市文化广电旅游局关于印发广州市文物活化利用促进办法的通知</w:t>
      </w:r>
    </w:p>
    <w:p w14:paraId="23B6A9D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br w:type="textWrapping"/>
      </w:r>
    </w:p>
    <w:p w14:paraId="1133154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各区文广旅（体）局、局属文物管理使用单位、各有关单位：</w:t>
      </w:r>
    </w:p>
    <w:p w14:paraId="40A92EC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保护第一、加强管理、挖掘价值、有效利用、让文物活起来”新时代文物工作要求，推动文物合理有效利用，让更多文物活起来，促进文物保护传承。根据有关法律法规，结合我市具体情况，我局组织制定了《广州市文物活化利用促进办法》，现印发给你们，请遵照执行。在执行过程中，如发现任何问题，请与我局联系。</w:t>
      </w:r>
    </w:p>
    <w:p w14:paraId="0F92B8D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特此通知。</w:t>
      </w:r>
    </w:p>
    <w:p w14:paraId="60DE5173">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广州市文化广电旅游局</w:t>
      </w:r>
    </w:p>
    <w:p w14:paraId="4DB786ED">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2024年9月26日</w:t>
      </w:r>
    </w:p>
    <w:p w14:paraId="57E8C3BD">
      <w:pPr>
        <w:widowControl/>
        <w:shd w:val="clear" w:color="auto" w:fill="FFFFFF"/>
        <w:spacing w:before="150" w:after="150" w:line="420" w:lineRule="atLeast"/>
        <w:jc w:val="right"/>
        <w:textAlignment w:val="baseline"/>
        <w:rPr>
          <w:rFonts w:hint="eastAsia" w:ascii="Times New Roman" w:hAnsi="Times New Roman" w:eastAsia="方正仿宋简体" w:cs="宋体"/>
          <w:color w:val="000000"/>
          <w:kern w:val="0"/>
          <w:sz w:val="32"/>
          <w:szCs w:val="32"/>
        </w:rPr>
      </w:pPr>
    </w:p>
    <w:p w14:paraId="0CEC69F8">
      <w:pPr>
        <w:widowControl/>
        <w:shd w:val="clear" w:color="auto" w:fill="FFFFFF"/>
        <w:spacing w:before="150" w:after="150" w:line="420" w:lineRule="atLeast"/>
        <w:jc w:val="right"/>
        <w:textAlignment w:val="baseline"/>
        <w:rPr>
          <w:rFonts w:hint="eastAsia" w:ascii="Times New Roman" w:hAnsi="Times New Roman" w:eastAsia="方正仿宋简体" w:cs="宋体"/>
          <w:color w:val="000000"/>
          <w:kern w:val="0"/>
          <w:sz w:val="32"/>
          <w:szCs w:val="32"/>
        </w:rPr>
      </w:pPr>
    </w:p>
    <w:p w14:paraId="66342DA7">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广州市文物活化利用促进办法</w:t>
      </w:r>
    </w:p>
    <w:p w14:paraId="0E73631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w:t>
      </w:r>
      <w:r>
        <w:rPr>
          <w:rFonts w:hint="eastAsia" w:ascii="Times New Roman" w:hAnsi="Times New Roman" w:eastAsia="方正仿宋简体" w:cs="宋体"/>
          <w:color w:val="000000"/>
          <w:kern w:val="0"/>
          <w:sz w:val="32"/>
          <w:szCs w:val="32"/>
        </w:rPr>
        <w:t>  为进一步促进文物合理利用和保护传承，根据《中华人民共和国文物保护法》《广东省实施&lt;中华人民共和国文物保护法&gt;办法》《广州市文物保护规定》等法律法规，结合本市实际，制定本办法。</w:t>
      </w:r>
    </w:p>
    <w:p w14:paraId="3AF8475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w:t>
      </w:r>
      <w:r>
        <w:rPr>
          <w:rFonts w:hint="eastAsia" w:ascii="Times New Roman" w:hAnsi="Times New Roman" w:eastAsia="方正仿宋简体" w:cs="宋体"/>
          <w:color w:val="000000"/>
          <w:kern w:val="0"/>
          <w:sz w:val="32"/>
          <w:szCs w:val="32"/>
        </w:rPr>
        <w:t>  本办法适用于本市行政区域内不可移动文物的活化利用。</w:t>
      </w:r>
    </w:p>
    <w:p w14:paraId="33EF8DE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办法所称文物活化利用，是指在符合文物保护要求和确保文物安全的前提下，遵循保护第一、加强管理、挖掘价值、有效利用、让文物活起来的工作要求，坚持社会效益优先、合理适度的原则，通过延续、改善不可移动文物原有功能或赋予适应现代生产生活需要的新功能，彰显文物价值的保护方式。</w:t>
      </w:r>
    </w:p>
    <w:p w14:paraId="468FC29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 </w:t>
      </w:r>
      <w:r>
        <w:rPr>
          <w:rFonts w:hint="eastAsia" w:ascii="Times New Roman" w:hAnsi="Times New Roman" w:eastAsia="方正仿宋简体" w:cs="宋体"/>
          <w:color w:val="000000"/>
          <w:kern w:val="0"/>
          <w:sz w:val="32"/>
          <w:szCs w:val="32"/>
        </w:rPr>
        <w:t> 机关、企事业单位等使用国有不可移动文物时，可以创造条件向公众开放；非国有不可移动文物向公众开放的，文物行政主管部门应当给予指导和帮助。</w:t>
      </w:r>
    </w:p>
    <w:p w14:paraId="190A960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区文物行政主管部门应当定期检查本行政区域内的文物开放利用情况，及时制止损害文物的利用行为，对发现的违法违规及其它危害破坏文物安全的行为，督促文物保护管理责任人整改。</w:t>
      </w:r>
    </w:p>
    <w:p w14:paraId="49688D1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市、区文物行政主管部门应当组织开展对文物的研究阐释工作，鼓励持续挖掘阐释文物的历史故事、文化价值、精神内涵，结合文物的开放利用，展示其独特价值和历史文化信息。</w:t>
      </w:r>
    </w:p>
    <w:p w14:paraId="78254E1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w:t>
      </w:r>
      <w:r>
        <w:rPr>
          <w:rFonts w:hint="eastAsia" w:ascii="Times New Roman" w:hAnsi="Times New Roman" w:eastAsia="方正仿宋简体" w:cs="宋体"/>
          <w:color w:val="000000"/>
          <w:kern w:val="0"/>
          <w:sz w:val="32"/>
          <w:szCs w:val="32"/>
        </w:rPr>
        <w:t>  市文物行政主管部门组织实施本办法，并负责对全市文物活化利用工作进行指导、监督。</w:t>
      </w:r>
    </w:p>
    <w:p w14:paraId="2BCF699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区文物行政主管部门负责对本行政区域内文物活化利用工作实施监督、管理。</w:t>
      </w:r>
    </w:p>
    <w:p w14:paraId="6497375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规划和自然资源、财政、住房城乡建设、公安、教育、民族宗教、民政、退役军人事务、农业农村、市场监督管理、工业和信息化、生态环境、水务、交通运输、林业园林、城市管理综合执法等行政管理部门和党史研究机构应当加强与文物行政主管部门的沟通协调，在各自的职责范围内，负责有关的文物保护及活化利用工作。</w:t>
      </w:r>
    </w:p>
    <w:p w14:paraId="6331568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w:t>
      </w:r>
      <w:r>
        <w:rPr>
          <w:rFonts w:hint="eastAsia" w:ascii="Times New Roman" w:hAnsi="Times New Roman" w:eastAsia="方正仿宋简体" w:cs="宋体"/>
          <w:color w:val="000000"/>
          <w:kern w:val="0"/>
          <w:sz w:val="32"/>
          <w:szCs w:val="32"/>
        </w:rPr>
        <w:t>  不可移动文物按照《广州市文物保护规定》确定保护管理责任人。保护管理责任人可以依法合理利用文物，并承担文物活化利用管理责任。</w:t>
      </w:r>
    </w:p>
    <w:p w14:paraId="676CCE9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保护管理责任人可以通过委托管理、与社会力量合作等方式实施不可移动文物活化利用。保护管理责任人应当将文物保护利用相关要求告知合作对象，通过列入合作协议或者签订文物保护利用协议等方式约定各方权利义务和违约责任，明确文物安全管理责任与退出机制，并监督合作对象认真履行文物保护责任。</w:t>
      </w:r>
    </w:p>
    <w:p w14:paraId="3D5A431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依法转让非国有不可移动文物的，转让人应当将文物保护利用相关要求告知受让人，保护管理责任人身份由转让人转移至受让人。</w:t>
      </w:r>
    </w:p>
    <w:p w14:paraId="4F55842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w:t>
      </w:r>
      <w:r>
        <w:rPr>
          <w:rFonts w:hint="eastAsia" w:ascii="Times New Roman" w:hAnsi="Times New Roman" w:eastAsia="方正仿宋简体" w:cs="宋体"/>
          <w:color w:val="000000"/>
          <w:kern w:val="0"/>
          <w:sz w:val="32"/>
          <w:szCs w:val="32"/>
        </w:rPr>
        <w:t>  文物行政主管部门应当按照下列要求对保护管理责任人开展文物活化利用工作予以指导：</w:t>
      </w:r>
    </w:p>
    <w:p w14:paraId="500190D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（一）鼓励延续文物原功能，赋予的新功能应当符合文物保护要求，与原功能具有相容性，契合文物自身特征。</w:t>
      </w:r>
    </w:p>
    <w:p w14:paraId="7513289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（二）应当充分考虑文物等级、类型和保存状况等因素，以文物价值评估为基础，与内部布局结构及整体环境相适应，不得超出其安全承载能力，禁止破坏性利用。</w:t>
      </w:r>
    </w:p>
    <w:p w14:paraId="6DC3F64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（三）应当符合社会需求，注重科学研究、审美、教育等社会效益。</w:t>
      </w:r>
    </w:p>
    <w:p w14:paraId="312489E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（四）应当达到现行消防、安防标准；确因特殊情况无法达到的，应当由保护管理责任人委托具有专业资质的单位实施不低于改造前水准的安防、消防措施。</w:t>
      </w:r>
    </w:p>
    <w:p w14:paraId="64E3ECC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（五）加强文物利用过程中的安全教育和行为管理，制订应急措施和日常保养维护措施，禁止进行可能危及文物安全的活动。</w:t>
      </w:r>
    </w:p>
    <w:p w14:paraId="0975E2B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（六）挖掘文物活化利用的可持续发展途径，可以与社会服务、社会教育、文化创意传播、旅游等产业相结合，优先用于陈列展览、旅游观光、文化创意、文化研究、科技孵化、众创空间等方面。</w:t>
      </w:r>
    </w:p>
    <w:p w14:paraId="0EBFD01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（七）支持对文物及其周边历史文化遗产成片连片利用，打造文物保护利用示范区、文化遗产廊道，推介以文物资源为载体的文化地标和文明标识体系。鼓励开展多个不可移动文物或集中连片文物资源活化利用。</w:t>
      </w:r>
    </w:p>
    <w:p w14:paraId="772D373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（八）涉及革命文物等另有规定的从其规定。</w:t>
      </w:r>
    </w:p>
    <w:p w14:paraId="7CCF2D5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w:t>
      </w:r>
      <w:r>
        <w:rPr>
          <w:rFonts w:hint="eastAsia" w:ascii="Times New Roman" w:hAnsi="Times New Roman" w:eastAsia="方正仿宋简体" w:cs="宋体"/>
          <w:color w:val="000000"/>
          <w:kern w:val="0"/>
          <w:sz w:val="32"/>
          <w:szCs w:val="32"/>
        </w:rPr>
        <w:t>  国有文物建筑可以通过政府统筹、委托管理、政企合作、出租、以修代租等方式依法开展合理利用。因文物修缮、保护等特殊需要，管理使用期限最长可以为20年。</w:t>
      </w:r>
    </w:p>
    <w:p w14:paraId="458B465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对需要开展文物保护工程的国有文物建筑，可以通过协商采用以修代租的方式予以合理利用。</w:t>
      </w:r>
    </w:p>
    <w:p w14:paraId="240DA65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采用出租方式的，按规定实行公开招租。对于特殊情况不适宜公开招租的,市直管公房经市政府批准可以直接协议出租，直管房经营管理权已下放区政府的，经区政府批准可以直接协议出租。</w:t>
      </w:r>
    </w:p>
    <w:p w14:paraId="6184DB3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（一）国有文物建筑中的直管房从事公益类的(不以营利为目的并在租赁合同中约定),可以给予免租金使用。</w:t>
      </w:r>
    </w:p>
    <w:p w14:paraId="40B0B4A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国有文物建筑中的直管房从事非公益类的（有历史租户居住的除外）,租金标准以市住房城乡建设行政管理部门最新公布的房屋租金参考价(或有资质的社会评估机构出具的市场评估价)作为公开招租底价。非公益类中从事市政府鼓励的业态,可以给予一年的免租金期,第二年开始租金可以减半收取。</w:t>
      </w:r>
    </w:p>
    <w:p w14:paraId="71AE1A3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（三）享受以上租金减免优惠或协议出租的，不得擅自转租或改做其它用途。</w:t>
      </w:r>
    </w:p>
    <w:p w14:paraId="1406B41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本条所称“以修代租”是指由社会力量承担修缮资金的，出租人可以减免相应租金。</w:t>
      </w:r>
    </w:p>
    <w:p w14:paraId="622359D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w:t>
      </w:r>
      <w:r>
        <w:rPr>
          <w:rFonts w:hint="eastAsia" w:ascii="Times New Roman" w:hAnsi="Times New Roman" w:eastAsia="方正仿宋简体" w:cs="宋体"/>
          <w:color w:val="000000"/>
          <w:kern w:val="0"/>
          <w:sz w:val="32"/>
          <w:szCs w:val="32"/>
        </w:rPr>
        <w:t>  非国有文物建筑可以采用多种方式开展活化利用：</w:t>
      </w:r>
    </w:p>
    <w:p w14:paraId="50E23A0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（一）非国有文物建筑可以采取收购、产权置换、出租等合法方式进行保护利用。</w:t>
      </w:r>
    </w:p>
    <w:p w14:paraId="461EB3F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（二）文物建筑所有权人出售政府给予修缮补助的非国有文物建筑的，市、区人民政府可以在同等条件下优先收购。</w:t>
      </w:r>
    </w:p>
    <w:p w14:paraId="56A0FEB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（三）鼓励依法通过流转、征收等方式取得属于文物建筑的农民房屋及其宅基地使用权。</w:t>
      </w:r>
    </w:p>
    <w:p w14:paraId="293BDB9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（四）非国有文物建筑涉及转让、抵押的，应当符合《中华人民共和国文物保护法》的相关规定。</w:t>
      </w:r>
    </w:p>
    <w:p w14:paraId="3193A86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w:t>
      </w:r>
      <w:r>
        <w:rPr>
          <w:rFonts w:hint="eastAsia" w:ascii="Times New Roman" w:hAnsi="Times New Roman" w:eastAsia="方正仿宋简体" w:cs="宋体"/>
          <w:color w:val="000000"/>
          <w:kern w:val="0"/>
          <w:sz w:val="32"/>
          <w:szCs w:val="32"/>
        </w:rPr>
        <w:t>  市、区文物行政主管部门可以面向社会公众推介具有广州特色的、有代表性的文物保护利用典型案例，引导合理有效的文物保护利用方式，充分发挥文物科学研究、历史例证、旅游观览、宣传教育等作用。</w:t>
      </w:r>
    </w:p>
    <w:p w14:paraId="3CE01E4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区文物行政主管部门可以依法通过购买服务等方式向社会提供文物活化利用方面的信息服务和技术指导。鼓励社会专业人士或专业机构提供文物活化利用事务咨询与技术服务。文物行政主管部门可以收集、发布待利用文物建筑信息，引导社会力量参与文物保护利用。</w:t>
      </w:r>
    </w:p>
    <w:p w14:paraId="66686D3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w:t>
      </w:r>
      <w:r>
        <w:rPr>
          <w:rFonts w:hint="eastAsia" w:ascii="Times New Roman" w:hAnsi="Times New Roman" w:eastAsia="方正仿宋简体" w:cs="宋体"/>
          <w:color w:val="000000"/>
          <w:kern w:val="0"/>
          <w:sz w:val="32"/>
          <w:szCs w:val="32"/>
        </w:rPr>
        <w:t>  市、区文物行政主管部门应当鼓励和支持社会力量参与文物建筑保护和利用。社会力量可以通过社会公益基金、全额出资、与政府合作等方式，依托文物建筑进行文化创意、休闲游览、科研展陈、社区服务、经营服务等活动。文物建筑改变用途的，应当符合《中华人民共和国文物保护法》的相关规定。</w:t>
      </w:r>
    </w:p>
    <w:p w14:paraId="6387405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利用文物建筑从事经营活动的保护管理责任人，应当依法申请办理商事登记。涉及改变房屋使用用途、未取得不动产登记证明的,所在地街道办事处(镇人民政府)应当向申请人出具场地使用证明。场地使用证明不作为对建筑合法性的确认、不动产权属及使用功能的证明和房屋、土地征收补偿的依据。</w:t>
      </w:r>
    </w:p>
    <w:p w14:paraId="0307507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w:t>
      </w:r>
      <w:r>
        <w:rPr>
          <w:rFonts w:hint="eastAsia" w:ascii="Times New Roman" w:hAnsi="Times New Roman" w:eastAsia="方正仿宋简体" w:cs="宋体"/>
          <w:color w:val="000000"/>
          <w:kern w:val="0"/>
          <w:sz w:val="32"/>
          <w:szCs w:val="32"/>
        </w:rPr>
        <w:t>  文物活化利用涉及不可移动文物修缮等文物保护工程的，依照《文物保护工程管理办法》及相关法律法规管理。符合《广州市文物保护专项资金管理办法》规定的，可以申请文物保护专项资金补助。</w:t>
      </w:r>
    </w:p>
    <w:p w14:paraId="2EB9A39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w:t>
      </w:r>
      <w:r>
        <w:rPr>
          <w:rFonts w:hint="eastAsia" w:ascii="Times New Roman" w:hAnsi="Times New Roman" w:eastAsia="方正仿宋简体" w:cs="宋体"/>
          <w:color w:val="000000"/>
          <w:kern w:val="0"/>
          <w:sz w:val="32"/>
          <w:szCs w:val="32"/>
        </w:rPr>
        <w:t>  本办法自2024年11月9日起实施，有效期5年。</w:t>
      </w:r>
    </w:p>
    <w:p w14:paraId="2E290F71">
      <w:pPr>
        <w:widowControl/>
        <w:shd w:val="clear" w:color="auto" w:fill="FFFFFF"/>
        <w:jc w:val="left"/>
        <w:textAlignment w:val="baseline"/>
        <w:rPr>
          <w:rFonts w:hint="eastAsia" w:ascii="Times New Roman" w:hAnsi="Times New Roman" w:eastAsia="方正仿宋简体" w:cs="宋体"/>
          <w:color w:val="000000"/>
          <w:kern w:val="0"/>
          <w:sz w:val="32"/>
          <w:szCs w:val="32"/>
        </w:rPr>
      </w:pPr>
    </w:p>
    <w:p w14:paraId="545AC288">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公开方式：</w:t>
      </w:r>
      <w:r>
        <w:rPr>
          <w:rFonts w:hint="eastAsia" w:ascii="Times New Roman" w:hAnsi="Times New Roman" w:eastAsia="方正仿宋简体" w:cs="宋体"/>
          <w:color w:val="000000"/>
          <w:kern w:val="0"/>
          <w:sz w:val="32"/>
          <w:szCs w:val="32"/>
        </w:rPr>
        <w:t>主动公开</w:t>
      </w:r>
    </w:p>
    <w:p w14:paraId="0540AAEE">
      <w:pPr>
        <w:widowControl/>
        <w:spacing w:line="420" w:lineRule="atLeast"/>
        <w:ind w:firstLine="475"/>
        <w:jc w:val="left"/>
        <w:rPr>
          <w:rFonts w:hint="eastAsia" w:ascii="Times New Roman" w:hAnsi="Times New Roman" w:eastAsia="方正仿宋简体" w:cs="宋体"/>
          <w:color w:val="000000"/>
          <w:kern w:val="0"/>
          <w:sz w:val="32"/>
          <w:szCs w:val="32"/>
        </w:rPr>
      </w:pPr>
    </w:p>
    <w:p w14:paraId="4E91B488">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9.26广州开发区管委会 广州市黄埔区人民政府关于修订广州开发区（黄埔区）进一步支持港澳青年创新创业实施办法的通知</w:t>
      </w:r>
    </w:p>
    <w:p w14:paraId="40C9C726">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广州开发区管委会直属各单位；黄埔区各镇街，区府属各单位：</w:t>
      </w:r>
    </w:p>
    <w:p w14:paraId="62BCA1B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现将修订后的《广州开发区（黄埔区）进一步支持港澳青年创新创业实施办法》印发给你们，请认真遵照执行。执行过程中如遇问题，请径向区政研室反映。</w:t>
      </w:r>
    </w:p>
    <w:p w14:paraId="2856C569">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广州开发区管理委员会 广州市黄埔区人民政府</w:t>
      </w:r>
    </w:p>
    <w:p w14:paraId="6E6A7E51">
      <w:pPr>
        <w:widowControl/>
        <w:shd w:val="clear" w:color="auto" w:fill="FFFFFF"/>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2024年9月26日</w:t>
      </w:r>
    </w:p>
    <w:p w14:paraId="083FFC54">
      <w:pPr>
        <w:widowControl/>
        <w:shd w:val="clear" w:color="auto" w:fill="FFFFFF"/>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广州开发区（黄埔区）进一步支持港澳青年创新创业实施办法</w:t>
      </w:r>
    </w:p>
    <w:p w14:paraId="7AD772B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 </w:t>
      </w:r>
      <w:r>
        <w:rPr>
          <w:rFonts w:hint="eastAsia" w:ascii="Times New Roman" w:hAnsi="Times New Roman" w:eastAsia="方正仿宋简体" w:cs="宋体"/>
          <w:color w:val="000000"/>
          <w:kern w:val="0"/>
          <w:sz w:val="32"/>
          <w:szCs w:val="32"/>
        </w:rPr>
        <w:t>为全面落实《粤港澳大湾区发展规划纲要》，支持港澳青年融入国家、参与国家建设，为港澳青年创新创业提供更多机遇和更好条件，让港澳青年在广州开发区、广州市黄埔区更加安心创业、深耕事业、安居乐业，促进粤港澳青年广泛交往、全面交流、深度交融，增强对国家的向心力，结合本区实际，制定本办法。</w:t>
      </w:r>
    </w:p>
    <w:p w14:paraId="5BB79FC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本办法所称港澳青年，是指年龄范围18—45周岁的香港、澳门籍居民，遵纪守法，拥护“一国两制”，无违法违规等不良行为记录。</w:t>
      </w:r>
    </w:p>
    <w:p w14:paraId="65545005">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办法所称港澳青年创办企业或机构，是指以港澳青年为主要创办人的企业或机构，同时满足以下条件：港澳青年实际权益持股比例25%以上，在广州开发区、广州市黄埔区及其受托管理和下辖园区（以下简称本区）范围内从事创新创业活动的各类经营主体。上述经营主体须遵守国家统计、税收征管、信用管理等规定，依法诚信开展经营活动。</w:t>
      </w:r>
    </w:p>
    <w:p w14:paraId="23D560A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本办法所称港澳青年创新创业孵化载体，是指经县（区）级以上科技主管部门认定的科技企业孵化载体，并被广东省或广州市或广州开发区、广州市黄埔区确定或授牌为港澳青年创新创业基地。</w:t>
      </w:r>
    </w:p>
    <w:p w14:paraId="65569E4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第二条【创业资助】</w:t>
      </w:r>
      <w:r>
        <w:rPr>
          <w:rFonts w:hint="eastAsia" w:ascii="Times New Roman" w:hAnsi="Times New Roman" w:eastAsia="方正仿宋简体" w:cs="宋体"/>
          <w:color w:val="000000"/>
          <w:kern w:val="0"/>
          <w:sz w:val="32"/>
          <w:szCs w:val="32"/>
        </w:rPr>
        <w:t>支持港澳青年和中小微企业在内地发展，对政策有效期内在港澳青年创新创业孵化载体新孵化并正常运营的港澳青年创办的首家企业或机构，给予1万元一次性创业补助。（责任单位：区科技创新局）</w:t>
      </w:r>
    </w:p>
    <w:p w14:paraId="433D4BE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第三条【项目引育】</w:t>
      </w:r>
      <w:r>
        <w:rPr>
          <w:rFonts w:hint="eastAsia" w:ascii="Times New Roman" w:hAnsi="Times New Roman" w:eastAsia="方正仿宋简体" w:cs="宋体"/>
          <w:color w:val="000000"/>
          <w:kern w:val="0"/>
          <w:sz w:val="32"/>
          <w:szCs w:val="32"/>
        </w:rPr>
        <w:t>支持港澳青年创新创业孵化载体引入并培育优秀港澳青年创办企业。每新入驻1家港澳青年创办企业且首次完成科技型中小企业入库的，给予载体运营单位1万元扶持，单个载体每年最高50万元。（责任单位：区科技创新局）</w:t>
      </w:r>
    </w:p>
    <w:p w14:paraId="6B39047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第四条【创新激励】</w:t>
      </w:r>
      <w:r>
        <w:rPr>
          <w:rFonts w:hint="eastAsia" w:ascii="Times New Roman" w:hAnsi="Times New Roman" w:eastAsia="方正仿宋简体" w:cs="宋体"/>
          <w:color w:val="000000"/>
          <w:kern w:val="0"/>
          <w:sz w:val="32"/>
          <w:szCs w:val="32"/>
        </w:rPr>
        <w:t>支持港澳青年创新创业项目“做大做优”，每年评选不超过5个港澳青年创新创业优秀项目，单个项目给予3万元一次性扶持。（责任单位：区发展改革局）</w:t>
      </w:r>
    </w:p>
    <w:p w14:paraId="1994CD7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支持港澳青年在知识产权方面发挥优势，推进粤港澳在知识产权方面的互融互通，推动知识产权协同创新，促进三地知识产权优势互补、协同发展。（责任单位：区知识产权局）</w:t>
      </w:r>
    </w:p>
    <w:p w14:paraId="0A3AAC9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第五条【金融支持】</w:t>
      </w:r>
      <w:r>
        <w:rPr>
          <w:rFonts w:hint="eastAsia" w:ascii="Times New Roman" w:hAnsi="Times New Roman" w:eastAsia="方正仿宋简体" w:cs="宋体"/>
          <w:color w:val="000000"/>
          <w:kern w:val="0"/>
          <w:sz w:val="32"/>
          <w:szCs w:val="32"/>
        </w:rPr>
        <w:t>充分发挥政府引导基金作用，重点投资各类优质港澳青年创新创业项目，提供天使投资、股权投资、投后增值等覆盖各阶段的多层次服务。（责任单位：区国资局）</w:t>
      </w:r>
    </w:p>
    <w:p w14:paraId="446171AB">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充分利用区科技信贷风险补偿政策、知识产权质押融资风险补偿资金池、普惠贷款风险补偿机制，鼓励和引导银行业金融机构向港澳青年创办企业或机构提供信贷支持。（责任单位：区科技创新局、国资局、知识产权局）对取得商业银行机构贷款的港澳青年创办企业或机构，按照实际贷款发生额的1.5%（年利率）给予补贴，补贴期限不超过3年，每家每年最高补贴100万元。（责任单位：区国资局）</w:t>
      </w:r>
    </w:p>
    <w:p w14:paraId="42FAB958">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第六条【办公补贴】</w:t>
      </w:r>
      <w:r>
        <w:rPr>
          <w:rFonts w:hint="eastAsia" w:ascii="Times New Roman" w:hAnsi="Times New Roman" w:eastAsia="方正仿宋简体" w:cs="宋体"/>
          <w:color w:val="000000"/>
          <w:kern w:val="0"/>
          <w:sz w:val="32"/>
          <w:szCs w:val="32"/>
        </w:rPr>
        <w:t>对符合条件的入驻港澳青年创新创业孵化载体的港澳青年创办企业或机构，按照成立前两年100%最高20万元/年、第三年50%最高10万元/年的标准给予共三年办公场地租金补贴，补贴单价不超过50元/平方米/月，具体以实际结算金额为准，单个企业或机构最高补贴总额不超过50万元。对本办法实施前已入驻但成立时间未满三年的，可按该标准补贴至成立满三年。（责任单位：区科技创新局）</w:t>
      </w:r>
    </w:p>
    <w:p w14:paraId="44CB746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第七条【实习就业】</w:t>
      </w:r>
      <w:r>
        <w:rPr>
          <w:rFonts w:hint="eastAsia" w:ascii="Times New Roman" w:hAnsi="Times New Roman" w:eastAsia="方正仿宋简体" w:cs="宋体"/>
          <w:color w:val="000000"/>
          <w:kern w:val="0"/>
          <w:sz w:val="32"/>
          <w:szCs w:val="32"/>
        </w:rPr>
        <w:t>鼓励港澳青年到本区实（见）习就业，每年提供不少于1200个政府机关或企事业单位实（见）习岗位，向港澳高校学生提供不超过6个月的实（见）习机会，给予每人每月最高4000元实（见）习补贴，并对实（见）习人员提供住宿、保险等后勤保障服务。对接收参加政府部门短期实（见）习实践项目的港澳青年的实（见）习就业基地，每年择优遴选不超过10个，按每名参加实（见）习的港澳高校学生补贴2000元的标准给予基地扶持，单个基地每年最高补贴2万元。（责任单位：团区委）</w:t>
      </w:r>
    </w:p>
    <w:p w14:paraId="20D097A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毕业5年内与本区企业或机构签订2年以上劳动合同且稳定就业满1年的港澳青年博士、硕士、本科、大专（含副学士）毕业生，分别给予10万元、6万元、4万元、2万元一次性资助。（责任单位：区人力资源社会保障局）</w:t>
      </w:r>
    </w:p>
    <w:p w14:paraId="536DEF47">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对本区企业或机构每招用一名符合本条第二款条件的港澳青年毕业生的，给予用人单位5000元补贴，每家用人单位补贴总额不超过10万元。（责任单位：区人力资源社会保障局）</w:t>
      </w:r>
    </w:p>
    <w:p w14:paraId="0B9F05EA">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打造港澳青年之家，建立港澳青少年事务社工队伍，搭建专业运营管理和服务团队，为港澳青年创新创业基地场地、运营、项目引进、孵化等提供“一条龙”全周期服务，为入驻基地的港澳青创企业提供专业税收、政策解读、法律咨询等全方位政企服务，为来本区研学、实（见）习、就业、创业的港澳青年提供全流程“一对一”全链条服务。（责任单位：团区委）</w:t>
      </w:r>
    </w:p>
    <w:p w14:paraId="1A1D6012">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第八条【合作交流】</w:t>
      </w:r>
      <w:r>
        <w:rPr>
          <w:rFonts w:hint="eastAsia" w:ascii="Times New Roman" w:hAnsi="Times New Roman" w:eastAsia="方正仿宋简体" w:cs="宋体"/>
          <w:color w:val="000000"/>
          <w:kern w:val="0"/>
          <w:sz w:val="32"/>
          <w:szCs w:val="32"/>
        </w:rPr>
        <w:t>创新开展港澳青年交流活动，每年安排最高100万元打造“青春黄埔行”研学交流特色项目，高质量举办粤港澳青年人才交流会、青年创新创业分享会、青年职业训练营、岭南民俗文化体验等交流活动，不断增强港澳青年凝聚力和向心力。（责任单位：团区委）</w:t>
      </w:r>
    </w:p>
    <w:p w14:paraId="77260AD4">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对在本区牵头成立的港澳青年协会，经认定每年给予最高50万元经费补贴。（责任单位：团区委）</w:t>
      </w:r>
    </w:p>
    <w:p w14:paraId="45E79D1E">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第九条【生活保障】</w:t>
      </w:r>
      <w:r>
        <w:rPr>
          <w:rFonts w:hint="eastAsia" w:ascii="Times New Roman" w:hAnsi="Times New Roman" w:eastAsia="方正仿宋简体" w:cs="宋体"/>
          <w:color w:val="000000"/>
          <w:kern w:val="0"/>
          <w:sz w:val="32"/>
          <w:szCs w:val="32"/>
        </w:rPr>
        <w:t>对在本区创新创业及就业的港澳青年，每月给予1500元生活补贴，补贴期限3年。已享受交通资助未满三年的，按该标准补贴至满三年，不再按交通资助标准给予补贴。（责任单位：区人力资源社会保障局）</w:t>
      </w:r>
    </w:p>
    <w:p w14:paraId="62FC39F9">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营造港澳青年宜居环境，为符合条件的港澳青年提供人才住房，并按不低于实际租赁价格的50%给予租金补贴。（责任单位：区建设和交通局）</w:t>
      </w:r>
    </w:p>
    <w:p w14:paraId="1C8B7F41">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 </w:t>
      </w:r>
      <w:r>
        <w:rPr>
          <w:rFonts w:hint="eastAsia" w:ascii="Times New Roman" w:hAnsi="Times New Roman" w:eastAsia="方正仿宋简体" w:cs="宋体"/>
          <w:color w:val="000000"/>
          <w:kern w:val="0"/>
          <w:sz w:val="32"/>
          <w:szCs w:val="32"/>
        </w:rPr>
        <w:t>符合本办法规定的同一项目、同一事项同时符合本区其他扶持政策规定的，按照从高不重复的原则予以支持。在本区发展的台湾青年参照适用本办法。台湾青年创新创业孵化载体的标准另行规定。</w:t>
      </w:r>
    </w:p>
    <w:p w14:paraId="01CAF270">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办法自印发之日起施行，有效期至2025年8月21日。执行期间如遇国家、省、市有关政策及规定调整的，本办法可进行相应调整。原《广州市黄埔区、广州开发区进一步支持港澳青年创新创业实施办法》（穗埔府规〔2022〕8号）及其配套文件《广州市黄埔区、广州开发区进一步支持港澳青年创新创业实施办法细则》（穗埔科规字〔2023〕1号）同时废止。</w:t>
      </w:r>
    </w:p>
    <w:p w14:paraId="7635E12B">
      <w:pPr>
        <w:widowControl/>
        <w:shd w:val="clear" w:color="auto" w:fill="FFFFFF"/>
        <w:textAlignment w:val="baseline"/>
        <w:rPr>
          <w:rFonts w:hint="eastAsia" w:ascii="Times New Roman" w:hAnsi="Times New Roman" w:eastAsia="方正仿宋简体" w:cs="宋体"/>
          <w:color w:val="000000"/>
          <w:kern w:val="0"/>
          <w:sz w:val="32"/>
          <w:szCs w:val="32"/>
        </w:rPr>
      </w:pPr>
    </w:p>
    <w:p w14:paraId="5DF02ACC">
      <w:pPr>
        <w:widowControl/>
        <w:shd w:val="clear" w:color="auto" w:fill="FFFFFF"/>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公开方式：主动公开</w:t>
      </w:r>
    </w:p>
    <w:p w14:paraId="300DE499">
      <w:pPr>
        <w:widowControl/>
        <w:spacing w:before="504" w:line="240" w:lineRule="atLeast"/>
        <w:ind w:firstLine="8122"/>
        <w:jc w:val="left"/>
        <w:rPr>
          <w:rFonts w:hint="eastAsia" w:ascii="Times New Roman" w:hAnsi="Times New Roman" w:eastAsia="方正仿宋简体" w:cs="宋体"/>
          <w:color w:val="000000"/>
          <w:kern w:val="0"/>
          <w:sz w:val="32"/>
          <w:szCs w:val="32"/>
        </w:rPr>
      </w:pPr>
    </w:p>
    <w:p w14:paraId="10F11E1F">
      <w:pPr>
        <w:widowControl w:val="0"/>
        <w:bidi w:val="0"/>
        <w:spacing w:after="80"/>
        <w:contextualSpacing/>
        <w:jc w:val="center"/>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9.29广州琶洲人工智能与数字经济试验区管理委员会 广州市海珠区科技工业商务和信息化局关于印发广州市海珠区建设“琶洲算谷”若干促进措施的通知</w:t>
      </w:r>
    </w:p>
    <w:p w14:paraId="7F1E388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各有关单位：</w:t>
      </w:r>
    </w:p>
    <w:p w14:paraId="6FEFDE7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经区政府同意，现将修订后的《广州市海珠区建设“琶洲算谷”若干促进措施》印发给你们，请遵照执行。</w:t>
      </w:r>
    </w:p>
    <w:p w14:paraId="1929A218">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广州琶洲人工智能与数字经济试验区管理委员会</w:t>
      </w:r>
    </w:p>
    <w:p w14:paraId="0E575EA2">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广州市海珠区科技工业商务和信息化局</w:t>
      </w:r>
    </w:p>
    <w:p w14:paraId="2AA3E65C">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2024年9月29日</w:t>
      </w:r>
    </w:p>
    <w:p w14:paraId="2D940448">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广州市海珠区建设“琶洲算谷”若干促进措施</w:t>
      </w:r>
    </w:p>
    <w:p w14:paraId="32CC6A63">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第一章  总则</w:t>
      </w:r>
    </w:p>
    <w:p w14:paraId="1D04C98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 </w:t>
      </w:r>
      <w:r>
        <w:rPr>
          <w:rFonts w:hint="eastAsia" w:ascii="Times New Roman" w:hAnsi="Times New Roman" w:eastAsia="方正仿宋简体" w:cs="Times New Roman"/>
          <w:color w:val="000000"/>
          <w:kern w:val="0"/>
          <w:sz w:val="32"/>
          <w:szCs w:val="32"/>
        </w:rPr>
        <w:t>为深入贯彻国家数字经济发展战略，坚持创新驱动引领高质量发展，根据《国务院关于印发“十四五”数字经济发展规划的通知》（国发〔2021〕29号）《广东省数字经济促进条例》《广州市数字经济促进条例》等文件要求，聚焦“算法、算力、数据”人工智能发展三大支柱，通过集聚一批龙头企业，培育一批中小企业，引聚一批重点人才，打造一批特色载体，做强琶洲人工智能与数字经济试验区（简称琶洲试验区）产业之核，加快建设“琶洲算谷”，结合我区实际，制定本措施。</w:t>
      </w:r>
    </w:p>
    <w:p w14:paraId="37370583">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第二章  适用对象</w:t>
      </w:r>
    </w:p>
    <w:p w14:paraId="0077200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 </w:t>
      </w:r>
      <w:r>
        <w:rPr>
          <w:rFonts w:hint="eastAsia" w:ascii="Times New Roman" w:hAnsi="Times New Roman" w:eastAsia="方正仿宋简体" w:cs="Times New Roman"/>
          <w:color w:val="000000"/>
          <w:kern w:val="0"/>
          <w:sz w:val="32"/>
          <w:szCs w:val="32"/>
        </w:rPr>
        <w:t>本措施适用于有健全的财务制度，在海珠区依法从事相关生产经营活动，主营业务为与算法产业发展密切相关的技术、产品、服务、基础设施配套的市场主体，重点支持以下领域：</w:t>
      </w:r>
    </w:p>
    <w:p w14:paraId="2A8B7A0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（一）集成电路设计；</w:t>
      </w:r>
    </w:p>
    <w:p w14:paraId="5EF4F1D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（二）芯片制造或销售；</w:t>
      </w:r>
    </w:p>
    <w:p w14:paraId="66F5E41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（三）高端软件开发；</w:t>
      </w:r>
    </w:p>
    <w:p w14:paraId="4A262F5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（四）智能计算基础设施项目；</w:t>
      </w:r>
    </w:p>
    <w:p w14:paraId="08CF18E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（五）算法特色主题楼宇、园区。</w:t>
      </w:r>
    </w:p>
    <w:p w14:paraId="66D7F2D1">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第三章  奖励措施</w:t>
      </w:r>
    </w:p>
    <w:p w14:paraId="54EB077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 【研发投入补助】</w:t>
      </w:r>
    </w:p>
    <w:p w14:paraId="0CF990B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（一）对琶洲试验区内购买EDA（电子设计自动化）设计工具进行研发的企业，按照上年度实际发生购买费用的50%给予补助，每年最高100万元。</w:t>
      </w:r>
    </w:p>
    <w:p w14:paraId="2495D5E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（二）对琶洲试验区内从事集成电路EDA设计工具研发的企业，按照上年度EDA研发费用的50%给予补助，每年最高500万元。</w:t>
      </w:r>
    </w:p>
    <w:p w14:paraId="7B500FC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对集成电路设计、制造、封测公共服务平台提供EDA工具和IP（知识产权）、设计解决方案、先进工艺流片、先进封测服务、测试验证设备等用于支撑区内企业芯片研发服务的，一次性给予平台建设企业实际建设投入20%的补助，最高300万元。</w:t>
      </w:r>
    </w:p>
    <w:p w14:paraId="3B746DA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 【企业规模化发展奖励】</w:t>
      </w:r>
    </w:p>
    <w:p w14:paraId="7B42923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（一）琶洲试验区内新增从事集成电路设计、芯片制造或销售、EDA、高端软件开发、算力运维服务等主营业务的市场主体，给予以下支持：</w:t>
      </w:r>
    </w:p>
    <w:p w14:paraId="70410AF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1.上年度在本区主营业务收入首次达到5000万元以上且诚信经营、无重大生产安全事故，最高给予30万元奖励；</w:t>
      </w:r>
    </w:p>
    <w:p w14:paraId="1295CF4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2.上年度在本区主营业务收入首次达到1亿元以上且诚信经营、无重大生产安全事故，最高给予50万元奖励；</w:t>
      </w:r>
    </w:p>
    <w:p w14:paraId="3D6F4A3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3.上年度在本区主营业务收入首次达到5亿元以上且诚信经营、无重大生产安全事故，最高给予200万元奖励；</w:t>
      </w:r>
    </w:p>
    <w:p w14:paraId="67C171B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4.上年度在本区主营业务收入首次达到10亿元以上且诚信经营、无重大生产安全事故，最高给予500万元奖励；</w:t>
      </w:r>
    </w:p>
    <w:p w14:paraId="63583B7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可从实际达到奖励条件的年度起给予奖励，所奖励年度应在本政策有效期内。</w:t>
      </w:r>
    </w:p>
    <w:p w14:paraId="469A33B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（二）对在琶洲试验区内从事集成电路设计、芯片制造或销售、EDA、高端软件开发、算力运维服务等主营业务的市场主体，</w:t>
      </w:r>
    </w:p>
    <w:p w14:paraId="028A9E7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给予以下支持：</w:t>
      </w:r>
    </w:p>
    <w:p w14:paraId="4E2F8CD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1.上年度在本区主营业务收入增量首次达到5000万元以上且诚信经营、无重大生产安全事故，最高给予50万元奖励；</w:t>
      </w:r>
    </w:p>
    <w:p w14:paraId="15A6CA4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2.上年度在本区主营业务收入增量首次达到1亿元以上且诚信经营、无重大生产安全事故，最高给予100万元奖励；</w:t>
      </w:r>
    </w:p>
    <w:p w14:paraId="5CB188D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3.上年度在本区主营业务收入增量首次达到5亿元以上且诚信经营、无重大生产安全事故，最高给予200万元奖励；</w:t>
      </w:r>
    </w:p>
    <w:p w14:paraId="4E2D8CD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4.上年度在本区主营业务收入增量首次达到10亿元以上且诚信经营、无重大生产安全事故，最高给予500万元奖励；</w:t>
      </w:r>
    </w:p>
    <w:p w14:paraId="40D2722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主营业务收入逐级达到奖励标准的，奖励差额部分。</w:t>
      </w:r>
    </w:p>
    <w:p w14:paraId="27F2B3A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 【产品突破创新奖励】</w:t>
      </w:r>
    </w:p>
    <w:p w14:paraId="3435982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鼓励集成电路设计企业加快产品突破及量产，对符合芯片制程条件的多项目晶圆首轮流片的集成电路设计企业，按该款产品首轮流片费用的50%给予奖励，最高200万元。对集成电路企业研发生产的产品列入工信部门首批次新材料或首版次软件指导目录并实现销售的，经评审给予最高200万元奖励。</w:t>
      </w:r>
    </w:p>
    <w:p w14:paraId="59B7CD5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 【应用场景示范项目奖励】</w:t>
      </w:r>
    </w:p>
    <w:p w14:paraId="2850730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（一）鼓励企业在琶洲试验区内重点围绕新兴产业、城市管理、民生改善等领域运用数字技术打造应用场景示范项目。对企业自行投资建成的项目，按照项目建设投资额的20%给予奖励，最高100万元。</w:t>
      </w:r>
    </w:p>
    <w:p w14:paraId="029B5B9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（二）对评为国家级相关示范应用项目的，给予最高100万元的一次性奖励。</w:t>
      </w:r>
    </w:p>
    <w:p w14:paraId="0DA700B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同一示范应用项目，符合相应条件可同时获得上述两项支持措施。</w:t>
      </w:r>
    </w:p>
    <w:p w14:paraId="6B3354F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 【人工智能算力基础设施补助】</w:t>
      </w:r>
    </w:p>
    <w:p w14:paraId="232ABF2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（一）鼓励建设高效智能、安全可靠、绿色低碳、普惠开放的人工智能算力基础设施，打造公共算力服务平台。对企业投资建成的智算中心项目，根据建设投资额及算力规模给予最高500万元的一次性补助。</w:t>
      </w:r>
    </w:p>
    <w:p w14:paraId="5E72D1D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（二）对琶洲试验区内购买区内智算中心算力服务的企业，按照上年度实际发生购买并已完成支付的算力服务费用的30%，每年最高给予50万元补助。</w:t>
      </w:r>
    </w:p>
    <w:p w14:paraId="1A4D606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 【重点人才贡献奖励】</w:t>
      </w:r>
    </w:p>
    <w:p w14:paraId="55920CA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鼓励企业将在本区获得的奖励资金总额中50%以上的比例，用于企业重点人才补助。可按企业需要在扣除个人所得税后一次性划入其个人账户。奖励资金具体分配方案由企业自主确定。重点人才推荐实行企业承诺制，由企业推荐拟受奖励的重点人才和奖励方案，并对其资格条件负责。</w:t>
      </w:r>
    </w:p>
    <w:p w14:paraId="38E93E9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（二）对重点算法企业，依法统筹协调重点人才入户、子女入学、人才公寓、人才绿卡等政策。</w:t>
      </w:r>
    </w:p>
    <w:p w14:paraId="2F1BB0B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第九条 【办公用房补助】</w:t>
      </w:r>
    </w:p>
    <w:p w14:paraId="52A31BC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区内重点算法企业增资扩产产生的用地用房需求，协调区内资源给予保障。对本区新增的算法企业，在琶洲试验区租赁自用办公用房，按规定完成房屋租赁登记备案且已支付租金的，给予连续2年办公用房补助。</w:t>
      </w:r>
    </w:p>
    <w:p w14:paraId="468B8C1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（一）对上年度在本区主营业务收入5000万元以上且诚信经营、无重大生产安全事故的企业，以建筑面积计，按照20元/</w:t>
      </w:r>
      <w:r>
        <w:rPr>
          <w:rFonts w:hint="eastAsia" w:ascii="Times New Roman" w:hAnsi="Times New Roman" w:eastAsia="方正仿宋简体" w:cs="微软雅黑"/>
          <w:color w:val="000000"/>
          <w:kern w:val="0"/>
          <w:sz w:val="32"/>
          <w:szCs w:val="32"/>
        </w:rPr>
        <w:t>㎡</w:t>
      </w:r>
      <w:r>
        <w:rPr>
          <w:rFonts w:hint="eastAsia" w:ascii="Times New Roman" w:hAnsi="Times New Roman" w:eastAsia="方正仿宋简体" w:cs="Times New Roman"/>
          <w:color w:val="000000"/>
          <w:kern w:val="0"/>
          <w:sz w:val="32"/>
          <w:szCs w:val="32"/>
        </w:rPr>
        <w:t>/月的标准给予补助，每年最高50万元。</w:t>
      </w:r>
    </w:p>
    <w:p w14:paraId="3C314F2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（二）对上年度在本区主营业务收入1亿元以上且诚信经营、无重大生产安全事故的企业，以建筑面积计，按照30元/</w:t>
      </w:r>
      <w:r>
        <w:rPr>
          <w:rFonts w:hint="eastAsia" w:ascii="Times New Roman" w:hAnsi="Times New Roman" w:eastAsia="方正仿宋简体" w:cs="微软雅黑"/>
          <w:color w:val="000000"/>
          <w:kern w:val="0"/>
          <w:sz w:val="32"/>
          <w:szCs w:val="32"/>
        </w:rPr>
        <w:t>㎡</w:t>
      </w:r>
      <w:r>
        <w:rPr>
          <w:rFonts w:hint="eastAsia" w:ascii="Times New Roman" w:hAnsi="Times New Roman" w:eastAsia="方正仿宋简体" w:cs="Times New Roman"/>
          <w:color w:val="000000"/>
          <w:kern w:val="0"/>
          <w:sz w:val="32"/>
          <w:szCs w:val="32"/>
        </w:rPr>
        <w:t>/月的标准给予补助，每年最高100万元。</w:t>
      </w:r>
    </w:p>
    <w:p w14:paraId="4E731C3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（三）对上年度在本区主营业务收入5亿元以上且诚信经营、无重大生产安全事故的企业，以建筑面积计，按照场地租金的100%给予补助，每年最高200万元。</w:t>
      </w:r>
    </w:p>
    <w:p w14:paraId="054DC07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企业若在新增年度未达到补助条件的，可从实际达到补助条件年度起给予补助，但补助期限相应缩短，即新增年度起2年后不再给予办公用房补助。</w:t>
      </w:r>
    </w:p>
    <w:p w14:paraId="2506A84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单个企业补助面积上限为1000平方米，海珠区三年累计该项补助面积不超过50000平方米。</w:t>
      </w:r>
    </w:p>
    <w:p w14:paraId="07C54AF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第十条 【载体招商奖励】</w:t>
      </w:r>
    </w:p>
    <w:p w14:paraId="379ACBA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对琶洲试验区内重点导入算法企业，塑造算法特色产业生态的楼宇、园区，授予算法产业特色楼宇、园区称号，并达成以下标准之一的，最高给予楼宇、园区相关运营团队50万元奖励。</w:t>
      </w:r>
    </w:p>
    <w:p w14:paraId="5799808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（一）楼宇、园区内上年度新增在本区主营业务收入2000万元以上且诚信经营、无重大生产安全事故的算法企业达5家以上；</w:t>
      </w:r>
    </w:p>
    <w:p w14:paraId="48E9ED9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（二）楼宇、园区内上年度新增的算法企业租用办公面积达到10000</w:t>
      </w:r>
      <w:r>
        <w:rPr>
          <w:rFonts w:hint="eastAsia" w:ascii="Times New Roman" w:hAnsi="Times New Roman" w:eastAsia="方正仿宋简体" w:cs="微软雅黑"/>
          <w:color w:val="000000"/>
          <w:kern w:val="0"/>
          <w:sz w:val="32"/>
          <w:szCs w:val="32"/>
        </w:rPr>
        <w:t>㎡</w:t>
      </w:r>
      <w:r>
        <w:rPr>
          <w:rFonts w:hint="eastAsia" w:ascii="Times New Roman" w:hAnsi="Times New Roman" w:eastAsia="方正仿宋简体" w:cs="仿宋_GB2312"/>
          <w:color w:val="000000"/>
          <w:kern w:val="0"/>
          <w:sz w:val="32"/>
          <w:szCs w:val="32"/>
        </w:rPr>
        <w:t>以上</w:t>
      </w:r>
      <w:r>
        <w:rPr>
          <w:rFonts w:hint="eastAsia" w:ascii="Times New Roman" w:hAnsi="Times New Roman" w:eastAsia="方正仿宋简体" w:cs="Times New Roman"/>
          <w:color w:val="000000"/>
          <w:kern w:val="0"/>
          <w:sz w:val="32"/>
          <w:szCs w:val="32"/>
        </w:rPr>
        <w:t>；</w:t>
      </w:r>
    </w:p>
    <w:p w14:paraId="294568B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（三）楼宇、园区内上年度新增的算法企业在本区主营业务收入合计达到1亿元以上且诚信经营、无重大生产安全事故。</w:t>
      </w:r>
    </w:p>
    <w:p w14:paraId="1ABCAD4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第十一条 【重大会议活动补助】</w:t>
      </w:r>
    </w:p>
    <w:p w14:paraId="08A9B5F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鼓励在琶洲试验区内举办高水平、高层次的算法领域产业峰会、重大论坛、创新大赛等活动，对有重大影响力、对算法产业发展有重大推动作用的，按实际合法签订且已支付的场租的30%给予补助，每场活动最高补助50万元。</w:t>
      </w:r>
    </w:p>
    <w:p w14:paraId="162CDBAC">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第四章  附则</w:t>
      </w:r>
    </w:p>
    <w:p w14:paraId="2202D0F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第十二条 </w:t>
      </w:r>
      <w:r>
        <w:rPr>
          <w:rFonts w:hint="eastAsia" w:ascii="Times New Roman" w:hAnsi="Times New Roman" w:eastAsia="方正仿宋简体" w:cs="Times New Roman"/>
          <w:color w:val="000000"/>
          <w:kern w:val="0"/>
          <w:sz w:val="32"/>
          <w:szCs w:val="32"/>
        </w:rPr>
        <w:t>本措施由广州琶洲人工智能与数字经济试验区管理委员会（以下简称“琶洲管委会”）、广州市海珠区科技工业商务和信息化局负责解释，由琶洲管委会组织实施，具体操作指引由琶洲管委会另行制定。</w:t>
      </w:r>
    </w:p>
    <w:p w14:paraId="5970E31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第十三条 </w:t>
      </w:r>
      <w:r>
        <w:rPr>
          <w:rFonts w:hint="eastAsia" w:ascii="Times New Roman" w:hAnsi="Times New Roman" w:eastAsia="方正仿宋简体" w:cs="Times New Roman"/>
          <w:color w:val="000000"/>
          <w:kern w:val="0"/>
          <w:sz w:val="32"/>
          <w:szCs w:val="32"/>
        </w:rPr>
        <w:t>本措施所指“琶洲试验区”地理范围为西起广州大道，东至珠江前航道与官洲水道交汇处，北至珠江前航道，南至新</w:t>
      </w:r>
      <w:r>
        <w:rPr>
          <w:rFonts w:hint="eastAsia" w:ascii="Times New Roman" w:hAnsi="Times New Roman" w:eastAsia="方正仿宋简体" w:cs="微软雅黑"/>
          <w:color w:val="000000"/>
          <w:kern w:val="0"/>
          <w:sz w:val="32"/>
          <w:szCs w:val="32"/>
        </w:rPr>
        <w:t>滘</w:t>
      </w:r>
      <w:r>
        <w:rPr>
          <w:rFonts w:hint="eastAsia" w:ascii="Times New Roman" w:hAnsi="Times New Roman" w:eastAsia="方正仿宋简体" w:cs="仿宋_GB2312"/>
          <w:color w:val="000000"/>
          <w:kern w:val="0"/>
          <w:sz w:val="32"/>
          <w:szCs w:val="32"/>
        </w:rPr>
        <w:t>路—赤沙涌—官洲水道</w:t>
      </w:r>
      <w:r>
        <w:rPr>
          <w:rFonts w:hint="eastAsia" w:ascii="Times New Roman" w:hAnsi="Times New Roman" w:eastAsia="方正仿宋简体" w:cs="Times New Roman"/>
          <w:color w:val="000000"/>
          <w:kern w:val="0"/>
          <w:sz w:val="32"/>
          <w:szCs w:val="32"/>
        </w:rPr>
        <w:t>。</w:t>
      </w:r>
    </w:p>
    <w:p w14:paraId="480F241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第十四条 </w:t>
      </w:r>
      <w:r>
        <w:rPr>
          <w:rFonts w:hint="eastAsia" w:ascii="Times New Roman" w:hAnsi="Times New Roman" w:eastAsia="方正仿宋简体" w:cs="Times New Roman"/>
          <w:color w:val="000000"/>
          <w:kern w:val="0"/>
          <w:sz w:val="32"/>
          <w:szCs w:val="32"/>
        </w:rPr>
        <w:t>本措施所指建设投资额是指该项目的工程结算价，且全部用于该项目建设。</w:t>
      </w:r>
    </w:p>
    <w:p w14:paraId="671A535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第十五条 </w:t>
      </w:r>
      <w:r>
        <w:rPr>
          <w:rFonts w:hint="eastAsia" w:ascii="Times New Roman" w:hAnsi="Times New Roman" w:eastAsia="方正仿宋简体" w:cs="Times New Roman"/>
          <w:color w:val="000000"/>
          <w:kern w:val="0"/>
          <w:sz w:val="32"/>
          <w:szCs w:val="32"/>
        </w:rPr>
        <w:t>本措施所指上年度是指上一自然年度，即自公历1月1日起至12月31日止。</w:t>
      </w:r>
    </w:p>
    <w:p w14:paraId="4F8278D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第十六条 </w:t>
      </w:r>
      <w:r>
        <w:rPr>
          <w:rFonts w:hint="eastAsia" w:ascii="Times New Roman" w:hAnsi="Times New Roman" w:eastAsia="方正仿宋简体" w:cs="Times New Roman"/>
          <w:color w:val="000000"/>
          <w:kern w:val="0"/>
          <w:sz w:val="32"/>
          <w:szCs w:val="32"/>
        </w:rPr>
        <w:t>本措施所指“以上”包含本数。</w:t>
      </w:r>
    </w:p>
    <w:p w14:paraId="155D3AB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第十七条 </w:t>
      </w:r>
      <w:r>
        <w:rPr>
          <w:rFonts w:hint="eastAsia" w:ascii="Times New Roman" w:hAnsi="Times New Roman" w:eastAsia="方正仿宋简体" w:cs="Times New Roman"/>
          <w:color w:val="000000"/>
          <w:kern w:val="0"/>
          <w:sz w:val="32"/>
          <w:szCs w:val="32"/>
        </w:rPr>
        <w:t>获扶持对象应合规使用资金，主动配合相关职能部门的监督检查和审计等工作，并履行好社会责任。申请享受本措施扶持的企业需无不良信用记录，并签订相关承诺书。</w:t>
      </w:r>
    </w:p>
    <w:p w14:paraId="108E565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第十八条 </w:t>
      </w:r>
      <w:r>
        <w:rPr>
          <w:rFonts w:hint="eastAsia" w:ascii="Times New Roman" w:hAnsi="Times New Roman" w:eastAsia="方正仿宋简体" w:cs="Times New Roman"/>
          <w:color w:val="000000"/>
          <w:kern w:val="0"/>
          <w:sz w:val="32"/>
          <w:szCs w:val="32"/>
        </w:rPr>
        <w:t>本措施自印发之日起施行，有效期至2025年7月1日，2023年1月1日至本办法印发之日期间符合本办法补贴与奖励条件的，可参照本办法程序申报补贴。2022年7月1日印发的《广州市海珠区建设“琶洲算谷”若干促进措施》（海科工商信规字〔2022〕6号）同时废止。有效期届满或有关法律政策依据变化，将根据实施情况予以评估修订。因不可抗力、上级政府或部门行为或者相关法律、法规、规章、政策出台导致本措施无法执行时，相关扶持停止。因上级法律、法规、规章及政策调整导致本措施与上级规定不一致的，适用上级规定，本措施相应条款不再执行。</w:t>
      </w:r>
    </w:p>
    <w:p w14:paraId="0C4302B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675EF0C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广州琶洲人工智能与数字经济试验区管理委员会综合科   2024年10月12日印发</w:t>
      </w:r>
    </w:p>
    <w:p w14:paraId="0B0ACCE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03A99CF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英文版：</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"https://www.gz.gov.cn/attachment/7/7712/7712215/9910600.docx"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Notice of Management Committee of Guangzhou Pazhou Artificial Intelligence and Digital Economy Pilot Zone and Haizhu District Bureau of Science, Technology, Industry, Commerce and Information Technology on Issuing Several Measures of Haizhu District in Guangzhou for Promoting the Construction of "Pazhou Algorithmic Silicon Valley".docx</w:t>
      </w:r>
      <w:r>
        <w:rPr>
          <w:rFonts w:hint="eastAsia" w:ascii="Times New Roman" w:hAnsi="Times New Roman" w:eastAsia="方正仿宋简体" w:cs="Times New Roman"/>
          <w:color w:val="000000"/>
          <w:kern w:val="0"/>
          <w:sz w:val="32"/>
          <w:szCs w:val="32"/>
          <w:u w:val="single"/>
        </w:rPr>
        <w:fldChar w:fldCharType="end"/>
      </w:r>
    </w:p>
    <w:p w14:paraId="149FC823">
      <w:pPr>
        <w:widowControl/>
        <w:spacing w:line="510" w:lineRule="atLeast"/>
        <w:ind w:firstLine="480"/>
        <w:jc w:val="center"/>
        <w:rPr>
          <w:rFonts w:hint="eastAsia" w:ascii="Times New Roman" w:hAnsi="Times New Roman" w:eastAsia="方正仿宋简体" w:cs="宋体"/>
          <w:color w:val="000000"/>
          <w:kern w:val="0"/>
          <w:sz w:val="32"/>
          <w:szCs w:val="32"/>
        </w:rPr>
      </w:pPr>
    </w:p>
    <w:p w14:paraId="1559450F">
      <w:pPr>
        <w:shd w:val="clear" w:color="auto" w:fill="FFFFFF"/>
        <w:jc w:val="center"/>
        <w:textAlignment w:val="baseline"/>
        <w:outlineLvl w:val="0"/>
        <w:rPr>
          <w:rFonts w:hint="eastAsia" w:ascii="Times New Roman" w:hAnsi="Times New Roman" w:eastAsia="方正仿宋简体" w:cs="宋体"/>
          <w:b/>
          <w:color w:val="000000"/>
          <w:kern w:val="0"/>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广州市海珠区科技工业商务和信息化局关于印发广州市海珠区促进产业互联网发展扶持办法的通知</w:t>
      </w:r>
    </w:p>
    <w:p w14:paraId="57203B1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各有关单位：</w:t>
      </w:r>
    </w:p>
    <w:p w14:paraId="4B63D6B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经区政府同意，现将修订后的《广州市海珠区促进产业互联网发展扶持办法》印发给你们，请遵照执行。</w:t>
      </w:r>
    </w:p>
    <w:p w14:paraId="648D88C2">
      <w:pPr>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广州市海珠区科技工业商务和信息化局</w:t>
      </w:r>
    </w:p>
    <w:p w14:paraId="7FE93AB1">
      <w:pPr>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2024年9月29日</w:t>
      </w:r>
    </w:p>
    <w:p w14:paraId="2215C466">
      <w:pPr>
        <w:spacing w:after="150" w:line="420" w:lineRule="atLeast"/>
        <w:jc w:val="center"/>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广州市海珠区促进产业互联网发展扶持办法</w:t>
      </w:r>
    </w:p>
    <w:p w14:paraId="0316E30B">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w:t>
      </w:r>
      <w:r>
        <w:rPr>
          <w:rFonts w:hint="eastAsia" w:ascii="Times New Roman" w:hAnsi="Times New Roman" w:eastAsia="方正仿宋简体" w:cs="Times New Roman"/>
          <w:color w:val="000000"/>
          <w:kern w:val="0"/>
          <w:sz w:val="32"/>
          <w:szCs w:val="32"/>
        </w:rPr>
        <w:t> 为贯彻落实《国务院关于印发“十四五”数字经济发展规划的通知》（国发〔2021〕29号）、《工业和信息化部办公厅关于推动工业互联网加快发展的通知》（工信厅信管〔2020〕8号）、《广东省数字经济促进条例》有关精神，进一步做强做大海珠区（以下简称“本区”）产业互联网供给体系，推动产业数字化，优化产业链生态和要素，推动产业互联网融通应用，培育产业新动能和增长极，结合本区实际，制定本办法。</w:t>
      </w:r>
    </w:p>
    <w:p w14:paraId="2DEE63C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w:t>
      </w:r>
      <w:r>
        <w:rPr>
          <w:rFonts w:hint="eastAsia" w:ascii="Times New Roman" w:hAnsi="Times New Roman" w:eastAsia="方正仿宋简体" w:cs="Times New Roman"/>
          <w:color w:val="000000"/>
          <w:kern w:val="0"/>
          <w:sz w:val="32"/>
          <w:szCs w:val="32"/>
        </w:rPr>
        <w:t> 本办法适用于在海珠区依法从事生产经营活动、有健全财务制度的产业互联网企业、制造企业、研发中心、批发零售企业、电商等企业或相关行业机构。</w:t>
      </w:r>
    </w:p>
    <w:p w14:paraId="3ED72201">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w:t>
      </w:r>
      <w:r>
        <w:rPr>
          <w:rFonts w:hint="eastAsia" w:ascii="Times New Roman" w:hAnsi="Times New Roman" w:eastAsia="方正仿宋简体" w:cs="Times New Roman"/>
          <w:color w:val="000000"/>
          <w:kern w:val="0"/>
          <w:sz w:val="32"/>
          <w:szCs w:val="32"/>
        </w:rPr>
        <w:t> 【丰富产业互联网平台体系】 鼓励自主可控、安全稳定、信用良好、创新活跃、资源丰富的工业互联网平台、产业互联网交易服务平台、智能制造平台落户或新建，其中：</w:t>
      </w:r>
    </w:p>
    <w:p w14:paraId="784AA3C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对列入国家试点示范项目的工业互联网平台，采取事后资助方式，按不超过平台建设投入总额的30%予以平台建设企业资助，其中，跨行业跨领域工业互联网平台奖励最高不超过500万元；面向汽车、智能交通、纺织服装、钢铁、定制家居、生物医药、美妆护肤等行业特色专业型工业互联网平台奖励最高不超过300万元。</w:t>
      </w:r>
    </w:p>
    <w:p w14:paraId="69C562E1">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（二）对主营业务收入1亿元以上且取得平台软件著作权的产业互联网交易服务平台、智能制造平台企业，给予最高不超过100万元的奖励。鼓励平台取得相关发明专利。</w:t>
      </w:r>
    </w:p>
    <w:p w14:paraId="7B30AC10">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w:t>
      </w:r>
      <w:r>
        <w:rPr>
          <w:rFonts w:hint="eastAsia" w:ascii="Times New Roman" w:hAnsi="Times New Roman" w:eastAsia="方正仿宋简体" w:cs="Times New Roman"/>
          <w:color w:val="000000"/>
          <w:kern w:val="0"/>
          <w:sz w:val="32"/>
          <w:szCs w:val="32"/>
        </w:rPr>
        <w:t> 【支持产业互联网企业提速发展】支持具有核心自主知识产权的产业互联网企业发展，对年度主营业务收入增长不低于本区规模以上新一代信息技术服务业行业增速的，给予最高不超过100万元的奖励。</w:t>
      </w:r>
    </w:p>
    <w:p w14:paraId="34E7C53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w:t>
      </w:r>
      <w:r>
        <w:rPr>
          <w:rFonts w:hint="eastAsia" w:ascii="Times New Roman" w:hAnsi="Times New Roman" w:eastAsia="方正仿宋简体" w:cs="Times New Roman"/>
          <w:color w:val="000000"/>
          <w:kern w:val="0"/>
          <w:sz w:val="32"/>
          <w:szCs w:val="32"/>
        </w:rPr>
        <w:t> 【打造产业互联网聚集园区】 支持产业互联网企业打造产业互联网特色产业园，根据自身优势提供产业平台和投融资服务，牵头引入行业特色专业型工业互联网平台、智能制造平台、产业互联网交易服务平台、工业互联网服务商、制造业企业、批发零售企业等。对在政策有效期内累计引入规模以上企业不少于15家（其中，在本区新一代信息技术服务业纳统且主营业务收入5000万元、2000万元以上的平台企业分别不少于6家、3家，在本区工业纳统且产值超过2000万元以上的制造业企业不少于3家），予以牵头企业累计最高不超过1000万元奖励。上述奖励可按40%、30%、30%的比例分三年实施，当年达到年均引进数量和要求的，予以相应比例奖励。上述产业互联网特色产业园列入国家工业互联网示范产业园的，额外予以牵头企业最高不超过100万元的奖励。</w:t>
      </w:r>
    </w:p>
    <w:p w14:paraId="6B19089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对配套建设产业互联网人才服务平台的牵头企业，在政策有效期内累计开展不少于15场人才培训且每场培训对象中的区内企业不少于15家的，额外予以最高不超过50万元的一次性补助。</w:t>
      </w:r>
    </w:p>
    <w:p w14:paraId="17C97BA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w:t>
      </w:r>
      <w:r>
        <w:rPr>
          <w:rFonts w:hint="eastAsia" w:ascii="Times New Roman" w:hAnsi="Times New Roman" w:eastAsia="方正仿宋简体" w:cs="Times New Roman"/>
          <w:color w:val="000000"/>
          <w:kern w:val="0"/>
          <w:sz w:val="32"/>
          <w:szCs w:val="32"/>
        </w:rPr>
        <w:t> 【加速企业上云赋能】支持新一代信息技术企业、专精特新企业使用云服务，按照不高于上一个会计年度合同累计实际执行金额的30%且年度累计不超过30万元的标准给予用云企业补贴。</w:t>
      </w:r>
    </w:p>
    <w:p w14:paraId="00C682B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w:t>
      </w:r>
      <w:r>
        <w:rPr>
          <w:rFonts w:hint="eastAsia" w:ascii="Times New Roman" w:hAnsi="Times New Roman" w:eastAsia="方正仿宋简体" w:cs="Times New Roman"/>
          <w:color w:val="000000"/>
          <w:kern w:val="0"/>
          <w:sz w:val="32"/>
          <w:szCs w:val="32"/>
        </w:rPr>
        <w:t> 【鼓励产业标准制定】对牵头制定国际、国家标准（规范）的企业，在标准（规范）公告并执行后分别给予50万元、30万元奖励，年度累计最高不超过100万元。</w:t>
      </w:r>
    </w:p>
    <w:p w14:paraId="144EBCA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w:t>
      </w:r>
      <w:r>
        <w:rPr>
          <w:rFonts w:hint="eastAsia" w:ascii="Times New Roman" w:hAnsi="Times New Roman" w:eastAsia="方正仿宋简体" w:cs="Times New Roman"/>
          <w:color w:val="000000"/>
          <w:kern w:val="0"/>
          <w:sz w:val="32"/>
          <w:szCs w:val="32"/>
        </w:rPr>
        <w:t> 【支持信息安全技术和产品研发】支持攻击防护、漏洞挖掘、入侵发现、安全审计、安全可信工业用芯片、自主可控工业控制服务器、工业操作系统等工业信息安全技术、产品的研发与应用推广。对企业入选广东省工业互联网产业生态供给资源池工业互联网安全商、产品取得发明专利并通过工信部电子直属权威机构等安全评估且投入市场的，给予最高不超过100万元的产品和技术推广费用。</w:t>
      </w:r>
    </w:p>
    <w:p w14:paraId="5A8F9D35">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第九条</w:t>
      </w:r>
      <w:r>
        <w:rPr>
          <w:rFonts w:hint="eastAsia" w:ascii="Times New Roman" w:hAnsi="Times New Roman" w:eastAsia="方正仿宋简体" w:cs="Times New Roman"/>
          <w:color w:val="000000"/>
          <w:kern w:val="0"/>
          <w:sz w:val="32"/>
          <w:szCs w:val="32"/>
        </w:rPr>
        <w:t> 【推动产业链延链互动】鼓励电商企业与“互联网工厂”及产业链上下游供应商企业开展合作，强化产业链联动，对合作合同金额5000万元以上的，按照不超过合同实际执行金额的5‰予以电商企业年度最高不超过100万元奖励。</w:t>
      </w:r>
    </w:p>
    <w:p w14:paraId="77BD725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第十条</w:t>
      </w:r>
      <w:r>
        <w:rPr>
          <w:rFonts w:hint="eastAsia" w:ascii="Times New Roman" w:hAnsi="Times New Roman" w:eastAsia="方正仿宋简体" w:cs="Times New Roman"/>
          <w:color w:val="000000"/>
          <w:kern w:val="0"/>
          <w:sz w:val="32"/>
          <w:szCs w:val="32"/>
        </w:rPr>
        <w:t> 【强化行业论坛的产业引领】鼓励国家级或国际性的行业协会或学会学术机构、跨行业跨领域工业互联网平台、行业特色专业型工业互联网平台等机构或企业举办、联合举办、承办产业互联网论坛、会议或国家级赛事。其中，对经认定，在我区举办、会期1天以上且与会人数200人以上的，按场租及服务费100%给予活动经营方补助，补助最高不超过200万元。</w:t>
      </w:r>
    </w:p>
    <w:p w14:paraId="4804EDD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第十一条</w:t>
      </w:r>
      <w:r>
        <w:rPr>
          <w:rFonts w:hint="eastAsia" w:ascii="Times New Roman" w:hAnsi="Times New Roman" w:eastAsia="方正仿宋简体" w:cs="Times New Roman"/>
          <w:color w:val="000000"/>
          <w:kern w:val="0"/>
          <w:sz w:val="32"/>
          <w:szCs w:val="32"/>
        </w:rPr>
        <w:t> 【营造良好生态和配套】</w:t>
      </w:r>
    </w:p>
    <w:p w14:paraId="6B850A6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（一）强化产业用地指导。对符合琶洲试验区产业用地条件的产业互联网相关项目，予以支持、推荐。对区内优质工业企业增资扩产产生的用地用房需求，协调区内资源给予充分保障。</w:t>
      </w:r>
    </w:p>
    <w:p w14:paraId="7A92A95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奖励产业贡献人才。鼓励企业将在我区获得的奖励资金总额中50%以上的比例，用于企业重点人才补助。可按企业需要在扣除个人所得税后一次性划入其个人账户。奖励资金具体分配方案由企业自主确定。重点人才推荐实行企业承诺制，由企业推荐拟受奖励的重点人才和奖励方案，并对其资格条件负责。对获得本区总部企业认定的产业互联网企业，按照区总部企业政策办法统筹协调其管理人员和人才子女入读本区义务教育阶段学校。</w:t>
      </w:r>
    </w:p>
    <w:p w14:paraId="5F1417E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争取各级政策和资源。全力支持产业互联网相关聚集园区、载体建设，争取国家、省、市高端资源和政策在区域叠加，创建产业高质量发展平台；强化产业扶持政策宣介、指导，积极向国家、省、市推荐产业互联网产业特色园区、平台、企业、技术解决方案和产品。</w:t>
      </w:r>
    </w:p>
    <w:p w14:paraId="2BB769D7">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第十二条</w:t>
      </w:r>
      <w:r>
        <w:rPr>
          <w:rFonts w:hint="eastAsia" w:ascii="Times New Roman" w:hAnsi="Times New Roman" w:eastAsia="方正仿宋简体" w:cs="Times New Roman"/>
          <w:color w:val="000000"/>
          <w:kern w:val="0"/>
          <w:sz w:val="32"/>
          <w:szCs w:val="32"/>
        </w:rPr>
        <w:t> 【加大财政资金扶持】每年根据财政拨付资金总额进行奖励，其中，第四条奖励总金额不超过1000万，第六条奖励总金额不超过700万。同一企业年度获取本办法的奖励总金额不超过600万元。</w:t>
      </w:r>
    </w:p>
    <w:p w14:paraId="43F801B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第十三条</w:t>
      </w:r>
      <w:r>
        <w:rPr>
          <w:rFonts w:hint="eastAsia" w:ascii="Times New Roman" w:hAnsi="Times New Roman" w:eastAsia="方正仿宋简体" w:cs="Times New Roman"/>
          <w:color w:val="000000"/>
          <w:kern w:val="0"/>
          <w:sz w:val="32"/>
          <w:szCs w:val="32"/>
        </w:rPr>
        <w:t> 申请享受本办法扶持的企业，未被列入严重失信主体名单，并签订相关经营承诺书。</w:t>
      </w:r>
    </w:p>
    <w:p w14:paraId="4CBD995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第十四条</w:t>
      </w:r>
      <w:r>
        <w:rPr>
          <w:rFonts w:hint="eastAsia" w:ascii="Times New Roman" w:hAnsi="Times New Roman" w:eastAsia="方正仿宋简体" w:cs="Times New Roman"/>
          <w:color w:val="000000"/>
          <w:kern w:val="0"/>
          <w:sz w:val="32"/>
          <w:szCs w:val="32"/>
        </w:rPr>
        <w:t> 已签订本区用地协议、“一企一策”协议等享受相关资金安排、土地供应等要素资源的企业按协议约定执行，不再叠加享受本政策。同一事项同时符合本办法多项措施的，按照实际奖励金额较高的措施执行；符合本办法规定的同一项目、同一事项同时符合本区其他扶持政策规定（含上级部门要求区里配套或负担资金的政策规定）的，按照从高不重复的原则予以支持，另有规定的除外。获得奖励的涉税支出由企业或个人承担。申报本办法第三条的，不可同时申报第四条奖励。申报第五条“产业互联网特色产业园”奖励的，相关引进计划需提前书面告知广州市海珠区科技工业商务和信息化局，其中，“当年达到年均引进数量，予以相应比例奖励”是指对累计引入规模以上企业不少于5家，其中，在本区新一代信息技术服务业纳统、主营业务收入5000万元以上的平台企业不少于3家；在工业纳统、产值超过2000万元以上制造业企业不少于1家，予以相应比例奖励；如提前完成累计引入企业总数量和要求的，剩余年度予以相应部分奖励。本办法中所称“以上”“不超过”包含本数。“规模以上”划分标准以国家统计局规定为准。“会计年度”自公历1月1日起至12月31日止。</w:t>
      </w:r>
    </w:p>
    <w:p w14:paraId="7E96F465">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第十五条</w:t>
      </w:r>
      <w:r>
        <w:rPr>
          <w:rFonts w:hint="eastAsia" w:ascii="Times New Roman" w:hAnsi="Times New Roman" w:eastAsia="方正仿宋简体" w:cs="Times New Roman"/>
          <w:color w:val="000000"/>
          <w:kern w:val="0"/>
          <w:sz w:val="32"/>
          <w:szCs w:val="32"/>
        </w:rPr>
        <w:t> 本办法所称的“产业互联网企业”是指在新一代信息技术服务业纳统，以产业业务能力为基础、以互联网平台为载体、以数据为关键生产要素、以新一代信息技术作为效率提升和生产关系再组织的数字经济企业。包括提供信创、大数据、云计算、物联网、AI、网络安全等基础层技术服务企业；赋能多个行业的通用型、专注特定行业的专业型平台公司；为制造业、建筑业、医疗、金融、交通、能源等具体行业提供Saas产品和服务的软件企业。</w:t>
      </w:r>
    </w:p>
    <w:p w14:paraId="68C5F2CE">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产业互联网平台”是指在新一代信息技术服务业纳统，为制造业、医疗等实体企业提供技术研发、集合采购、个性定制、产品直销、链供金融、数据融资、市场分析、智能产线等服务，帮助企业解决实际问题，实现企业与大数据、云计算、物联网、人工智能的深度融合，实现同一产业生产链、供应链、销售链和管理链的集聚生态。</w:t>
      </w:r>
    </w:p>
    <w:p w14:paraId="0C56C9B5">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自主可控”是指依靠企业自身研发设计，全面掌握产品核心技术，实现信息系统从硬件到软件的自主研发、生产、升级、维护的全程可控，即核心技术、关键零部件、各类软件国产化，自己开发、自己制造，不受制于人。</w:t>
      </w:r>
    </w:p>
    <w:p w14:paraId="0EE54D01">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工业互联网平台”是指在新一代信息技术服务业纳统，面向制造业数字化、网络化、智能化需求，构建基于海量数据采集、汇聚、分析的服务体系，支撑制造资源泛在连接、弹性供给、高效配置的工业云平台。其本质是通过构建精准、实时、高效的数据采集体系，建设包括存储、集成、访问、分析、管理功能的赋能平台，实现工业技术、经验、知识的模型化、软件化、复用化，以工业APP的形式为制造企业提供各类创新应用，最终形成资源富集、多方参与、合作共赢、协同演进的制造业生态。</w:t>
      </w:r>
    </w:p>
    <w:p w14:paraId="17E09833">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“智能制造”是指智能制造是基于新一代信息通信技术与先进制造技术深度融合，贯穿于设计、生产、管理、服务等制造活动的各个环节，具有自感知、自学习、自决策、自执行、自适应等功能的新型生产方式。</w:t>
      </w:r>
    </w:p>
    <w:p w14:paraId="40D7FFF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“互联网工厂”是指在工业纳统，生产活动不在或不全在本区，利用工业互联网及新一代信息技术，调动产业链上下游资源，将部分或全部生产活动交由供应商或合作企业完成并实现工业产值的一种生产方式。</w:t>
      </w:r>
    </w:p>
    <w:p w14:paraId="7C7E3DD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第十六条</w:t>
      </w:r>
      <w:r>
        <w:rPr>
          <w:rFonts w:hint="eastAsia" w:ascii="Times New Roman" w:hAnsi="Times New Roman" w:eastAsia="方正仿宋简体" w:cs="Times New Roman"/>
          <w:color w:val="000000"/>
          <w:kern w:val="0"/>
          <w:sz w:val="32"/>
          <w:szCs w:val="32"/>
        </w:rPr>
        <w:t> 本办法自印发之日起施行，有效期至2025年7月4日，2022年7月4日印发的《广州市海珠区科技工业商务和信息化局关于印发广州市海珠区促进产业互联网发展扶持办法的通知》（海科工商信规字〔2022〕4号）同时废止。本办法届满或有关法律、法规、规章、政策依据变化，将根据实施情况予以评估修订。因不可抗力、上级政府或部门行为或者相关法律、法规、规章、政策出台导致本办法无法执行时，相关扶持停止。因上级法律、法规、规章及政策调整导致本办法与上级规定不一致的，适用上级规定，本办法相应条款不再执行。本办法由广州市海珠区科技工业商务和信息化局负责解释。</w:t>
      </w:r>
    </w:p>
    <w:p w14:paraId="007E54C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3809BC82">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广州市海珠区科技工业商务和信息化局  2024年10月12日印发</w:t>
      </w:r>
    </w:p>
    <w:p w14:paraId="4A823396">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5CCA7BAF">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英文版：</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"https://cms.gz.gov.cn/gzzcwjk/storage/material/2024/10/28/e0f0276f5a494607abfd65af07b331f4.doc"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Notice of Haizhu District Bureau of Science, Industry, Commerce and Information Technology of Guangzhou Municipality on Issuing the Supporting Measures for Promoting the Development of Industry Internet in Haizhu District of Guangzhou Municipality.doc</w:t>
      </w:r>
      <w:r>
        <w:rPr>
          <w:rFonts w:hint="eastAsia" w:ascii="Times New Roman" w:hAnsi="Times New Roman" w:eastAsia="方正仿宋简体" w:cs="Times New Roman"/>
          <w:color w:val="000000"/>
          <w:kern w:val="0"/>
          <w:sz w:val="32"/>
          <w:szCs w:val="32"/>
          <w:u w:val="single"/>
        </w:rPr>
        <w:fldChar w:fldCharType="end"/>
      </w:r>
    </w:p>
    <w:p w14:paraId="385E8D23">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广州市知识产权局 广州市财政局关于印发广州市重点产业知识产权运营基金管理办法的通知</w:t>
      </w:r>
    </w:p>
    <w:p w14:paraId="36711B2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p>
    <w:p w14:paraId="05C8D6B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各有关单位：</w:t>
      </w:r>
    </w:p>
    <w:p w14:paraId="31368A4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化知识产权运营服务体系建设，加快知识产权与金融深度融合发展，提升全市重点产业知识产权运营水平。现将《广州市重点产业知识产权运营基金管理办法》印发给你们，请遵照执行，执行过程中遇到的问题，请径向市知识产权局反映。</w:t>
      </w:r>
    </w:p>
    <w:p w14:paraId="0DB1871C">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广州市知识产权局       广州市财政局</w:t>
      </w:r>
    </w:p>
    <w:p w14:paraId="7210A0A1">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2024年10月17日</w:t>
      </w:r>
    </w:p>
    <w:p w14:paraId="48EAF7AF">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p>
    <w:p w14:paraId="72518378">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广州市重点产业知识产权运营基金管理办法</w:t>
      </w:r>
    </w:p>
    <w:p w14:paraId="6B81942D">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第一章  总  则</w:t>
      </w:r>
    </w:p>
    <w:p w14:paraId="2075D66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第一条</w:t>
      </w:r>
      <w:r>
        <w:rPr>
          <w:rFonts w:hint="eastAsia" w:ascii="Times New Roman" w:hAnsi="Times New Roman" w:eastAsia="方正仿宋简体" w:cs="宋体"/>
          <w:color w:val="000000"/>
          <w:kern w:val="0"/>
          <w:sz w:val="32"/>
          <w:szCs w:val="32"/>
        </w:rPr>
        <w:t>  为深化知识产权运营服务体系建设，加快知识产权与金融深度融合发展，更好地发挥财政资金的引导、放大和市场在资源配置中的决定性作用，提升全市重点产业知识产权运营水平，根据财政部《政府投资基金暂行管理办法》（财预〔2015〕210号）等文件规定，并按照《国家知识产权局关于做好2016年重点产业知识产权运营服务工作的通知》（国知发管函字〔2016〕111号）、省财政厅《关于下达重点产业知识产权运营服务工作中央专项资金的通知》（粤财教〔2016〕213号）等文件要求，结合我市实际，设立广州市重点产业知识产权运营基金（下称运营基金），制定本办法。</w:t>
      </w:r>
    </w:p>
    <w:p w14:paraId="48AF09A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第二条</w:t>
      </w:r>
      <w:r>
        <w:rPr>
          <w:rFonts w:hint="eastAsia" w:ascii="Times New Roman" w:hAnsi="Times New Roman" w:eastAsia="方正仿宋简体" w:cs="宋体"/>
          <w:color w:val="000000"/>
          <w:kern w:val="0"/>
          <w:sz w:val="32"/>
          <w:szCs w:val="32"/>
        </w:rPr>
        <w:t>  本办法所称重点产业知识产权运营基金，是指由政府财政资金为引导，吸纳产业龙头企业、科研机构等社会资金和其他相关基金加入，多家机构共同组建成立的有限合伙制运营基金。</w:t>
      </w:r>
    </w:p>
    <w:p w14:paraId="215A761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运营基金用于专利组合运营为主的市场短期运营方面，重点投向广州市信息技术、生物与健康、新材料与高端制造、新能源与节能环保等战略性新兴产业及广州制造2025战略规划重点领域。</w:t>
      </w:r>
    </w:p>
    <w:p w14:paraId="7EEFF6E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第三条</w:t>
      </w:r>
      <w:r>
        <w:rPr>
          <w:rFonts w:hint="eastAsia" w:ascii="Times New Roman" w:hAnsi="Times New Roman" w:eastAsia="方正仿宋简体" w:cs="宋体"/>
          <w:color w:val="000000"/>
          <w:kern w:val="0"/>
          <w:sz w:val="32"/>
          <w:szCs w:val="32"/>
        </w:rPr>
        <w:t>  运营基金中财政引导资金初期由中央财政出资4,000万元，广州市财政出资4,000万元，广州开发区、南沙开发区财政各出资2,000万元，共12,000万元。运营基金规模按照财政引导资金1:5以上的比例放大，带动社会资本投入。</w:t>
      </w:r>
    </w:p>
    <w:p w14:paraId="4375DE5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第四条</w:t>
      </w:r>
      <w:r>
        <w:rPr>
          <w:rFonts w:hint="eastAsia" w:ascii="Times New Roman" w:hAnsi="Times New Roman" w:eastAsia="方正仿宋简体" w:cs="宋体"/>
          <w:color w:val="000000"/>
          <w:kern w:val="0"/>
          <w:sz w:val="32"/>
          <w:szCs w:val="32"/>
        </w:rPr>
        <w:t>  运营基金运作遵循“政府引导、市场运作、科学决策、防范风险”的原则，通过设立市场化基金实体，进行独立运作、自主经营、自负盈亏。</w:t>
      </w:r>
    </w:p>
    <w:p w14:paraId="026D2345">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第二章  基金管理</w:t>
      </w:r>
    </w:p>
    <w:p w14:paraId="518F6F7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第五条</w:t>
      </w:r>
      <w:r>
        <w:rPr>
          <w:rFonts w:hint="eastAsia" w:ascii="Times New Roman" w:hAnsi="Times New Roman" w:eastAsia="方正仿宋简体" w:cs="宋体"/>
          <w:color w:val="000000"/>
          <w:kern w:val="0"/>
          <w:sz w:val="32"/>
          <w:szCs w:val="32"/>
        </w:rPr>
        <w:t>  市知识产权局负责管理财政引导资金，代为履行出资人职责；监管指导运营基金的运行；配合市财政局做好政府投资基金监督检查和绩效评价管理工作；每年向市政府报告运营基金的运行情况。</w:t>
      </w:r>
    </w:p>
    <w:p w14:paraId="217C30E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第六条</w:t>
      </w:r>
      <w:r>
        <w:rPr>
          <w:rFonts w:hint="eastAsia" w:ascii="Times New Roman" w:hAnsi="Times New Roman" w:eastAsia="方正仿宋简体" w:cs="宋体"/>
          <w:color w:val="000000"/>
          <w:kern w:val="0"/>
          <w:sz w:val="32"/>
          <w:szCs w:val="32"/>
        </w:rPr>
        <w:t>  市知识产权局会同市财政局按规定遴选符合资质条件的专业投资管理机构作为运营基金的受托管理机构，与受托管理机构签订委托管理协议。</w:t>
      </w:r>
    </w:p>
    <w:p w14:paraId="4AE9C47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第七条</w:t>
      </w:r>
      <w:r>
        <w:rPr>
          <w:rFonts w:hint="eastAsia" w:ascii="Times New Roman" w:hAnsi="Times New Roman" w:eastAsia="方正仿宋简体" w:cs="宋体"/>
          <w:color w:val="000000"/>
          <w:kern w:val="0"/>
          <w:sz w:val="32"/>
          <w:szCs w:val="32"/>
        </w:rPr>
        <w:t>  受托管理机构遵照相关法律法规及委托管理协议开展受托管理工作；负责运营基金的具体组建、制定运营基金合伙协议；可以委托机构所属的具有知识产权和技术投资运营经验及财政引导资金管理经验的全资基金管理公司运营基金；遴选运营基金托管银行；定期向市知识产权局和市财政局报告运营基金投资运作情况及重大事项。</w:t>
      </w:r>
    </w:p>
    <w:p w14:paraId="5E1A58A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第八条</w:t>
      </w:r>
      <w:r>
        <w:rPr>
          <w:rFonts w:hint="eastAsia" w:ascii="Times New Roman" w:hAnsi="Times New Roman" w:eastAsia="方正仿宋简体" w:cs="宋体"/>
          <w:color w:val="000000"/>
          <w:kern w:val="0"/>
          <w:sz w:val="32"/>
          <w:szCs w:val="32"/>
        </w:rPr>
        <w:t>  基金管理公司负责运营基金的日常投资运作，按照运营基金组建方案确定的支持方向进行投资；定期向市知识产权局、市财政局、受托管理机构报告投资项目情况；接受政府有关部门以及受托管理机构对其投资和运作的监督。</w:t>
      </w:r>
    </w:p>
    <w:p w14:paraId="5CEABC8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第九条</w:t>
      </w:r>
      <w:r>
        <w:rPr>
          <w:rFonts w:hint="eastAsia" w:ascii="Times New Roman" w:hAnsi="Times New Roman" w:eastAsia="方正仿宋简体" w:cs="宋体"/>
          <w:color w:val="000000"/>
          <w:kern w:val="0"/>
          <w:sz w:val="32"/>
          <w:szCs w:val="32"/>
        </w:rPr>
        <w:t>  运营基金托管银行依托托管协议负责账户管理、资金清算、资产保管等，对投资活动资金实施动态监管。</w:t>
      </w:r>
    </w:p>
    <w:p w14:paraId="60E8BD8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托管银行应符合以下条件：</w:t>
      </w:r>
    </w:p>
    <w:p w14:paraId="357F3C0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（一）经国家有关部门核准认定具有基金托管资格的；</w:t>
      </w:r>
    </w:p>
    <w:p w14:paraId="2FC1D6C8">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（二）最近三年以上保持良好的财务状况，没有受过行政主管机关或司法机关重大处罚的不良记录；</w:t>
      </w:r>
    </w:p>
    <w:p w14:paraId="43E3312F">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（三）优先考虑与政府部门开展业务合作情况良好的。</w:t>
      </w:r>
    </w:p>
    <w:p w14:paraId="4EDDFA7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第十条</w:t>
      </w:r>
      <w:r>
        <w:rPr>
          <w:rFonts w:hint="eastAsia" w:ascii="Times New Roman" w:hAnsi="Times New Roman" w:eastAsia="方正仿宋简体" w:cs="宋体"/>
          <w:color w:val="000000"/>
          <w:kern w:val="0"/>
          <w:sz w:val="32"/>
          <w:szCs w:val="32"/>
        </w:rPr>
        <w:t>  受托管理机构设立专门机构对运营基金的资金筹集、支持方向、参股投资和投资退出等进行管理，协调解决运营基金运作过程中的重大事项。</w:t>
      </w:r>
    </w:p>
    <w:p w14:paraId="7979F51E">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第三章  运作和退出</w:t>
      </w:r>
    </w:p>
    <w:p w14:paraId="14B3AF9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第十一条</w:t>
      </w:r>
      <w:r>
        <w:rPr>
          <w:rFonts w:hint="eastAsia" w:ascii="Times New Roman" w:hAnsi="Times New Roman" w:eastAsia="方正仿宋简体" w:cs="宋体"/>
          <w:color w:val="000000"/>
          <w:kern w:val="0"/>
          <w:sz w:val="32"/>
          <w:szCs w:val="32"/>
        </w:rPr>
        <w:t>  基金管理公司应组织技术、知识产权、评估、金融、法律等专家团队，按本运营基金的支持方向、开展以专利组合运营为主的市场短期运营。</w:t>
      </w:r>
    </w:p>
    <w:p w14:paraId="310D187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第十二条</w:t>
      </w:r>
      <w:r>
        <w:rPr>
          <w:rFonts w:hint="eastAsia" w:ascii="Times New Roman" w:hAnsi="Times New Roman" w:eastAsia="方正仿宋简体" w:cs="宋体"/>
          <w:color w:val="000000"/>
          <w:kern w:val="0"/>
          <w:sz w:val="32"/>
          <w:szCs w:val="32"/>
        </w:rPr>
        <w:t>  运营基金主要依托全市创新型产业集群、龙头企业等主体，采取“股权投资”的方式，重点投向以下具体项目类型：</w:t>
      </w:r>
    </w:p>
    <w:p w14:paraId="71DC6AF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（一）拥有核心知识产权的初创期或成长期企业项目。主要是相应产业领域内拥有或控制核心专利或高价值专利组合、市场前景良好、高成长性的初创期或成长期企业；</w:t>
      </w:r>
    </w:p>
    <w:p w14:paraId="3D287D0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知识产权运营管理类相关项目。主要是相应领域拥有新兴的知识产权运营服务模式、知识产权运营服务平台类的企业。支持许可类的团队及公司，从事直接专利许可、第三方专利或标准的分许可及再许可服务等。支持开展与高质量专利组合产生、获取及转移相关的活动，对于产生的技术进行转让、股权化，进行专利交易、许可及技术市场化；</w:t>
      </w:r>
    </w:p>
    <w:p w14:paraId="247543B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（三）专利池类相关项目。主要是相应产业领域知识产权联盟、大企业、知识产权运营机构等运行管理的专利组合（专利池）项目。支持独任管理、专利平台管理和独立第三方管理三种模式的专利池平台；</w:t>
      </w:r>
    </w:p>
    <w:p w14:paraId="285FD4E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专利防御类相关项目。主要是投资相应领域的专利防御基金，支持制定相应领域专利防御计划（用于收费对抗、风险预防、保险及知识产权风险管控等），可代表业内中小企业作为集合的投资者加入防御性专利基金等；</w:t>
      </w:r>
    </w:p>
    <w:p w14:paraId="3647FDE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（五）知识产权运营基金类项目。主要是以分阶段投资的方式向开展相应产业领域业务的知识产权运营基金进行投资，支持发起设立新的知识产权运营基金。</w:t>
      </w:r>
    </w:p>
    <w:p w14:paraId="06C8879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第十三条</w:t>
      </w:r>
      <w:r>
        <w:rPr>
          <w:rFonts w:hint="eastAsia" w:ascii="Times New Roman" w:hAnsi="Times New Roman" w:eastAsia="方正仿宋简体" w:cs="宋体"/>
          <w:color w:val="000000"/>
          <w:kern w:val="0"/>
          <w:sz w:val="32"/>
          <w:szCs w:val="32"/>
        </w:rPr>
        <w:t>  运营基金的存续期为8年，自运营基金工商登记注册成立之日起算，投资期5年。投资期结束后，退出期3年。根据需要，经各方协商一致并报经市政府批准，可以另行约定延长年限。</w:t>
      </w:r>
    </w:p>
    <w:p w14:paraId="6DFB400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确需延长存续期限的，政府引导资金中，中央财政资金根据中央政策安排，广州市、广州开发区和南沙开发区等财政资金根据广州市政策安排。</w:t>
      </w:r>
    </w:p>
    <w:p w14:paraId="53D53E5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第十四条</w:t>
      </w:r>
      <w:r>
        <w:rPr>
          <w:rFonts w:hint="eastAsia" w:ascii="Times New Roman" w:hAnsi="Times New Roman" w:eastAsia="方正仿宋简体" w:cs="宋体"/>
          <w:color w:val="000000"/>
          <w:kern w:val="0"/>
          <w:sz w:val="32"/>
          <w:szCs w:val="32"/>
        </w:rPr>
        <w:t>  项目投资退出的主要方式包括：项目上市退出、并购退出、转让退出、拍卖退出、原股东回购退出。在退出程序上，由基金管理公司提出投资项目的退出方案，并提交基金投资决策委员会审议并决策。</w:t>
      </w:r>
    </w:p>
    <w:p w14:paraId="08EAF44D">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第四章  风险控制</w:t>
      </w:r>
    </w:p>
    <w:p w14:paraId="567767F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第十五条</w:t>
      </w:r>
      <w:r>
        <w:rPr>
          <w:rFonts w:hint="eastAsia" w:ascii="Times New Roman" w:hAnsi="Times New Roman" w:eastAsia="方正仿宋简体" w:cs="宋体"/>
          <w:color w:val="000000"/>
          <w:kern w:val="0"/>
          <w:sz w:val="32"/>
          <w:szCs w:val="32"/>
        </w:rPr>
        <w:t>  运营基金在运作过程中不得从事以下业务：</w:t>
      </w:r>
    </w:p>
    <w:p w14:paraId="45CE7B0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（一）从事融资担保以外的担保、抵押、委托贷款等业务；</w:t>
      </w:r>
    </w:p>
    <w:p w14:paraId="3276745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（二）投资二级市场股票、期货、房地产、证券投资基金、评级AAA以下的企业债、信托产品、非保本型理财产品、保险计划及其他金融衍生品；</w:t>
      </w:r>
    </w:p>
    <w:p w14:paraId="7947217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（三）向任何第三方提供赞助、捐赠；</w:t>
      </w:r>
    </w:p>
    <w:p w14:paraId="29C1628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（四）吸收或变相吸收存款，或向第三方提供贷款和资金拆借；</w:t>
      </w:r>
    </w:p>
    <w:p w14:paraId="7CDA2726">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（五）进行承担无限连带责任的对外投资；</w:t>
      </w:r>
    </w:p>
    <w:p w14:paraId="0D9FA3F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（六）发行信托或集合理财产品募集资金；</w:t>
      </w:r>
    </w:p>
    <w:p w14:paraId="330A8C41">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（七）其他国家法律法规禁止从事的业务。</w:t>
      </w:r>
    </w:p>
    <w:p w14:paraId="250137D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第十六条</w:t>
      </w:r>
      <w:r>
        <w:rPr>
          <w:rFonts w:hint="eastAsia" w:ascii="Times New Roman" w:hAnsi="Times New Roman" w:eastAsia="方正仿宋简体" w:cs="宋体"/>
          <w:color w:val="000000"/>
          <w:kern w:val="0"/>
          <w:sz w:val="32"/>
          <w:szCs w:val="32"/>
        </w:rPr>
        <w:t>  运营基金的风险控制：</w:t>
      </w:r>
    </w:p>
    <w:p w14:paraId="78BD366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（一）运营基金的受托管理机构自有资金参与。受托管理机构对运营基金的出资不低于运营基金总规模的1％，且占运营基金中财政引导资金的5％以上。</w:t>
      </w:r>
    </w:p>
    <w:p w14:paraId="356F67B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（二）严格风控制度。运营基金管理过程中设置独立的风控人员，风控人员的独立性和专业性可与投资部门相平衡，保障运营基金投资的客观公正。</w:t>
      </w:r>
    </w:p>
    <w:p w14:paraId="499AF01B">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第五章  激励约束机制</w:t>
      </w:r>
    </w:p>
    <w:p w14:paraId="562D9FB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第十七条</w:t>
      </w:r>
      <w:r>
        <w:rPr>
          <w:rFonts w:hint="eastAsia" w:ascii="Times New Roman" w:hAnsi="Times New Roman" w:eastAsia="方正仿宋简体" w:cs="宋体"/>
          <w:color w:val="000000"/>
          <w:kern w:val="0"/>
          <w:sz w:val="32"/>
          <w:szCs w:val="32"/>
        </w:rPr>
        <w:t>市知识产权局、市财政局和受托管理机构应当在委托管理协议中明确各方权利义务，应当包括以下内容：</w:t>
      </w:r>
    </w:p>
    <w:p w14:paraId="053F6FBB">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受托管理机构因自身原因导致基金组建缓慢、资金募集和项目投资状况不理想、未达到计划预期的，市知识产权局督促受托管理机构限期整改，经3次以上督促仍未整改到位的，市知识产权局可采取降低管理费率、取消业绩奖励、中止管理业务等措施。受托管理机构存在违法违规行为的，市知识产权局和市财政局取消其管理资格。</w:t>
      </w:r>
    </w:p>
    <w:p w14:paraId="10C417A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基金管理公司及其高级管理人员未按运营基金支持方向进行投资、未定期报告投资情况、不配合监督检查的，市知识产权局和市财政局可要求限期整改；情节严重的，市知识产权局和市财政局可选择将财政引导资金提前退出。</w:t>
      </w:r>
    </w:p>
    <w:p w14:paraId="18E5443D">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第十八条</w:t>
      </w:r>
      <w:r>
        <w:rPr>
          <w:rFonts w:hint="eastAsia" w:ascii="Times New Roman" w:hAnsi="Times New Roman" w:eastAsia="方正仿宋简体" w:cs="宋体"/>
          <w:color w:val="000000"/>
          <w:kern w:val="0"/>
          <w:sz w:val="32"/>
          <w:szCs w:val="32"/>
        </w:rPr>
        <w:t>  运营基金财政引导资金部分的日常管理费在市知识产权局部门预算资金中安排，当年支付上年的费用。日常管理费支付标准在委托管理协议中明确。</w:t>
      </w:r>
    </w:p>
    <w:p w14:paraId="3DECEBE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第十九条</w:t>
      </w:r>
      <w:r>
        <w:rPr>
          <w:rFonts w:hint="eastAsia" w:ascii="Times New Roman" w:hAnsi="Times New Roman" w:eastAsia="方正仿宋简体" w:cs="宋体"/>
          <w:color w:val="000000"/>
          <w:kern w:val="0"/>
          <w:sz w:val="32"/>
          <w:szCs w:val="32"/>
        </w:rPr>
        <w:t>  运营基金所取得的收益应当按照“利益共享、风险共担”和“先回本后分利”的原则，在扣除相关税费之后，进行收益分配。</w:t>
      </w:r>
    </w:p>
    <w:p w14:paraId="057E086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第二十条</w:t>
      </w:r>
      <w:r>
        <w:rPr>
          <w:rFonts w:hint="eastAsia" w:ascii="Times New Roman" w:hAnsi="Times New Roman" w:eastAsia="方正仿宋简体" w:cs="宋体"/>
          <w:color w:val="000000"/>
          <w:kern w:val="0"/>
          <w:sz w:val="32"/>
          <w:szCs w:val="32"/>
        </w:rPr>
        <w:t>  根据业绩评价结果，可以将财政引导资金的部分收益经市知识产权局和市财政局报经市政府批准后对受托管理机构和社会投资人实施业绩奖励。</w:t>
      </w:r>
    </w:p>
    <w:p w14:paraId="519D0095">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第二十一条</w:t>
      </w:r>
      <w:r>
        <w:rPr>
          <w:rFonts w:hint="eastAsia" w:ascii="Times New Roman" w:hAnsi="Times New Roman" w:eastAsia="方正仿宋简体" w:cs="宋体"/>
          <w:color w:val="000000"/>
          <w:kern w:val="0"/>
          <w:sz w:val="32"/>
          <w:szCs w:val="32"/>
        </w:rPr>
        <w:t>  运营基金的亏损应由各出资方按出资额比例承担，财政引导资金应以出资额为限承担有限责任。</w:t>
      </w:r>
    </w:p>
    <w:p w14:paraId="7FE99702">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第六章  监督与业绩评价</w:t>
      </w:r>
    </w:p>
    <w:p w14:paraId="7DD86433">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第二十二条</w:t>
      </w:r>
      <w:r>
        <w:rPr>
          <w:rFonts w:hint="eastAsia" w:ascii="Times New Roman" w:hAnsi="Times New Roman" w:eastAsia="方正仿宋简体" w:cs="宋体"/>
          <w:color w:val="000000"/>
          <w:kern w:val="0"/>
          <w:sz w:val="32"/>
          <w:szCs w:val="32"/>
        </w:rPr>
        <w:t>  市知识产权局、市财政局、受托管理机构、托管银行等各单位应建立沟通机制，加强监督检查。</w:t>
      </w:r>
    </w:p>
    <w:p w14:paraId="3600641C">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第二十三条</w:t>
      </w:r>
      <w:r>
        <w:rPr>
          <w:rFonts w:hint="eastAsia" w:ascii="Times New Roman" w:hAnsi="Times New Roman" w:eastAsia="方正仿宋简体" w:cs="宋体"/>
          <w:color w:val="000000"/>
          <w:kern w:val="0"/>
          <w:sz w:val="32"/>
          <w:szCs w:val="32"/>
        </w:rPr>
        <w:t>  运营基金应当接受财政、审计部门对运行情况的绩效评价、审计监督；受托管理机构按规定对运营基金组建情况、政策目标实现程度、投资运营情况等开展绩效自评；市知识产权局和市财政局根据实际情况开展绩效自评复核、组织重点评价或委托第三方实施评价。</w:t>
      </w:r>
    </w:p>
    <w:p w14:paraId="56AF8D62">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第二十四条</w:t>
      </w:r>
      <w:r>
        <w:rPr>
          <w:rFonts w:hint="eastAsia" w:ascii="Times New Roman" w:hAnsi="Times New Roman" w:eastAsia="方正仿宋简体" w:cs="宋体"/>
          <w:color w:val="000000"/>
          <w:kern w:val="0"/>
          <w:sz w:val="32"/>
          <w:szCs w:val="32"/>
        </w:rPr>
        <w:t>  市知识产权局会同市财政局对受托管理机构进行业绩评价和监督。具体包括：</w:t>
      </w:r>
    </w:p>
    <w:p w14:paraId="619CF570">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每季度结束后15日内，受托管理机构向市知识产权局和市财政局报告基金运行情况、资产负债情况、投资损益情况及其他可能影响投资者权益的重大情况，编制并报送资产负债表、利润表、现金流量表和财政资金存放表、基金项目表等。</w:t>
      </w:r>
    </w:p>
    <w:p w14:paraId="3040C67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每年4月30日前，受托管理机构需将上一年度运营基金管理情况向市知识产权局和市财政局作出自评报告。自评报告内容包括：受托管理机构的资产、负债及所有者权益情况；受托管理机构的经营情况；运营基金规模、投资完成情况；投资企业经营情况；运营基金的退出和收益情况。</w:t>
      </w:r>
    </w:p>
    <w:p w14:paraId="2BB38C54">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（三）市知识产权局可以委托第三方机构对运营基金使用和管理情况进行专项审计和检查。</w:t>
      </w:r>
    </w:p>
    <w:p w14:paraId="3523055E">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（四）市知识产权局有权对运营基金投资项目进行抽查，核实受托管理机构报告信息的真实性。</w:t>
      </w:r>
    </w:p>
    <w:p w14:paraId="1DB03CA7">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第二十五条</w:t>
      </w:r>
      <w:r>
        <w:rPr>
          <w:rFonts w:hint="eastAsia" w:ascii="Times New Roman" w:hAnsi="Times New Roman" w:eastAsia="方正仿宋简体" w:cs="宋体"/>
          <w:color w:val="000000"/>
          <w:kern w:val="0"/>
          <w:sz w:val="32"/>
          <w:szCs w:val="32"/>
        </w:rPr>
        <w:t>  运营基金存续期限届满或依法终止后，运营基金的财政引导资金及业绩奖励后剩余收益按中央财政资金、市财政资金、区财政资金的出资比例返还出资人。</w:t>
      </w:r>
    </w:p>
    <w:p w14:paraId="5B37AAF9">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第二十六条</w:t>
      </w:r>
      <w:r>
        <w:rPr>
          <w:rFonts w:hint="eastAsia" w:ascii="Times New Roman" w:hAnsi="Times New Roman" w:eastAsia="方正仿宋简体" w:cs="宋体"/>
          <w:color w:val="000000"/>
          <w:kern w:val="0"/>
          <w:sz w:val="32"/>
          <w:szCs w:val="32"/>
        </w:rPr>
        <w:t>  市知识产权局、市财政局、受托管理机构、托管银行及其工作人员存在骗取、挪用运营基金资金等情形，按照《中华人民共和国预算法》《财政违法行为处罚处分条例》等有关规定予以处理。对存在骗取、挪用、套取资金等行为的企业，依法追究法律责任。涉嫌犯罪的，依法移送司法机关处理。</w:t>
      </w:r>
    </w:p>
    <w:p w14:paraId="7F38984A">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第七章  附则</w:t>
      </w:r>
    </w:p>
    <w:p w14:paraId="666638DA">
      <w:pPr>
        <w:widowControl/>
        <w:shd w:val="clear" w:color="auto" w:fill="FFFFFF"/>
        <w:spacing w:line="420" w:lineRule="atLeas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第二十七条</w:t>
      </w:r>
      <w:r>
        <w:rPr>
          <w:rFonts w:hint="eastAsia" w:ascii="Times New Roman" w:hAnsi="Times New Roman" w:eastAsia="方正仿宋简体" w:cs="宋体"/>
          <w:color w:val="000000"/>
          <w:kern w:val="0"/>
          <w:sz w:val="32"/>
          <w:szCs w:val="32"/>
        </w:rPr>
        <w:t>  本办法自印发之日起施行，有效期五年。有关法律法规、政策依据变化或有效期届满时，根据实施情况依法评估修订。《广州市知识产权局 广州市财政局关于延长广州市重点产业知识产权运营基金管理办法有效期的通知》（穗知规字〔2022〕1号）同时废止。</w:t>
      </w:r>
    </w:p>
    <w:p w14:paraId="1F2C6C19">
      <w:pPr>
        <w:widowControl/>
        <w:shd w:val="clear" w:color="auto" w:fill="FFFFFF"/>
        <w:jc w:val="left"/>
        <w:textAlignment w:val="baseline"/>
        <w:rPr>
          <w:rFonts w:hint="eastAsia" w:ascii="Times New Roman" w:hAnsi="Times New Roman" w:eastAsia="方正仿宋简体" w:cs="宋体"/>
          <w:color w:val="000000"/>
          <w:kern w:val="0"/>
          <w:sz w:val="32"/>
          <w:szCs w:val="32"/>
        </w:rPr>
      </w:pPr>
    </w:p>
    <w:p w14:paraId="07D0206F">
      <w:pPr>
        <w:widowControl/>
        <w:shd w:val="clear" w:color="auto" w:fill="FFFFFF"/>
        <w:jc w:val="left"/>
        <w:textAlignment w:val="baseline"/>
        <w:rPr>
          <w:rFonts w:hint="eastAsia" w:ascii="Times New Roman" w:hAnsi="Times New Roman" w:eastAsia="方正仿宋简体" w:cs="宋体"/>
          <w:color w:val="000000"/>
          <w:kern w:val="0"/>
          <w:sz w:val="32"/>
          <w:szCs w:val="32"/>
        </w:rPr>
      </w:pPr>
    </w:p>
    <w:p w14:paraId="08E6ED73">
      <w:pPr>
        <w:widowControl/>
        <w:shd w:val="clear" w:color="auto" w:fill="FFFFFF"/>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公开方式：主动公开</w:t>
      </w:r>
    </w:p>
    <w:p w14:paraId="3B5952B9">
      <w:pPr>
        <w:spacing w:after="150" w:line="420" w:lineRule="atLeast"/>
        <w:jc w:val="left"/>
        <w:rPr>
          <w:rFonts w:ascii="Times New Roman" w:hAnsi="Times New Roman" w:eastAsia="方正仿宋简体" w:cs="Times New Roman"/>
          <w:color w:val="000000"/>
          <w:kern w:val="0"/>
          <w:sz w:val="32"/>
          <w:szCs w:val="32"/>
        </w:rPr>
      </w:pPr>
    </w:p>
    <w:p w14:paraId="2BD47720">
      <w:pPr>
        <w:widowControl/>
        <w:spacing w:line="510" w:lineRule="atLeast"/>
        <w:ind w:firstLine="480"/>
        <w:jc w:val="center"/>
        <w:rPr>
          <w:rFonts w:hint="eastAsia" w:ascii="Times New Roman" w:hAnsi="Times New Roman" w:eastAsia="方正仿宋简体" w:cs="宋体"/>
          <w:color w:val="000000"/>
          <w:kern w:val="0"/>
          <w:sz w:val="32"/>
          <w:szCs w:val="32"/>
        </w:rPr>
      </w:pPr>
    </w:p>
    <w:p w14:paraId="14AE7B84">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广州南沙开发区管委会办公室 广州市南沙区人民政府办公室关于印发广州南沙新区（自贸片区）新形势下推动工业企业加快实施技术改造若干措施的通知</w:t>
      </w:r>
      <w:r>
        <w:rPr>
          <w:rFonts w:hint="eastAsia" w:ascii="Times New Roman" w:hAnsi="Times New Roman" w:eastAsia="方正仿宋简体" w:cs="Times New Roman"/>
          <w:b/>
          <w:color w:val="000000"/>
          <w:kern w:val="44"/>
          <w:sz w:val="32"/>
          <w:szCs w:val="32"/>
        </w:rPr>
        <w:br w:type="textWrapping"/>
      </w:r>
    </w:p>
    <w:p w14:paraId="011D016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各镇（街），开发区（区）各部门、各直属机构：</w:t>
      </w:r>
    </w:p>
    <w:p w14:paraId="4F2485F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《广州南沙新区（自贸片区）新形势下推动工业企业加快实施技术改造若干措施》已经管委会、区政府同意，现印发给你们，请认真组织实施。实施过程中遇到的问题，请径向工业和信息化局反映。</w:t>
      </w:r>
    </w:p>
    <w:p w14:paraId="1A47FD89">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广州南沙开发区管委会办公室</w:t>
      </w:r>
    </w:p>
    <w:p w14:paraId="61579634">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广州市南沙区人民政府办公室</w:t>
      </w:r>
    </w:p>
    <w:p w14:paraId="0DAE1908">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2024年10月20日</w:t>
      </w:r>
    </w:p>
    <w:p w14:paraId="40B6801D">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广州南沙新区（自贸片区）新形势下推动工业企业加快实施技术改造若干措施</w:t>
      </w:r>
    </w:p>
    <w:p w14:paraId="08C8DC9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落实党中央、国务院关于开展技术改造、设备更新、推进传统产业转型升级的有关要求，积极落实省委、省政府“制造业当家”和市委、市政府“坚持产业第一、制造业立市”工作要求，推动传统产业转型升级，引导和鼓励工业企业开展高端化、智能化、绿色化、融合化改造，结合南沙区实际，特制定本措施。</w:t>
      </w:r>
    </w:p>
    <w:p w14:paraId="7DBCA7EE">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本措施适用于在本区内从事生产经营活动，具有健全的财务制度，并符合相关条件的企业；适用于符合国家及省、市、区产业政策且纳入本区技术改造投资统计的项目。</w:t>
      </w:r>
    </w:p>
    <w:p w14:paraId="14EB97C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一、支持工业企业设备更新</w:t>
      </w:r>
    </w:p>
    <w:p w14:paraId="083F53E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工业企业引进和购置先进生产设备，对符合条件的投资期内新设备购置额达到500万元（含）以上的技术改造项目，按新设备购置额不超过10%的比例予以事后奖励，单个项目奖励金额最高1000万元；新设备购置额在150万元（含）-500万元（不含）的技术改造项目，按新设备购置额不超过7.5%的比例予以事后奖励。（责任部门：工业和信息化局）</w:t>
      </w:r>
    </w:p>
    <w:p w14:paraId="7FEC8CA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二、支持工业企业数字化改造</w:t>
      </w:r>
    </w:p>
    <w:p w14:paraId="6CC5BB1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工业企业数字化转型，对符合条件的投资期内新设备（含软件）支出150万元以上的技术改造项目，按照新设备（含软件）支出不超过15%比例予以事后奖励，单个项目奖励金额最高50万元。单个项目获得中央、省、市、区四级专项资金扶持累计不超过项目核定投入金额的50%，最高不超过150万元。（责任部门：工业和信息化局）</w:t>
      </w:r>
    </w:p>
    <w:p w14:paraId="6A96A9E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三、支持工业企业绿色化改造</w:t>
      </w:r>
    </w:p>
    <w:p w14:paraId="2626FA7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重点鼓励电力、钢铁、建材、石化、化工、纺织印染、造纸、粮油等领域开展节能降碳改造，支持工业企业开展工业固体废物资源综合利用改造，以及自建的分布式光伏发电系统和新型储能设施，对符合条件的投资期内新设备购置额150万元以上的项目，按新设备购置额不超过15%的比例予以事后奖励，单个项目奖励金额最高300万元。（责任部门：工业和信息化局）</w:t>
      </w:r>
    </w:p>
    <w:p w14:paraId="049BE15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四、支持工业企业协同技术改造</w:t>
      </w:r>
    </w:p>
    <w:p w14:paraId="5DA3B34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工业企业利用区内非关联制造业企业生产的设备实施技术改造，对符合条件的投资期内新设备购置额150万元（含）-1000万元（不含）的技术改造项目，按新设备购置额不超过2%的比例予以额外补贴。（责任部门：工业和信息化局）</w:t>
      </w:r>
    </w:p>
    <w:p w14:paraId="4BF6F9DE">
      <w:pPr>
        <w:widowControl/>
        <w:shd w:val="clear" w:color="auto" w:fill="FFFFFF"/>
        <w:spacing w:line="420" w:lineRule="atLeast"/>
        <w:jc w:val="left"/>
        <w:textAlignment w:val="baseline"/>
        <w:rPr>
          <w:rFonts w:hint="eastAsia" w:ascii="Times New Roman" w:hAnsi="Times New Roman" w:eastAsia="方正楷体简体" w:cs="方正楷体简体"/>
          <w:b/>
          <w:bCs/>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五、加强工业企业技术改造金融支持</w:t>
      </w:r>
    </w:p>
    <w:p w14:paraId="7EBB1D3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符合条件的技术改造项目，区财政在省、市技改贷款贴息、融资租赁补贴政策的基础上，按经核实的省、市补贴金额不超过50%的比例予以资金配套支持，单个项目奖励金额最高50万元。省、市、区资金扶持额度之和最高不超过项目贷款利息、融资租赁费用实际支出，且不超过按中国人民银行公布的同期同档次贷款市场报价利率（LPR）计算的贷款利息、融资租赁费用。（责任部门：工业和信息化局）</w:t>
      </w:r>
    </w:p>
    <w:p w14:paraId="235237B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六、鼓励工业企业实施“零增地”技术改造</w:t>
      </w:r>
    </w:p>
    <w:p w14:paraId="6B11899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支持工业企业在现有用地上拓展产业发展空间，通过实施“零增地”提容改造，增加建筑面积，提高工业用地利用效率。其中，对已取得土地使用权证书或符合建设用地确权登记条件的“零增地”技改项目，针对用地内规划、建设手续不完善的既有建筑，可在满足消防、安全等规范要求的前提下，按同步完善、同步报建的原则，允许先行容缺办理新建项目的建设工程规划许可，并按要求同步依法依规完善既有建筑相关手续或完成整改。（责任部门：各镇街，规划和自然资源局、行政审批局）</w:t>
      </w:r>
    </w:p>
    <w:p w14:paraId="1B387F50">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优化工业企业提高容积率监管协议签订形式。用地出让时已签订投入产出监管协议（或通过投资协议等其他形式，对产出指标进行约束）的项目，可在协商一致后约定新的投资额、投资进度等指标，产出指标按原协议执行。对于用地出让时未签订项目投入产出监管协议的项目，可签订相关投资协议，仅约定投资额、投资进度等指标，不约定产出指标。（责任部门：各镇街，工业和信息化局、规划和自然资源局、行政审批局）</w:t>
      </w:r>
    </w:p>
    <w:p w14:paraId="0CC6D11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七、附则</w:t>
      </w:r>
    </w:p>
    <w:p w14:paraId="5A0EDBA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申请获得本措施资金支持的事项或项目同时符合本区其他扶持规定的，按照就高不重复的原则予以支持，已获得本区其它扶持且扶持资金低于本措施的，按免申即享的原则予以补差额，另有规定的除外。企业可同时享受上级和本区同一类型政策扶持，但对上级政策要求本区分担部分应在企业向本区申报扶持时予以扣除；对已获得本区“一企一策”优惠政策扶持的不再享受本措施同类扶持措施支持。关于市内跨区迁移企业，如扶持对象存在涉及预算划转的上解资金，应在政策兑现时予以扣减。对于信用评价等级为D的市场主体，依照《广州市南沙区市场主体信用评价管理办法》等相关规定不予奖励。获得奖补的涉税支出由申报主体承担。</w:t>
      </w:r>
    </w:p>
    <w:p w14:paraId="29E5E70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（二）享受本措施的扶持对象应签订相关承诺书，对恶意套取政府政策资金的企业，移交相关部门处理。</w:t>
      </w:r>
    </w:p>
    <w:p w14:paraId="1237F2C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（三）本措施提到的货币单位均以人民币计算，涉及“不超过”“以上”“最高”“超过”“高于”的数额均包含本数。</w:t>
      </w:r>
    </w:p>
    <w:p w14:paraId="2189224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（四）本措施自印发之日起施行，有效期至2027年12月31日。2024年1月1日至印发之日，可参照本措施执行。本措施有效期内如遇法律法规或有关政策调整变化的，从其规定。</w:t>
      </w:r>
    </w:p>
    <w:p w14:paraId="2EF90D42">
      <w:pPr>
        <w:widowControl/>
        <w:shd w:val="clear" w:color="auto" w:fill="FFFFFF"/>
        <w:jc w:val="left"/>
        <w:textAlignment w:val="baseline"/>
        <w:rPr>
          <w:rFonts w:hint="eastAsia" w:ascii="Times New Roman" w:hAnsi="Times New Roman" w:eastAsia="方正仿宋简体" w:cs="宋体"/>
          <w:color w:val="000000"/>
          <w:kern w:val="0"/>
          <w:sz w:val="32"/>
          <w:szCs w:val="32"/>
        </w:rPr>
      </w:pPr>
    </w:p>
    <w:p w14:paraId="4FE59DE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公开方式：</w:t>
      </w:r>
      <w:r>
        <w:rPr>
          <w:rFonts w:hint="eastAsia" w:ascii="Times New Roman" w:hAnsi="Times New Roman" w:eastAsia="方正仿宋简体" w:cs="宋体"/>
          <w:color w:val="000000"/>
          <w:kern w:val="0"/>
          <w:sz w:val="32"/>
          <w:szCs w:val="32"/>
        </w:rPr>
        <w:t>主动公开</w:t>
      </w:r>
    </w:p>
    <w:p w14:paraId="4DF5324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广州南沙开发区管委会办公室秘书科  2024年10月21日印发</w:t>
      </w:r>
    </w:p>
    <w:p w14:paraId="56ECEFC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rPr>
      </w:pPr>
    </w:p>
    <w:p w14:paraId="7CCCB1A8">
      <w:pPr>
        <w:shd w:val="clear" w:color="auto" w:fill="FFFFFF"/>
        <w:jc w:val="both"/>
        <w:textAlignment w:val="baseline"/>
        <w:outlineLvl w:val="0"/>
        <w:rPr>
          <w:rFonts w:hint="eastAsia" w:ascii="Times New Roman" w:hAnsi="Times New Roman" w:eastAsia="方正仿宋简体" w:cs="宋体"/>
          <w:b/>
          <w:color w:val="000000"/>
          <w:kern w:val="0"/>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广州市海珠区投资促进局关于印发广州市海珠区促进数字营销产业发展若干措施的通知</w:t>
      </w:r>
    </w:p>
    <w:p w14:paraId="5A30B809">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各有关单位：</w:t>
      </w:r>
    </w:p>
    <w:p w14:paraId="450BE53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经区政府同意，现将《广州市海珠区促进数字营销产业发展若干措施》印发实施，请遵照执行。</w:t>
      </w:r>
    </w:p>
    <w:p w14:paraId="259F5EC0">
      <w:pPr>
        <w:shd w:val="clear" w:color="auto" w:fill="FFFFFF"/>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广州市海珠区投资促进局</w:t>
      </w:r>
    </w:p>
    <w:p w14:paraId="212466FB">
      <w:pPr>
        <w:shd w:val="clear" w:color="auto" w:fill="FFFFFF"/>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2024年10月21日</w:t>
      </w:r>
    </w:p>
    <w:p w14:paraId="2E54DC42">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1C8F639E">
      <w:pPr>
        <w:shd w:val="clear" w:color="auto" w:fill="FFFFFF"/>
        <w:spacing w:after="150" w:line="420" w:lineRule="atLeast"/>
        <w:jc w:val="center"/>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广州市海珠区促进数字营销产业发展若干措施</w:t>
      </w:r>
    </w:p>
    <w:p w14:paraId="0FCF5E2B">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一、</w:t>
      </w:r>
      <w:r>
        <w:rPr>
          <w:rFonts w:hint="eastAsia" w:ascii="Times New Roman" w:hAnsi="Times New Roman" w:eastAsia="方正仿宋简体" w:cs="Times New Roman"/>
          <w:color w:val="000000"/>
          <w:kern w:val="0"/>
          <w:sz w:val="32"/>
          <w:szCs w:val="32"/>
        </w:rPr>
        <w:t>为深入贯彻落实中共中央、国务院关于数字中国建设整体布局的决策部署，繁荣数字营销生态，促进科创企业、中小微企业发展，根据《国务院关于印发“十四五”数字经济发展规划的通知》（国发〔2021〕29号）、《国务院办公厅关于以新业态新模式引领新型消费加快发展的意见》（国办发〔2020〕32号）、《广东省数字经济促进条例》《广州市数字经济促进条例》，结合海珠区产业资源和产业基础，制定本措施。</w:t>
      </w:r>
    </w:p>
    <w:p w14:paraId="3E5001C5">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二、</w:t>
      </w:r>
      <w:r>
        <w:rPr>
          <w:rFonts w:hint="eastAsia" w:ascii="Times New Roman" w:hAnsi="Times New Roman" w:eastAsia="方正仿宋简体" w:cs="Times New Roman"/>
          <w:color w:val="000000"/>
          <w:kern w:val="0"/>
          <w:sz w:val="32"/>
          <w:szCs w:val="32"/>
        </w:rPr>
        <w:t>本措施适用于在海珠区依法开展经营活动，有健全的财务制度的数字营销企业以及为数字营销产业发展提供技术支撑、配套服务等相关企业。</w:t>
      </w:r>
    </w:p>
    <w:p w14:paraId="35C9657A">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三、</w:t>
      </w:r>
      <w:r>
        <w:rPr>
          <w:rFonts w:hint="eastAsia" w:ascii="Times New Roman" w:hAnsi="Times New Roman" w:eastAsia="方正仿宋简体" w:cs="Times New Roman"/>
          <w:color w:val="000000"/>
          <w:kern w:val="0"/>
          <w:sz w:val="32"/>
          <w:szCs w:val="32"/>
        </w:rPr>
        <w:t>本措施所称的数字营销企业包括以下领域：</w:t>
      </w:r>
    </w:p>
    <w:p w14:paraId="032FBD9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（一）数字营销代理服务和管理：广告代理、整合营销全案代理。</w:t>
      </w:r>
    </w:p>
    <w:p w14:paraId="496DC785">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数据和运营工具：CRM（客户关系管理）、SCRM（社会化客户关系管理）、CDP（客户数据平台）软件开发及相关数据服务；媒体数据、平台数据服务软件开发及相关数据服务；其他营销类软件开发和相关数据服务。</w:t>
      </w:r>
    </w:p>
    <w:p w14:paraId="33281B44">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（三）触点和内容：电商营销（含直播电商营销）、私域营销、内容营销、短剧营销、社媒营销、元宇宙营销和数字人、代运营机构、MCN。</w:t>
      </w:r>
    </w:p>
    <w:p w14:paraId="36EFA683">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四、</w:t>
      </w:r>
      <w:r>
        <w:rPr>
          <w:rFonts w:hint="eastAsia" w:ascii="Times New Roman" w:hAnsi="Times New Roman" w:eastAsia="方正仿宋简体" w:cs="Times New Roman"/>
          <w:color w:val="000000"/>
          <w:kern w:val="0"/>
          <w:sz w:val="32"/>
          <w:szCs w:val="32"/>
        </w:rPr>
        <w:t>实施“筑巢行动”。积极打造一批产业园区或商务楼宇为数字营销生态创新空间，推动数字营销企业集群化发展。</w:t>
      </w:r>
    </w:p>
    <w:p w14:paraId="700D41F4">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（一）数字营销生态创新空间，应同时符合下列条件：</w:t>
      </w:r>
    </w:p>
    <w:p w14:paraId="2BE3FFE0">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1.数字营销产业发展特色明显，具有相对集中的数字营销产业发展布局，已入驻数字营销企业不少于10家或租用面积占总建筑面积比例不少于30%；</w:t>
      </w:r>
    </w:p>
    <w:p w14:paraId="75191C9D">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2.权属边界清晰，不存在权属纠纷，且权属或租赁剩余有效期不少于5年；</w:t>
      </w:r>
    </w:p>
    <w:p w14:paraId="56FC6F3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3.有统一的管理运营服务主体，其在海珠区依法开展经营活动，可为入驻企业提供与数字营销相关的配套企业服务；</w:t>
      </w:r>
    </w:p>
    <w:p w14:paraId="7E933E9A">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4.具有一定规模，建筑面积不少于5000平方米，其中数字营销公共配套面积（包括公共服务中心、公共直播间、公共短剧拍摄空间、共享展示区等）不少于500平方米，直播间数量不少于20间；</w:t>
      </w:r>
    </w:p>
    <w:p w14:paraId="65A00D4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鼓励企业参与空间建设运营，政策扶持期内数字营销生态创新空间每新增1家依法开展经营活动、新一代信息技术服务业年度营业收入2000万元以上且无重大安全事故的数字营销企业，该空间业主方或运营方最高可获得5万元奖励，年度奖励最高50万元；</w:t>
      </w:r>
    </w:p>
    <w:p w14:paraId="01DB83CA">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对数字营销生态创新空间内依法开展经营活动且无重大安全事故的自有品牌企业，委托在海珠区依法开展经营活动的直播电商机构通过品牌直播间销售方式销售商品，且年本地直播不含税销售额3000万元以上的，最高按所产生佣金的20%给予自有品牌企业资金奖励，年度奖励最高50万元；</w:t>
      </w:r>
    </w:p>
    <w:p w14:paraId="74ED5B6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支持数字营销生态创新空间申报国家、省、市等电子商务示范园区（基地），首次获政府部门评为国家、省、市电子商务示范园区（基地）相关称号的，分别最高给予获评单位50万元、30万元、20万元一次性奖励；</w:t>
      </w:r>
    </w:p>
    <w:p w14:paraId="0D6AB6E0">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支持数字营销企业（含电商营销、短剧营销等企业）在数字营销生态创新空间集聚发展。对于在数字营销生态创新空间新增的数字营销企业，其新租赁自用办公用房面积在500平方米以上、租赁合同期在三年以上，依法开展经营活动且无重大安全事故的，每年最高按照当年度企业租赁且实际使用办公用房面积租金的30%给予支持，年度租金支持最高100万元。</w:t>
      </w:r>
    </w:p>
    <w:p w14:paraId="21FBB2A2">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五、</w:t>
      </w:r>
      <w:r>
        <w:rPr>
          <w:rFonts w:hint="eastAsia" w:ascii="Times New Roman" w:hAnsi="Times New Roman" w:eastAsia="方正仿宋简体" w:cs="Times New Roman"/>
          <w:color w:val="000000"/>
          <w:kern w:val="0"/>
          <w:sz w:val="32"/>
          <w:szCs w:val="32"/>
        </w:rPr>
        <w:t>实施“壮苗行动”。支持数字营销企业（含电商营销、短剧营销等企业）做大做强：</w:t>
      </w:r>
    </w:p>
    <w:p w14:paraId="2875CC89">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对于依法开展经营活动、无重大安全事故的数字营销企业（含电商营销、短剧营销等企业），新一代信息技术服务业年度营业收入自企业设立以来首次达到2000万元、3000万元、5000万元、1亿元、3亿元的，分别给予最高5万元、10万元、20万元、30万元、50万元的奖励；措施有效期内逐级达到对应营业收入标准的，奖励差额部分。</w:t>
      </w:r>
    </w:p>
    <w:p w14:paraId="29DB3004">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于依法开展经营活动、无重大安全事故的数字营销企业（含电商营销、短剧营销等企业），上一年度新一代信息技术服务业年度营业收入超过3亿元，且当年度营业收入增速高于20%、35%、50%的，分别最高按该企业当年度营业收入增量的0.1%、0.15%、0.2%给予奖励，年度奖励最高100万元。</w:t>
      </w:r>
    </w:p>
    <w:p w14:paraId="156B6109">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六、</w:t>
      </w:r>
      <w:r>
        <w:rPr>
          <w:rFonts w:hint="eastAsia" w:ascii="Times New Roman" w:hAnsi="Times New Roman" w:eastAsia="方正仿宋简体" w:cs="Times New Roman"/>
          <w:color w:val="000000"/>
          <w:kern w:val="0"/>
          <w:sz w:val="32"/>
          <w:szCs w:val="32"/>
        </w:rPr>
        <w:t>实施“聚苗行动”。支持数字营销（含电商营销、短剧营销等企业）企业在海珠区举办具有数字营销行业影响力的行业峰会活动。对海珠区重点引进、线下活动场地租赁面积不少于1000平方米的行业峰会活动，最高按场地租赁费用的30%给予主办方资金支持，单项活动资金支持最高20万元，单个主办方可获得年度资金支持最高60万元。</w:t>
      </w:r>
    </w:p>
    <w:p w14:paraId="711C9A7C">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七、</w:t>
      </w:r>
      <w:r>
        <w:rPr>
          <w:rFonts w:hint="eastAsia" w:ascii="Times New Roman" w:hAnsi="Times New Roman" w:eastAsia="方正仿宋简体" w:cs="Times New Roman"/>
          <w:color w:val="000000"/>
          <w:kern w:val="0"/>
          <w:sz w:val="32"/>
          <w:szCs w:val="32"/>
        </w:rPr>
        <w:t>实施“优才行动”。提高产业人才集聚力，引进和培育一批具备较强业务能力的知名达人、主播，鼓励数字营销企业（含电商营销、短剧营销等企业）与知名达人、主播合规拓展业务。数字营销企业（含电商营销、短剧营销等企业）每新增一名在海珠区年收入不少于50万元但少于100万元的达人、主播个人，最高给予所在企业5万元奖励；每新增一名在海珠区年收入在不少于100万元但少于200万元的达人、主播个人，最高给予所在企业10万元奖励；每新增一名在海珠区年收入不少于200万元的达人、主播个人，最高给予所在企业20万元奖励；单个数字营销企业（含电商营销、短剧营销等企业）年度奖励最高50万元。鼓励开展产教融合，支持高职院校或具备相应资质的职业技能培训机构与海珠区内数字营销企业合作开展达人及主播培训服务。</w:t>
      </w:r>
    </w:p>
    <w:p w14:paraId="4087EE49">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八、</w:t>
      </w:r>
      <w:r>
        <w:rPr>
          <w:rFonts w:hint="eastAsia" w:ascii="Times New Roman" w:hAnsi="Times New Roman" w:eastAsia="方正仿宋简体" w:cs="Times New Roman"/>
          <w:color w:val="000000"/>
          <w:kern w:val="0"/>
          <w:sz w:val="32"/>
          <w:szCs w:val="32"/>
        </w:rPr>
        <w:t>实施“赋能行动”。推动数字营销（含电商营销、短剧营销等企业）赋能传统行业转型升级。鼓励海珠区内品牌企业拓展直播电商业务，在自身经营场地内在本措施实施期间新建实体直播间，且面积不少于500平方米的，最高按直播间实际建安工程总额（经第三方结算评审）的30%给予一次性资金支持，单个企业可获得年度资金支持最高50万元。</w:t>
      </w:r>
    </w:p>
    <w:p w14:paraId="4438B50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九、</w:t>
      </w:r>
      <w:r>
        <w:rPr>
          <w:rFonts w:hint="eastAsia" w:ascii="Times New Roman" w:hAnsi="Times New Roman" w:eastAsia="方正仿宋简体" w:cs="Times New Roman"/>
          <w:color w:val="000000"/>
          <w:kern w:val="0"/>
          <w:sz w:val="32"/>
          <w:szCs w:val="32"/>
        </w:rPr>
        <w:t>对符合相应条件的数字营销企业（含电商营销、短剧营销等企业），海珠区每年将根据企业发展情况，在广州户口、人才绿卡、子女入学、人才公寓等方面给予支持，具体以年度方案为准。</w:t>
      </w:r>
    </w:p>
    <w:p w14:paraId="319722E3">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十、</w:t>
      </w:r>
      <w:r>
        <w:rPr>
          <w:rFonts w:hint="eastAsia" w:ascii="Times New Roman" w:hAnsi="Times New Roman" w:eastAsia="方正仿宋简体" w:cs="Times New Roman"/>
          <w:color w:val="000000"/>
          <w:kern w:val="0"/>
          <w:sz w:val="32"/>
          <w:szCs w:val="32"/>
        </w:rPr>
        <w:t>已签订海珠区用地协议的企业，在完成协议约定经济指标考核要求后，可享受本措施。同时符合本措施及海珠区内其他扶持政策规定（含上级部门要求海珠区配套或负担资金的政策规定）的，按照从高不重复的原则予以支持，另有规定的除外。每年根据财政拨付资金总额进行奖励，本措施年度奖励总额不超出拨付资金总额。同一企业集团年度获取本措施的奖励总金额不超过300万元。本措施所指“以上、最高、不超过、不少于”均含本数，“超过、高于、少于”均不含本数。本措施所指“营业收入”是指企业在一定时期内销售商品或提供服务所获得的货币收入。本措施所指“MCN”是指包括负责管理主播人员的，提供文化娱乐经纪人服务的企业和商务服务业企业。</w:t>
      </w:r>
    </w:p>
    <w:p w14:paraId="533D1B1E">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十一、</w:t>
      </w:r>
      <w:r>
        <w:rPr>
          <w:rFonts w:hint="eastAsia" w:ascii="Times New Roman" w:hAnsi="Times New Roman" w:eastAsia="方正仿宋简体" w:cs="Times New Roman"/>
          <w:color w:val="000000"/>
          <w:kern w:val="0"/>
          <w:sz w:val="32"/>
          <w:szCs w:val="32"/>
        </w:rPr>
        <w:t>海珠区依照本措施开展数字营销生态创新空间的培育、项目评审、资金使用监督等。本措施具体由海珠区投资促进局负责组织实施、发布年度申报指南，企业按自愿原则提交申请材料，获得奖励的涉税支出由企业承担。申请享受本措施扶持的企业，须依法诚信经营，并签订相关经营承诺书。</w:t>
      </w:r>
    </w:p>
    <w:p w14:paraId="4BC4911C">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十二、</w:t>
      </w:r>
      <w:r>
        <w:rPr>
          <w:rFonts w:hint="eastAsia" w:ascii="Times New Roman" w:hAnsi="Times New Roman" w:eastAsia="方正仿宋简体" w:cs="Times New Roman"/>
          <w:color w:val="000000"/>
          <w:kern w:val="0"/>
          <w:sz w:val="32"/>
          <w:szCs w:val="32"/>
        </w:rPr>
        <w:t>本措施自印发之日起施行，有效期3年。本措施由海珠区投资促进局负责解释。</w:t>
      </w:r>
    </w:p>
    <w:p w14:paraId="070D766B">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2DD1408C">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广州市海珠区投资促进局办公室  2024年10月23日印发</w:t>
      </w:r>
    </w:p>
    <w:p w14:paraId="54CA4A73">
      <w:pPr>
        <w:shd w:val="clear" w:color="auto" w:fill="FFFFFF"/>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英文版：</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"https://cms.gz.gov.cn/gzzcwjk/storage/material/2024/11/20/3f7da8ed153e2be8020a8b8c12209c4b.docx"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Notice of Investment Promotion Bureau of Haizhu District, Guangzhou on Issuing Several Measures for Promoting the Development of Digital Marketing Industry in Haizhu District, Guangzhou.docx</w:t>
      </w:r>
      <w:r>
        <w:rPr>
          <w:rFonts w:hint="eastAsia" w:ascii="Times New Roman" w:hAnsi="Times New Roman" w:eastAsia="方正仿宋简体" w:cs="Times New Roman"/>
          <w:color w:val="000000"/>
          <w:kern w:val="0"/>
          <w:sz w:val="32"/>
          <w:szCs w:val="32"/>
          <w:u w:val="single"/>
        </w:rPr>
        <w:fldChar w:fldCharType="end"/>
      </w:r>
    </w:p>
    <w:p w14:paraId="26F1482F">
      <w:pPr>
        <w:shd w:val="clear" w:color="auto" w:fill="FFFFFF"/>
        <w:spacing w:after="150" w:line="420" w:lineRule="atLeast"/>
        <w:jc w:val="left"/>
        <w:rPr>
          <w:rFonts w:ascii="Times New Roman" w:hAnsi="Times New Roman" w:eastAsia="方正仿宋简体" w:cs="Times New Roman"/>
          <w:color w:val="000000"/>
          <w:kern w:val="0"/>
          <w:sz w:val="32"/>
          <w:szCs w:val="32"/>
        </w:rPr>
      </w:pPr>
    </w:p>
    <w:p w14:paraId="3C5B139A">
      <w:pPr>
        <w:shd w:val="clear" w:color="auto" w:fill="FFFFFF"/>
        <w:jc w:val="center"/>
        <w:textAlignment w:val="baseline"/>
        <w:outlineLvl w:val="0"/>
        <w:rPr>
          <w:rFonts w:hint="eastAsia" w:ascii="Times New Roman" w:hAnsi="Times New Roman" w:eastAsia="方正仿宋简体" w:cs="宋体"/>
          <w:b/>
          <w:color w:val="000000"/>
          <w:kern w:val="0"/>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广州琶洲人工智能与数字经济试验区管理委员会 广州市海珠区科技工业商务和信息化局关于印发广州市海珠区推进游戏产业在琶洲人工智能与数字经济试验区健康发展的促进措施的通知</w:t>
      </w:r>
    </w:p>
    <w:p w14:paraId="549C555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各有关单位：</w:t>
      </w:r>
    </w:p>
    <w:p w14:paraId="1F820B2A">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经区政府同意，现将修订后的《广州市海珠区推进游戏产业在琶洲人工智能与数字经济试验区健康发展的促进措施》印发给你们，请遵照执行。执行过程中如遇问题，请径向广州琶洲人工智能与数字经济试验区管理委员会反映。</w:t>
      </w:r>
    </w:p>
    <w:p w14:paraId="41E14C65">
      <w:pPr>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广州琶洲人工智能与数字经济试验区管理委员会</w:t>
      </w:r>
    </w:p>
    <w:p w14:paraId="7C7B63E0">
      <w:pPr>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广州市海珠区科技工业商务和信息化局</w:t>
      </w:r>
    </w:p>
    <w:p w14:paraId="5380EC34">
      <w:pPr>
        <w:spacing w:after="150"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2024年10月23日</w:t>
      </w:r>
    </w:p>
    <w:p w14:paraId="5093886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br w:type="textWrapping"/>
      </w:r>
    </w:p>
    <w:p w14:paraId="15FF02A5">
      <w:pPr>
        <w:spacing w:after="150" w:line="420" w:lineRule="atLeast"/>
        <w:jc w:val="center"/>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广州市海珠区推进游戏产业在琶洲人工智能与数字经济试验区健康发展的促进措施</w:t>
      </w:r>
    </w:p>
    <w:p w14:paraId="245000D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第一条 </w:t>
      </w:r>
      <w:r>
        <w:rPr>
          <w:rFonts w:hint="eastAsia" w:ascii="Times New Roman" w:hAnsi="Times New Roman" w:eastAsia="方正仿宋简体" w:cs="Times New Roman"/>
          <w:color w:val="000000"/>
          <w:kern w:val="0"/>
          <w:sz w:val="32"/>
          <w:szCs w:val="32"/>
        </w:rPr>
        <w:t>为促进游戏产业健康发展，打造一批实力雄厚、具有较强竞争力的游戏头部企业，培育一批技术先进、原创性强、发展成长路线规范健康的本土中小型游戏企业，吸引一批国际国内知名的游戏人才和优秀原创团队集聚发展，根据《国务院关于印发“十四五”数字经济发展规划的通知》（国发〔2021〕29号）、《国务院关于推进文化创意和设计服务与相关产业融合发展的若干意见》（国发〔2014〕10号）、《文化和旅游部关于推动数字文化产业高质量发展的意见》（文旅产业发〔2020〕78号）、《广东省培育数字创意战略性新兴产业集群行动计划（2021—2025年）》，结合本区实际，制定本措施。</w:t>
      </w:r>
    </w:p>
    <w:p w14:paraId="17505E89">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第二条 </w:t>
      </w:r>
      <w:r>
        <w:rPr>
          <w:rFonts w:hint="eastAsia" w:ascii="Times New Roman" w:hAnsi="Times New Roman" w:eastAsia="方正仿宋简体" w:cs="Times New Roman"/>
          <w:color w:val="000000"/>
          <w:kern w:val="0"/>
          <w:sz w:val="32"/>
          <w:szCs w:val="32"/>
        </w:rPr>
        <w:t>【适用范围】</w:t>
      </w:r>
    </w:p>
    <w:p w14:paraId="43590437">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本措施适用的对象是在海珠区从事原创游戏开发、游戏平台运营、动漫制作发行、电竞赛事运营等与游戏产业密切相关经营活动、组织财务管理制度健全、信用和经济效益良好的企业或社会组织。</w:t>
      </w:r>
    </w:p>
    <w:p w14:paraId="5852CD9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第三条 </w:t>
      </w:r>
      <w:r>
        <w:rPr>
          <w:rFonts w:hint="eastAsia" w:ascii="Times New Roman" w:hAnsi="Times New Roman" w:eastAsia="方正仿宋简体" w:cs="Times New Roman"/>
          <w:color w:val="000000"/>
          <w:kern w:val="0"/>
          <w:sz w:val="32"/>
          <w:szCs w:val="32"/>
        </w:rPr>
        <w:t>【研发创新奖励】</w:t>
      </w:r>
    </w:p>
    <w:p w14:paraId="4A16DCF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支持游戏原创精品研发。鼓励游戏类企业持续开展技术创新，提升原创产品研制水平。对上年度在本区开发、上线运营原创游戏类产品或开发共性技术平台、游戏引擎研发平台，研发智能设备的企业，按照该产品或项目研发投资金额10%予以奖励，最高不超过100万元。其中获国际性知名奖项的原创游戏类产品，给予一次性最高不超过100万元的奖励，获国内知名奖项的原创游戏类产品，给予一次性最高不超过30万元的奖励。</w:t>
      </w:r>
    </w:p>
    <w:p w14:paraId="6DE17DC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第四条 </w:t>
      </w:r>
      <w:r>
        <w:rPr>
          <w:rFonts w:hint="eastAsia" w:ascii="Times New Roman" w:hAnsi="Times New Roman" w:eastAsia="方正仿宋简体" w:cs="Times New Roman"/>
          <w:color w:val="000000"/>
          <w:kern w:val="0"/>
          <w:sz w:val="32"/>
          <w:szCs w:val="32"/>
        </w:rPr>
        <w:t>【人才引进扶持】</w:t>
      </w:r>
    </w:p>
    <w:p w14:paraId="4ED91CE0">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吸引一批国际国内知名的游戏领域人才和优秀创新创业团队落户海珠。上年度主营业务收入1亿元以上且诚信经营、无重大生产安全事故的游戏类企业，可享受以下政策优惠：</w:t>
      </w:r>
    </w:p>
    <w:p w14:paraId="3E125E10">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（一）给予企业1名人才引进补助名额，针对上年度新引进重点人才的企业给予一次性最高不超过10万元的引进补助，人才推荐实行企业承诺制，由企业对人才的申报资格条件负责；</w:t>
      </w:r>
    </w:p>
    <w:p w14:paraId="172A2F4F">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（二）依法统筹协调重点人才入户、子女入学、人才公寓、人才绿卡等政策。</w:t>
      </w:r>
    </w:p>
    <w:p w14:paraId="5A9BC5DE">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第五条 </w:t>
      </w:r>
      <w:r>
        <w:rPr>
          <w:rFonts w:hint="eastAsia" w:ascii="Times New Roman" w:hAnsi="Times New Roman" w:eastAsia="方正仿宋简体" w:cs="Times New Roman"/>
          <w:color w:val="000000"/>
          <w:kern w:val="0"/>
          <w:sz w:val="32"/>
          <w:szCs w:val="32"/>
        </w:rPr>
        <w:t>【载体招商奖励】</w:t>
      </w:r>
    </w:p>
    <w:p w14:paraId="7004F4FC">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对重点导入游戏类企业，塑造游戏特色产业生态并达成以下条件之一的楼宇、园区，最高给予楼宇、园区相关运营主体50万元奖励：</w:t>
      </w:r>
    </w:p>
    <w:p w14:paraId="0DBAA6AE">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（一）楼宇、园区内上年度新增主营业务收入2000万元以上且诚信经营、无重大生产安全事故的游戏类企业达4家以上；</w:t>
      </w:r>
    </w:p>
    <w:p w14:paraId="60DE24D0">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（二）楼宇、园区内上年度新增的游戏类企业租用办公面积达到5000平方米以上；</w:t>
      </w:r>
    </w:p>
    <w:p w14:paraId="22AAAC8B">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（三）楼宇、园区内上年度新增的游戏类企业主营业务收入合计达到1亿元以上且诚信经营、无重大生产安全事故。</w:t>
      </w:r>
    </w:p>
    <w:p w14:paraId="7A431032">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第六条 </w:t>
      </w:r>
      <w:r>
        <w:rPr>
          <w:rFonts w:hint="eastAsia" w:ascii="Times New Roman" w:hAnsi="Times New Roman" w:eastAsia="方正仿宋简体" w:cs="Times New Roman"/>
          <w:color w:val="000000"/>
          <w:kern w:val="0"/>
          <w:sz w:val="32"/>
          <w:szCs w:val="32"/>
        </w:rPr>
        <w:t>【办公用房补助】</w:t>
      </w:r>
    </w:p>
    <w:p w14:paraId="3AC1D361">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在海珠区新增租赁自用办公用房的游戏类企业，按规定完成房屋租赁登记备案且已支付租金，并达到以下补助条件之一的，给予连续2年办公用房补助:</w:t>
      </w:r>
    </w:p>
    <w:p w14:paraId="1EE9CE94">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（一）对上年度主营业务收入5000万元以上且诚信经营、无重大生产安全事故的企业，以建筑面积计，按照20元/平方米/月的标准给予补助，每年最高50万元；</w:t>
      </w:r>
    </w:p>
    <w:p w14:paraId="1F45502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（二）对上年度主营业务收入1亿元以上且诚信经营、无重大生产安全事故的企业，以建筑面积计，按照30元/平方米/月的标准给予补助，每年最高100万元；</w:t>
      </w:r>
    </w:p>
    <w:p w14:paraId="3DD5F797">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（三）对上年度主营业务收入5亿元以上且诚信经营、无重大生产安全事故的企业，以建筑面积计，按照100元/平方米/月的标准给予补助，每年最高200万元。</w:t>
      </w:r>
    </w:p>
    <w:p w14:paraId="55883BC9">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企业若在新增年度未达到补助条件的，可从实际达到补助条件年度起给予补助，但补助期限相应缩短，即新增年度起2年后不再给予办公用房补助。</w:t>
      </w:r>
    </w:p>
    <w:p w14:paraId="055B9F5B">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第七条 </w:t>
      </w:r>
      <w:r>
        <w:rPr>
          <w:rFonts w:hint="eastAsia" w:ascii="Times New Roman" w:hAnsi="Times New Roman" w:eastAsia="方正仿宋简体" w:cs="Times New Roman"/>
          <w:color w:val="000000"/>
          <w:kern w:val="0"/>
          <w:sz w:val="32"/>
          <w:szCs w:val="32"/>
        </w:rPr>
        <w:t>【企业规模化发展奖励】</w:t>
      </w:r>
    </w:p>
    <w:p w14:paraId="0CF88D34">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对健康发展壮大的游戏类企业，按照如下标准给予支持：</w:t>
      </w:r>
    </w:p>
    <w:p w14:paraId="04A961D8">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（一）上年度主营业务收入首次达到2000万元以上且诚信经营、无重大生产安全事故，最高给予5万元奖励；</w:t>
      </w:r>
    </w:p>
    <w:p w14:paraId="0D4A458F">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（二）上年度主营业务收入首次达到5000万元以上且诚信经营、无重大生产安全事故，最高给予25万元奖励；</w:t>
      </w:r>
    </w:p>
    <w:p w14:paraId="7C703BB3">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（三）上年度主营业务收入首次达到1亿元以上且诚信经营、无重大生产安全事故，最高给予50万元奖励；</w:t>
      </w:r>
    </w:p>
    <w:p w14:paraId="55668819">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（四）上年度主营业务收入首次达到5亿元以上且诚信经营、无重大生产安全事故，最高给予100万元奖励；</w:t>
      </w:r>
    </w:p>
    <w:p w14:paraId="1A4A4116">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（五）上年度主营业务收入首次达到10亿元以上且诚信经营、无重大生产安全事故，最高给予200万元奖励。</w:t>
      </w:r>
    </w:p>
    <w:p w14:paraId="354F2512">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主营业务收入逐级达到奖励标准的，奖励差额部分，可从实际达到奖励条件的年度起给予奖励，所奖励年度应在本措施第十六条允许申报的期限内。</w:t>
      </w:r>
    </w:p>
    <w:p w14:paraId="55405654">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第八条 </w:t>
      </w:r>
      <w:r>
        <w:rPr>
          <w:rFonts w:hint="eastAsia" w:ascii="Times New Roman" w:hAnsi="Times New Roman" w:eastAsia="方正仿宋简体" w:cs="Times New Roman"/>
          <w:color w:val="000000"/>
          <w:kern w:val="0"/>
          <w:sz w:val="32"/>
          <w:szCs w:val="32"/>
        </w:rPr>
        <w:t>【活动扶持】</w:t>
      </w:r>
    </w:p>
    <w:p w14:paraId="012D6585">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引导企业、行业协会等社会组织、机构积极参与或举办游戏类行业活动。对举办或承办具有行业影响力的重大国际性或全国性电子竞技大赛的社会组织、机构，按照如下标准给予补助：</w:t>
      </w:r>
    </w:p>
    <w:p w14:paraId="3717D687">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对举办奖金总额超过100万元的国际性、全国性赛事的主办方，最高按照奖金总额度的30%给予支持，支持金额最高不超过50万元。</w:t>
      </w:r>
    </w:p>
    <w:p w14:paraId="2298BD3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第九条 </w:t>
      </w:r>
      <w:r>
        <w:rPr>
          <w:rFonts w:hint="eastAsia" w:ascii="Times New Roman" w:hAnsi="Times New Roman" w:eastAsia="方正仿宋简体" w:cs="Times New Roman"/>
          <w:color w:val="000000"/>
          <w:kern w:val="0"/>
          <w:sz w:val="32"/>
          <w:szCs w:val="32"/>
        </w:rPr>
        <w:t>【行业贡献奖】</w:t>
      </w:r>
    </w:p>
    <w:p w14:paraId="08045243">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鼓励游戏产业相关企业或机构积极参与推动海珠区游戏产业的发展，按照企业类型及对海珠区游戏产业发展的贡献程度，可授予海珠区游戏动漫标杆企业，海珠区游戏动漫产业优秀合作伙伴，海珠区游戏产业特色楼宇、园区等称号。</w:t>
      </w:r>
    </w:p>
    <w:p w14:paraId="6396E03A">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第十条 </w:t>
      </w:r>
      <w:r>
        <w:rPr>
          <w:rFonts w:hint="eastAsia" w:ascii="Times New Roman" w:hAnsi="Times New Roman" w:eastAsia="方正仿宋简体" w:cs="Times New Roman"/>
          <w:color w:val="000000"/>
          <w:kern w:val="0"/>
          <w:sz w:val="32"/>
          <w:szCs w:val="32"/>
        </w:rPr>
        <w:t>【管理服务】</w:t>
      </w:r>
    </w:p>
    <w:p w14:paraId="6B3ADE3A">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定期为游戏类企业提供游戏内容管理及政策培训，提升游戏类企业法治意识。建设版权保护服务工作站，为游戏类企业提供软件著作权登记、维权援助、法律咨询、教育培训等服务。主管政府部门主动加强对游戏行业的监督执法，营造健康的游戏市场环境。</w:t>
      </w:r>
    </w:p>
    <w:p w14:paraId="0F87A899">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第十一条 </w:t>
      </w:r>
      <w:r>
        <w:rPr>
          <w:rFonts w:hint="eastAsia" w:ascii="Times New Roman" w:hAnsi="Times New Roman" w:eastAsia="方正仿宋简体" w:cs="Times New Roman"/>
          <w:color w:val="000000"/>
          <w:kern w:val="0"/>
          <w:sz w:val="32"/>
          <w:szCs w:val="32"/>
        </w:rPr>
        <w:t>同一企业或项目符合多个奖补条款时，按照“就高不重复”的原则，由企业自愿选择申报。</w:t>
      </w:r>
    </w:p>
    <w:p w14:paraId="747065A1">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第十二条 </w:t>
      </w:r>
      <w:r>
        <w:rPr>
          <w:rFonts w:hint="eastAsia" w:ascii="Times New Roman" w:hAnsi="Times New Roman" w:eastAsia="方正仿宋简体" w:cs="Times New Roman"/>
          <w:color w:val="000000"/>
          <w:kern w:val="0"/>
          <w:sz w:val="32"/>
          <w:szCs w:val="32"/>
        </w:rPr>
        <w:t>本措施所指上年度是指上一自然年度，即自公历1月1日起至12月31日止。所称“以上”“最高”“不超过”“最高不超过”均含本数。</w:t>
      </w:r>
    </w:p>
    <w:p w14:paraId="770ADD4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第十三条 </w:t>
      </w:r>
      <w:r>
        <w:rPr>
          <w:rFonts w:hint="eastAsia" w:ascii="Times New Roman" w:hAnsi="Times New Roman" w:eastAsia="方正仿宋简体" w:cs="Times New Roman"/>
          <w:color w:val="000000"/>
          <w:kern w:val="0"/>
          <w:sz w:val="32"/>
          <w:szCs w:val="32"/>
        </w:rPr>
        <w:t>每年根据财政拨付资金总额进行奖励，本措施年度奖励总额不超出当年度拨付资金总额，项目扶持金额视当年度资金总额和项目申报情况作适当调整。</w:t>
      </w:r>
    </w:p>
    <w:p w14:paraId="45DF49B0">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第十四条 </w:t>
      </w:r>
      <w:r>
        <w:rPr>
          <w:rFonts w:hint="eastAsia" w:ascii="Times New Roman" w:hAnsi="Times New Roman" w:eastAsia="方正仿宋简体" w:cs="Times New Roman"/>
          <w:color w:val="000000"/>
          <w:kern w:val="0"/>
          <w:sz w:val="32"/>
          <w:szCs w:val="32"/>
        </w:rPr>
        <w:t>获扶持对象应合规使用资金，主动配合相关职能部门的监督检查和审计等工作，并履行好社会责任。申请享受本措施扶持的企业须依法诚信经营，并签订相关承诺书。</w:t>
      </w:r>
    </w:p>
    <w:p w14:paraId="651658DB">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第十五条 </w:t>
      </w:r>
      <w:r>
        <w:rPr>
          <w:rFonts w:hint="eastAsia" w:ascii="Times New Roman" w:hAnsi="Times New Roman" w:eastAsia="方正仿宋简体" w:cs="Times New Roman"/>
          <w:color w:val="000000"/>
          <w:kern w:val="0"/>
          <w:sz w:val="32"/>
          <w:szCs w:val="32"/>
        </w:rPr>
        <w:t>本措施由广州琶洲人工智能与数字经济试验区管理委员会（以下简称“琶洲管委会”）负责组织实施，具体实施细则由琶洲管委会另行制定。</w:t>
      </w:r>
    </w:p>
    <w:p w14:paraId="5CFDDCEF">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w:t>
      </w:r>
      <w:r>
        <w:rPr>
          <w:rFonts w:hint="eastAsia" w:ascii="Times New Roman" w:hAnsi="Times New Roman" w:eastAsia="方正仿宋简体" w:cs="Times New Roman"/>
          <w:b/>
          <w:color w:val="000000"/>
          <w:kern w:val="0"/>
          <w:sz w:val="32"/>
          <w:szCs w:val="32"/>
        </w:rPr>
        <w:t>第十六条 </w:t>
      </w:r>
      <w:r>
        <w:rPr>
          <w:rFonts w:hint="eastAsia" w:ascii="Times New Roman" w:hAnsi="Times New Roman" w:eastAsia="方正仿宋简体" w:cs="Times New Roman"/>
          <w:color w:val="000000"/>
          <w:kern w:val="0"/>
          <w:sz w:val="32"/>
          <w:szCs w:val="32"/>
        </w:rPr>
        <w:t>本措施自印发之日起施行，有效期至2025年6月30日。2023年1月1日至本措施印发之日期间符合本措施扶持与奖励条件的，可参照本措施申报。2022年7月1日印发的《广州市海珠区推进游戏产业在琶洲人工智能与数字经济试验区健康发展的促进措施》（海科工商信规字〔2022〕7号）自本措施施行之日起废止。本措施有效期届满或制订本措施所依据的相关法律、法规、规章、政策文件发生变化调整的，应根据实际情况依法对本措施予以评估修订。因不可抗力、上级政府或部门行为或者相关法律、法规、规章、政策出台导致本措施无法执行时，本措施相关条款停止执行。因上级法律、法规、规章及政策调整导致本措施不符合上级规定的，适用上级规定，本措施相应条款不再执行。本措施由琶洲管委会、区科工商信局负责解释。</w:t>
      </w:r>
    </w:p>
    <w:p w14:paraId="4E0E3DAA">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2AFCB093">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广州琶洲人工智能与数字经济试验区管理委员会综合科 2024年10月23日印发</w:t>
      </w:r>
    </w:p>
    <w:p w14:paraId="4525B6CD">
      <w:pPr>
        <w:spacing w:after="150"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英文版：</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"https://cms.gz.gov.cn/gzzcwjk/storage/material/2024/11/04/3283dec8de7dd0a575408db5f23669ca.docx"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Notice of Management Committee of Guangzhou Pazhou Artificial Intelligence and Digital Economy Pilot Zone and Haizhu District Bureau of Science, Technology, Industry, Commerce and Information Technology on Issuing Measures of Haizhu District in Guangzhou for Promoting Healthy Development of Game Industry in Pazhou Artificial Intelligence and Digital Economy Pilot Zone.docx</w:t>
      </w:r>
      <w:r>
        <w:rPr>
          <w:rFonts w:hint="eastAsia" w:ascii="Times New Roman" w:hAnsi="Times New Roman" w:eastAsia="方正仿宋简体" w:cs="Times New Roman"/>
          <w:color w:val="000000"/>
          <w:kern w:val="0"/>
          <w:sz w:val="32"/>
          <w:szCs w:val="32"/>
          <w:u w:val="single"/>
        </w:rPr>
        <w:fldChar w:fldCharType="end"/>
      </w:r>
    </w:p>
    <w:p w14:paraId="1A78029D">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广州市工业和信息化局关于印发《广州市关于加快生物制造产业高质量发展的工作方案》的通知</w:t>
      </w:r>
    </w:p>
    <w:p w14:paraId="1E17A69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各区人民政府，市直属各单位：</w:t>
      </w:r>
    </w:p>
    <w:p w14:paraId="61780E2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《广州市关于加快生物制造产业高质量发展的工作方案》已经市人民政府同意，现予以印发，请遵照执行。</w:t>
      </w:r>
    </w:p>
    <w:p w14:paraId="37CBB5D8">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广州市工业和信息化局</w:t>
      </w:r>
    </w:p>
    <w:p w14:paraId="5C181332">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2024年10月28日</w:t>
      </w:r>
    </w:p>
    <w:p w14:paraId="01E3DD95">
      <w:pPr>
        <w:widowControl/>
        <w:spacing w:line="480" w:lineRule="auto"/>
        <w:jc w:val="right"/>
        <w:rPr>
          <w:rFonts w:hint="eastAsia" w:ascii="Times New Roman" w:hAnsi="Times New Roman" w:eastAsia="方正仿宋简体" w:cs="宋体"/>
          <w:color w:val="000000"/>
          <w:kern w:val="0"/>
          <w:sz w:val="32"/>
          <w:szCs w:val="32"/>
        </w:rPr>
      </w:pPr>
    </w:p>
    <w:p w14:paraId="52ACB1E0">
      <w:pPr>
        <w:widowControl/>
        <w:spacing w:line="480" w:lineRule="auto"/>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广州市关于加快生物制造产业高质量发展的工作方案</w:t>
      </w:r>
    </w:p>
    <w:p w14:paraId="52927E3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落实党中央、国务院积极打造生物制造新增长引擎决策部署，积极落实省委省政府“制造业当家”和市委市政府“坚持产业第一、制造业立市”工作要求，加快我市生物制造产业发展，开辟新领域新赛道，抢占生物经济未来战略制高点，特制定本工作方案。</w:t>
      </w:r>
    </w:p>
    <w:p w14:paraId="49149E0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一、工作目标</w:t>
      </w:r>
    </w:p>
    <w:p w14:paraId="09AFE6F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突出生物制造产业高质量发展主题，以合成生物、人工智能为主要特色开辟产业新领域新赛道，着力构建生物制造产业体系，打造具有全国竞争力和影响力的生物制造产业创新高地和高端制造基地。到2027年，生物制造产业发展初具规模，产业生态基本形成，初步形成具有全国竞争力的生物制造产业集群；建设全国规模最大的菌种库、元件库；培育10家以上在国内外具有一定影响力的创新引领型企业；建设2个左右具有特色和国内领先优势的产业基地。</w:t>
      </w:r>
    </w:p>
    <w:p w14:paraId="21EAF9F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二、重点领域</w:t>
      </w:r>
    </w:p>
    <w:p w14:paraId="318929C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结合我市产业基础和要素禀赋，重点发展以下领域：</w:t>
      </w:r>
    </w:p>
    <w:p w14:paraId="0272BFA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（一）生物医药。</w:t>
      </w:r>
      <w:r>
        <w:rPr>
          <w:rFonts w:hint="eastAsia" w:ascii="Times New Roman" w:hAnsi="Times New Roman" w:eastAsia="方正仿宋简体" w:cs="宋体"/>
          <w:color w:val="000000"/>
          <w:kern w:val="0"/>
          <w:sz w:val="32"/>
          <w:szCs w:val="32"/>
        </w:rPr>
        <w:t>围绕基因编辑、生物信息学等关键领域，以合成生物学、人工智能等颠覆性技术赋能传统医药产业，开展基础研究布局、核心技术攻关、关键设备耗材自主研发，支持前沿创新企业发展，重点推进抗体药物、疫苗药物、核酸药物、细胞与基因治疗、重组蛋白与多肽产业化进程，着力推进生物创新药、生物类似药、生物基原料药等规模化发展。（牵头单位：市工业和信息化局、发展改革委）</w:t>
      </w:r>
    </w:p>
    <w:p w14:paraId="12DDC3D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（二）生物材料。</w:t>
      </w:r>
      <w:r>
        <w:rPr>
          <w:rFonts w:hint="eastAsia" w:ascii="Times New Roman" w:hAnsi="Times New Roman" w:eastAsia="方正仿宋简体" w:cs="宋体"/>
          <w:color w:val="000000"/>
          <w:kern w:val="0"/>
          <w:sz w:val="32"/>
          <w:szCs w:val="32"/>
        </w:rPr>
        <w:t>鼓励通过设计微生物和酶法高效合成路线，建立生物基化学品的绿色生物制造新工艺。重点推进可降解塑料、电子材料、功能材料等生物材料的产品迭代，着力推进日用化学品、助剂、表面活性剂等精细化学品的生物法替代。（牵头单位：市工业和信息化局、发展改革委）</w:t>
      </w:r>
    </w:p>
    <w:p w14:paraId="036A0EB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（三）生物食品。</w:t>
      </w:r>
      <w:r>
        <w:rPr>
          <w:rFonts w:hint="eastAsia" w:ascii="Times New Roman" w:hAnsi="Times New Roman" w:eastAsia="方正仿宋简体" w:cs="宋体"/>
          <w:color w:val="000000"/>
          <w:kern w:val="0"/>
          <w:sz w:val="32"/>
          <w:szCs w:val="32"/>
        </w:rPr>
        <w:t>利用可再生原料，通过微生物细胞工厂合成食物原料和组分。重点开发功能油脂、婴幼儿配方食品用乳蛋白、植物蛋白、微生物蛋白、乳清蛋白、益生菌、香精香料、生物活性肽等高端食品配料，大力发展运动饮料、能量饮料、植物饮料、含乳饮料、保健啤酒、保健果酒等功能饮料，开展微生物蛋白、人造肉等技术的源头创新和科技攻关，加大营养保健等功能性成分在猫犬宠物食品产品中的应用。（牵头单位：市工业和信息化局）</w:t>
      </w:r>
    </w:p>
    <w:p w14:paraId="03C75E5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（四）生物健康。</w:t>
      </w:r>
      <w:r>
        <w:rPr>
          <w:rFonts w:hint="eastAsia" w:ascii="Times New Roman" w:hAnsi="Times New Roman" w:eastAsia="方正仿宋简体" w:cs="宋体"/>
          <w:color w:val="000000"/>
          <w:kern w:val="0"/>
          <w:sz w:val="32"/>
          <w:szCs w:val="32"/>
        </w:rPr>
        <w:t>开发微生物和酶法高效合成路线，推动高端化妆品原料、再生医学产品、保健品等产业化和应用推广。（牵头单位：市工业和信息化局）</w:t>
      </w:r>
    </w:p>
    <w:p w14:paraId="6BD3372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（五）生物农业。</w:t>
      </w:r>
      <w:r>
        <w:rPr>
          <w:rFonts w:hint="eastAsia" w:ascii="Times New Roman" w:hAnsi="Times New Roman" w:eastAsia="方正仿宋简体" w:cs="宋体"/>
          <w:color w:val="000000"/>
          <w:kern w:val="0"/>
          <w:sz w:val="32"/>
          <w:szCs w:val="32"/>
        </w:rPr>
        <w:t>围绕生物育种、生物饲料、生物肥料、生物兽药及疫苗、微生物农药等领域，推动绿色农业产品研发与产业化。（牵头单位：市农业农村局）</w:t>
      </w:r>
    </w:p>
    <w:p w14:paraId="2EE53AA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三、主要任务</w:t>
      </w:r>
    </w:p>
    <w:p w14:paraId="03B9519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（一）组建生物制造（合成生物学）创新中心。</w:t>
      </w:r>
      <w:r>
        <w:rPr>
          <w:rFonts w:hint="eastAsia" w:ascii="Times New Roman" w:hAnsi="Times New Roman" w:eastAsia="方正仿宋简体" w:cs="宋体"/>
          <w:color w:val="000000"/>
          <w:kern w:val="0"/>
          <w:sz w:val="32"/>
          <w:szCs w:val="32"/>
        </w:rPr>
        <w:t>对标国家级、省级制造业创新中心建设标准，以产业落地为导向，整合高校、科研院所、新型研发机构、龙头企业等优势资源，组建广州市生物制造创新中心，实现高端智库、项目孵化、技术输出等核心功能。积极向上争取国家级创新平台和试点示范。依托广州市合成生物学领域科研资源、国际化的合作网络和完备的工业体系，建设合成生物学领域全球领先的开放合作体系、工程转化体系和产业发展体系，搭建菌种库、元件库等合成生物产业基础设施，形成创新链、产业链和人才链相融合的合成生物学创新生态，开展合成生物领域人才网络搭建、技术合作、概念验证、科技成果转化等工作。（牵头单位：市工业和信息化局、科技局、发展改革委）</w:t>
      </w:r>
    </w:p>
    <w:p w14:paraId="2595F89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（二）布局生物制造中试平台体系。</w:t>
      </w:r>
      <w:r>
        <w:rPr>
          <w:rFonts w:hint="eastAsia" w:ascii="Times New Roman" w:hAnsi="Times New Roman" w:eastAsia="方正仿宋简体" w:cs="宋体"/>
          <w:color w:val="000000"/>
          <w:kern w:val="0"/>
          <w:sz w:val="32"/>
          <w:szCs w:val="32"/>
        </w:rPr>
        <w:t>贯彻工业和信息化部、国家发展改革委印发的《制造业中试创新发展实施意见》，发挥科研优势单位与企业创新主体作用，搭建生物医药、生物材料、生物食品、生物健康、生物农业等领域中试平台和成果转化平台，推动认定一批生物制造领域概念验证中心，打造一批示范应用场景，加速科技成果向现实生产力的转化。（牵头单位：市工业和信息化局、发展改革委，配合单位：市科技局、农业农村局）</w:t>
      </w:r>
    </w:p>
    <w:p w14:paraId="6162FD1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（三）夯实产业基础设施。</w:t>
      </w:r>
      <w:r>
        <w:rPr>
          <w:rFonts w:hint="eastAsia" w:ascii="Times New Roman" w:hAnsi="Times New Roman" w:eastAsia="方正仿宋简体" w:cs="宋体"/>
          <w:color w:val="000000"/>
          <w:kern w:val="0"/>
          <w:sz w:val="32"/>
          <w:szCs w:val="32"/>
        </w:rPr>
        <w:t>建设国内规模最大的菌种库、元件库。开展高效酶制剂和底盘细胞攻关。推动农产品加工用酶、食品酶、医药酶、工业洗涤酶等酶制剂的创制，鼓励支持应用合成生物学和AI技术开展天然酶的催化机制研究、催化活性改造及新功能酶的设计等。鼓励支持底盘细胞及核心功能元件的设计构建，提高非模式工业微生物菌株、新型无细胞蛋白质合成系统、特定功能微生物组的人工设计和优化能力。（牵头单位：市科技局，配合单位：市发展改革委、工业和信息化局、农业农村局）</w:t>
      </w:r>
    </w:p>
    <w:p w14:paraId="4501EBF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（四）加强产业载体建设。</w:t>
      </w:r>
      <w:r>
        <w:rPr>
          <w:rFonts w:hint="eastAsia" w:ascii="Times New Roman" w:hAnsi="Times New Roman" w:eastAsia="方正仿宋简体" w:cs="宋体"/>
          <w:color w:val="000000"/>
          <w:kern w:val="0"/>
          <w:sz w:val="32"/>
          <w:szCs w:val="32"/>
        </w:rPr>
        <w:t>鼓励、支持有条件的区结合资源禀赋、产业基础等条件，建设生物制造、合成生物产业园，推动优质资源要素向优势区域、高能级平台集聚。支持黄埔区依托国际生物岛、广州科学城、中新广州知识城等核心承载体，打造广州生物制造创新引领核心区，规划建设1个生物制造产业园区，重点布局生物医药、高端化妆品、医美、生物农业、生物食品、生物能源、生物基材料、生物环保等领域。支持南沙区依托南沙科学城、生物谷、健康谷、珠江创新谷等载体，重点布局生物医药、生物食品、生物健康、生物农业等领域。（牵头单位：市工业和信息化局、发展改革委；配合单位：市规划和自然资源局）</w:t>
      </w:r>
    </w:p>
    <w:p w14:paraId="5EA718D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（五）谋划重点产业项目。</w:t>
      </w:r>
      <w:r>
        <w:rPr>
          <w:rFonts w:hint="eastAsia" w:ascii="Times New Roman" w:hAnsi="Times New Roman" w:eastAsia="方正仿宋简体" w:cs="宋体"/>
          <w:color w:val="000000"/>
          <w:kern w:val="0"/>
          <w:sz w:val="32"/>
          <w:szCs w:val="32"/>
        </w:rPr>
        <w:t>围绕生物制造和合成生物关键技术领域，在生物医药、生物食品、生物健康、生物材料、生物农业等领域谋划建设一批重点产业项目。对于生物医药等项目，推动“研发+制造+应用”全产业链布局；对于大宗化学品、生物能源等项目，引育企业研发中心、运营总部、结算中心和上市主体。培育一批专注于细分市场、创新能力强、市场占有率高、掌握关键核心技术、质量效益优的高新技术企业、“独角兽”企业、“瞪羚”企业、“专精特新”企业和制造业“单项冠军”企业。（牵头单位：市工业和信息化局、发展改革委、科技局；配合单位：市市场监管局）</w:t>
      </w:r>
    </w:p>
    <w:p w14:paraId="1451E509">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（六）营造良好产业生态。</w:t>
      </w:r>
      <w:r>
        <w:rPr>
          <w:rFonts w:hint="eastAsia" w:ascii="Times New Roman" w:hAnsi="Times New Roman" w:eastAsia="方正仿宋简体" w:cs="宋体"/>
          <w:color w:val="000000"/>
          <w:kern w:val="0"/>
          <w:sz w:val="32"/>
          <w:szCs w:val="32"/>
        </w:rPr>
        <w:t>深化开放交流协作，吸引境外知名高校、科研机构在我市开展产学研合作，促进国际先进技术成果转移，提升企业国际化发展模式。积极开展产业对接活动，推动先进生物技术赋能医药、食品、健康、材料、农业等产业。支持社会组织通过会议、论坛、展览、刊印等形式整合资源为生物制造、合成生物优质产品开展宣传推广和需求对接等服务，提升我市生物制造企业、产品的影响力。（牵头单位：市科技局、工业和信息化局、发展改革委；配合单位：市市场监管局、商务局、市农业农村局）</w:t>
      </w:r>
    </w:p>
    <w:p w14:paraId="7EC075F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四、保障措施</w:t>
      </w:r>
    </w:p>
    <w:p w14:paraId="357E265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（一）强化组织领导。</w:t>
      </w:r>
      <w:r>
        <w:rPr>
          <w:rFonts w:hint="eastAsia" w:ascii="Times New Roman" w:hAnsi="Times New Roman" w:eastAsia="方正仿宋简体" w:cs="宋体"/>
          <w:color w:val="000000"/>
          <w:kern w:val="0"/>
          <w:sz w:val="32"/>
          <w:szCs w:val="32"/>
        </w:rPr>
        <w:t>聚焦目标任务，高位统筹谋划生物制造产业，建立市级生物制造产业发展协调机制，加强市、区联动和部门协同，优化资源配置，协调解决生物制造产业发展重大问题，探索制定适合生物制造产业发展的专项扶持政策。（牵头单位：市工业和信息化局、发展改革委）</w:t>
      </w:r>
    </w:p>
    <w:p w14:paraId="2CB4AFFA">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（二）加强财政金融支持。</w:t>
      </w:r>
      <w:r>
        <w:rPr>
          <w:rFonts w:hint="eastAsia" w:ascii="Times New Roman" w:hAnsi="Times New Roman" w:eastAsia="方正仿宋简体" w:cs="宋体"/>
          <w:color w:val="000000"/>
          <w:kern w:val="0"/>
          <w:sz w:val="32"/>
          <w:szCs w:val="32"/>
        </w:rPr>
        <w:t>加大市级相关专项资金支持力度，重点支持技术改造、技术创新、中试平台、概念验证和产品推广应用。引导市工业发展基金、市属国企产业投资平台和社会资本加大生物制造、合成生物产业投资，推动具有核心竞争力的企业上市。（牵头单位：市工业和信息化局、发展改革委、科技局；配合单位：市委金融办、市财政局、国资委）</w:t>
      </w:r>
    </w:p>
    <w:p w14:paraId="1C3079D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（三）加强产业用地保障。</w:t>
      </w:r>
      <w:r>
        <w:rPr>
          <w:rFonts w:hint="eastAsia" w:ascii="Times New Roman" w:hAnsi="Times New Roman" w:eastAsia="方正仿宋简体" w:cs="宋体"/>
          <w:color w:val="000000"/>
          <w:kern w:val="0"/>
          <w:sz w:val="32"/>
          <w:szCs w:val="32"/>
        </w:rPr>
        <w:t>市、区两级联动在合适地块规划建设生物制造、合成生物特色产业园、特色标杆工业园，建立重点企业用地需求清单，优先保障产业集群重点项目用地指标。（牵头单位：市工业和信息化局、发展改革委，各区政府；配合单位：市规划和自然资源局）</w:t>
      </w:r>
    </w:p>
    <w:p w14:paraId="2DC68B5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（四）加强产业人才保障。</w:t>
      </w:r>
      <w:r>
        <w:rPr>
          <w:rFonts w:hint="eastAsia" w:ascii="Times New Roman" w:hAnsi="Times New Roman" w:eastAsia="方正仿宋简体" w:cs="宋体"/>
          <w:color w:val="000000"/>
          <w:kern w:val="0"/>
          <w:sz w:val="32"/>
          <w:szCs w:val="32"/>
        </w:rPr>
        <w:t>加大外籍“高精尖缺”人才引进力度，支持用人单位用足用好外籍“高精尖缺”人才认定标准试点政策。组织一批重大项目，遴选和支持一批领军科技人才和急需紧缺人才。（牵头单位：市科技局，配合单位：市委组织部，市人力资源社会保障局、财政局、国资委、工业和信息化局）组建生物制造专家委员会，为生物制造产业发展提供决策参考和智力支持。（牵头单位：市工业和信息化局、发展改革委、科技局，配合单位：市委组织部，市人力资源社会保障局）</w:t>
      </w:r>
    </w:p>
    <w:p w14:paraId="12BDB479">
      <w:pPr>
        <w:spacing w:after="150" w:line="420" w:lineRule="atLeast"/>
        <w:jc w:val="left"/>
        <w:rPr>
          <w:rFonts w:ascii="Times New Roman" w:hAnsi="Times New Roman" w:eastAsia="方正仿宋简体" w:cs="Times New Roman"/>
          <w:color w:val="000000"/>
          <w:kern w:val="0"/>
          <w:sz w:val="32"/>
          <w:szCs w:val="32"/>
        </w:rPr>
      </w:pPr>
    </w:p>
    <w:p w14:paraId="50CD152E">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广州市南沙区农业农村局印发关于支持南沙区丝苗米产业园发展的若干措施（修订）的通知</w:t>
      </w:r>
    </w:p>
    <w:p w14:paraId="3400B141">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各相关单位：</w:t>
      </w:r>
    </w:p>
    <w:p w14:paraId="5CD8EEE6">
      <w:pPr>
        <w:widowControl/>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《关于支持南沙区丝苗米产业园发展的若干措施（修订）》已按相关程序审批同意，现印发给你们，请认真组织实施。实施过程中遇到问题，请径向区农业农村局反映。</w:t>
      </w:r>
    </w:p>
    <w:p w14:paraId="114DC2A9">
      <w:pPr>
        <w:widowControl/>
        <w:spacing w:line="420" w:lineRule="atLeast"/>
        <w:ind w:firstLine="3845"/>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广州市南沙区农业农村局</w:t>
      </w:r>
    </w:p>
    <w:p w14:paraId="43B4C8EE">
      <w:pPr>
        <w:widowControl/>
        <w:spacing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2024年10月29日</w:t>
      </w:r>
    </w:p>
    <w:p w14:paraId="3FA11EF2">
      <w:pPr>
        <w:widowControl/>
        <w:spacing w:line="420" w:lineRule="atLeast"/>
        <w:jc w:val="left"/>
        <w:rPr>
          <w:rFonts w:hint="eastAsia" w:ascii="Times New Roman" w:hAnsi="Times New Roman" w:eastAsia="方正仿宋简体" w:cs="宋体"/>
          <w:color w:val="000000"/>
          <w:kern w:val="0"/>
          <w:sz w:val="32"/>
          <w:szCs w:val="32"/>
        </w:rPr>
      </w:pPr>
    </w:p>
    <w:p w14:paraId="4E6F1F75">
      <w:pPr>
        <w:widowControl/>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关于支持南沙区丝苗米产业园发展的若干措施（修订）</w:t>
      </w:r>
    </w:p>
    <w:p w14:paraId="10298DD4">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为推进南沙区丝苗米产业园建设，打造丝苗米种业、示范种植、粮食进出口加工基地，提升南沙区粮食产量，保障粮食安全，根据《广东省现代农业产业园财政资金管理办法（修订）》（粤农农规〔2023〕6号）《广州市现代农业产业园财政补助资金管理办法（修订）》（穗农规字〔2023〕3号）等文件要求，贯彻落实《南沙区现代农业产业园财政补助资金管理规定》（穗南农规字〔2023〕1号），结合南沙区丝苗米产业园建设实际情况，按照区财政补助资金总额不超过5000万元的标准，完成产业园建设，制定本措施。</w:t>
      </w:r>
    </w:p>
    <w:p w14:paraId="3281AA38">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第一条 【总则】</w:t>
      </w:r>
    </w:p>
    <w:p w14:paraId="282B1DB5">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（一）适用范围:在南沙区从事丝苗米农业生产经营服务相关的企业（组织）等实施主体。</w:t>
      </w:r>
    </w:p>
    <w:p w14:paraId="5146D7CA">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二）建设农业生产或经营项目的实施主体，要在南沙区内拥有土地租赁合同剩余年限不低于3年（自产业园批准创建之日起计，下同）或具有土地实际使用管理权的农业用地（含政府部门委托管理）。实施主体涉及项目建设需要使用建设用地的，要求是自有建设用地，或是具有租赁期限不少于3年并经过公证机构公证的与计划建设项目相匹配的建设用地。</w:t>
      </w:r>
    </w:p>
    <w:p w14:paraId="7FD1F8D6">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（三）退出机制。实施主体因自身原因，可申请退出产业园建设，也可申请取消本单位实施的项目。实施主体存在以下情形的，不得继续承担实施产业园建设项目：</w:t>
      </w:r>
    </w:p>
    <w:p w14:paraId="206D1FFD">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1.以虚报、冒领、关联交易等手段骗取财政资金的；</w:t>
      </w:r>
    </w:p>
    <w:p w14:paraId="7912FEE9">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2.实施主体不具备参与产业园建设或实施项目条件的（如不具备项目实施的土地条件等）；</w:t>
      </w:r>
    </w:p>
    <w:p w14:paraId="6BD8D97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3.项目建成未投产运营且运营主体主动灭失（如注销营业执照等），或将财政资金形成的实物资产变卖套现的；</w:t>
      </w:r>
    </w:p>
    <w:p w14:paraId="3A234632">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4.存在其他违法违规行为的。</w:t>
      </w:r>
    </w:p>
    <w:p w14:paraId="7DE35642">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（四）投资比例：产业园财政补助资金不超过5000万元，撬动社会资本投入不低于1亿元，产业园建设资金合计不少于1.5亿元。</w:t>
      </w:r>
    </w:p>
    <w:p w14:paraId="49BA194A">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（五）财政资金扶持方式：财政补助资金可采取补贴、贷款贴息、直接补助、先建后补等方式使用。采取“先建后补”方式扶持的农业项目，原则上按项目总投资的45%给予补助。项目总投资计算方式如下：</w:t>
      </w:r>
    </w:p>
    <w:p w14:paraId="3F493097">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1.当项目总投资金额（经造价评估或财务审核之后，下同）大于或等于项目批复投资金额时，按批复投资金额计算补助。</w:t>
      </w:r>
    </w:p>
    <w:p w14:paraId="7C4E0EDF">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2.当项目总投资金额小于项目批复投资金额，但达到批复总投资的2/3以上时，按照“实际投资金额/批复投资金额×批复补助金额”给予补助。</w:t>
      </w:r>
    </w:p>
    <w:p w14:paraId="54D86A38">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3.当项目总投资金额小于批复投资金额的2/3时，取消补助资格。</w:t>
      </w:r>
    </w:p>
    <w:p w14:paraId="655793FA">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（六）由区农业农村主管部门、镇（街）或国有企事业单位等组织实施的公共基础设施建设、区域公用品牌创建、公共信息化平台、公共服务平台、公益性科研等公益性项目，可给予全额资金补助。</w:t>
      </w:r>
    </w:p>
    <w:p w14:paraId="5F93BDDB">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第二条【支持土地流转】</w:t>
      </w:r>
    </w:p>
    <w:p w14:paraId="0B211EC3">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产业园实施主体（流入方）通过流转农户承包经营权的土地、流转面积100亩以上的，按</w:t>
      </w:r>
      <w:r>
        <w:rPr>
          <w:rFonts w:hint="eastAsia" w:ascii="Times New Roman" w:hAnsi="Times New Roman" w:eastAsia="方正仿宋简体" w:cs="宋体"/>
          <w:color w:val="000000"/>
          <w:kern w:val="0"/>
          <w:sz w:val="32"/>
          <w:szCs w:val="32"/>
          <w:shd w:val="clear" w:color="auto" w:fill="FFFFFF"/>
        </w:rPr>
        <w:t>一次性500</w:t>
      </w:r>
      <w:r>
        <w:rPr>
          <w:rFonts w:hint="eastAsia" w:ascii="Times New Roman" w:hAnsi="Times New Roman" w:eastAsia="方正仿宋简体" w:cs="宋体"/>
          <w:color w:val="000000"/>
          <w:kern w:val="0"/>
          <w:sz w:val="32"/>
          <w:szCs w:val="32"/>
        </w:rPr>
        <w:t>元/亩</w:t>
      </w:r>
      <w:r>
        <w:rPr>
          <w:rFonts w:hint="eastAsia" w:ascii="Times New Roman" w:hAnsi="Times New Roman" w:eastAsia="方正仿宋简体" w:cs="宋体"/>
          <w:color w:val="000000"/>
          <w:kern w:val="0"/>
          <w:sz w:val="32"/>
          <w:szCs w:val="32"/>
          <w:shd w:val="clear" w:color="auto" w:fill="FFFFFF"/>
        </w:rPr>
        <w:t>进行补助</w:t>
      </w:r>
      <w:r>
        <w:rPr>
          <w:rFonts w:hint="eastAsia" w:ascii="Times New Roman" w:hAnsi="Times New Roman" w:eastAsia="方正仿宋简体" w:cs="宋体"/>
          <w:color w:val="000000"/>
          <w:kern w:val="0"/>
          <w:sz w:val="32"/>
          <w:szCs w:val="32"/>
        </w:rPr>
        <w:t>。且应符合以下条件：</w:t>
      </w:r>
    </w:p>
    <w:p w14:paraId="77A1E975">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1.申请者应是土地实际使用方；</w:t>
      </w:r>
    </w:p>
    <w:p w14:paraId="0FD5E27E">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2.租金每亩每年2000元以上；</w:t>
      </w:r>
    </w:p>
    <w:p w14:paraId="484994F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3.单个合同土地面积达到100亩以上；或因扩大经营而新增流转土地，总面积达到100亩以上。</w:t>
      </w:r>
    </w:p>
    <w:p w14:paraId="6C5D55DF">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第三条【支持基础设施建设】</w:t>
      </w:r>
    </w:p>
    <w:p w14:paraId="7CF090FD">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对产业园范围内的园区道路建设、土地平整、防洪排涝、供水、供电、环境卫生以及其它生产配套设施建设等按项目总投资的45%给予补助。相关项目要符合用地性质，达到行业规范要求。</w:t>
      </w:r>
    </w:p>
    <w:p w14:paraId="050BCF9D">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第四条【支持产业融合】</w:t>
      </w:r>
    </w:p>
    <w:p w14:paraId="70A03F0D">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对产业园农产品生产加工设备设施、机械化烘干、产品储藏、配送流通设施的新建或升级改造，新产业新业态（观光休闲农业、农产品电商等）设施配套等产业融合项目，按项目总投资的45%给予补助。</w:t>
      </w:r>
    </w:p>
    <w:p w14:paraId="5685368C">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第五条【支持科技研发与信息化项目建设】</w:t>
      </w:r>
    </w:p>
    <w:p w14:paraId="5B6E31FD">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对产业园信息化建设、技术研发和成果转化、专家团队服务、检验检测设施设备等方面的项目，按项目总投资的45%给予扶持；对于国有企事业单位承担的信息化公共平台、公益性科研等项目可实行全额补助。</w:t>
      </w:r>
    </w:p>
    <w:p w14:paraId="3A91E5D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政府投资的信息化项目，要按照《广州市南沙（开发）区财政投资信息化项目管理办法》执行。项目总投资超过100万元（含）的，区农业农村主管部门组织第三方评审单位审核投资合理性；项目直接建设费用50万（含）以上的建设类项目建设单位应聘请项目监理；项目竣工试运行3个月后再进行验收。</w:t>
      </w:r>
    </w:p>
    <w:p w14:paraId="344B97C2">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第六条【支持农业品牌建设】</w:t>
      </w:r>
    </w:p>
    <w:p w14:paraId="3115EDC5">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对产业园主导产业品牌宣传、打造特色地方区域公用品牌和开展两品一标认证（含有机转换期），包括农业品牌及知识产权的创建设计、注册、宣传推广以及组织相关宣传活动等公益性项目，可实行全额补助。</w:t>
      </w:r>
    </w:p>
    <w:p w14:paraId="58EBE69B">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第七条【支持金融服务保障】</w:t>
      </w:r>
    </w:p>
    <w:p w14:paraId="3424D1A4">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实施主体用于主导产业相关的生产经营活动的单笔贷款规模在100万元以上的贷款，可按贷款市场报价利率（LPR）进行贴息补助（实际利率低于LPR的按实际执行利率补贴），产业园每个实施主体每年贴息补助金额不超过该实施主体在产业园项目贷款利息总额的50%，最高不超过100万元。贴息时间限定在产业园创建期间（产业园公布入选之日到2024年12月31日止）。</w:t>
      </w:r>
    </w:p>
    <w:p w14:paraId="552CE4B4">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第八条 </w:t>
      </w:r>
      <w:r>
        <w:rPr>
          <w:rFonts w:hint="eastAsia" w:ascii="Times New Roman" w:hAnsi="Times New Roman" w:eastAsia="方正仿宋简体" w:cs="宋体"/>
          <w:color w:val="000000"/>
          <w:kern w:val="0"/>
          <w:sz w:val="32"/>
          <w:szCs w:val="32"/>
        </w:rPr>
        <w:t>符合本措施规定的同一项目、同一事项同时符合其它扶持政策规定(含上级部门要求区配套或承担资金的政策规定)的，按照就高不重复的原则予以支持，另有规定的除外。如遇上级有关政策调整，应提请区现代农业产业园创建工作领导小组批准调整后实施。</w:t>
      </w:r>
    </w:p>
    <w:p w14:paraId="03548946">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第九条 </w:t>
      </w:r>
      <w:r>
        <w:rPr>
          <w:rFonts w:hint="eastAsia" w:ascii="Times New Roman" w:hAnsi="Times New Roman" w:eastAsia="方正仿宋简体" w:cs="宋体"/>
          <w:color w:val="000000"/>
          <w:kern w:val="0"/>
          <w:sz w:val="32"/>
          <w:szCs w:val="32"/>
        </w:rPr>
        <w:t>财政补助资金不得用于建设楼堂馆所、牌坊门楼、亭台楼阁、停车场、路灯、市政道路；不得用于企业经营性开支（包括日常成本费用，含农资、非农产品的生产原料等开支、职工薪酬及社会保险费用、临时人员劳务费用、非正常成本费用开支）和企业债务等一般性支出；不得用于规划编制、科研报告、项目验收、监督检查、内部审计、绩效管理、咨询服务、业务培训等管理费用支出。不得支付中介机构代理服务等费用，以及其他与创建农业产业园无关的支出。</w:t>
      </w:r>
    </w:p>
    <w:p w14:paraId="30102367">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第十条 </w:t>
      </w:r>
      <w:r>
        <w:rPr>
          <w:rFonts w:hint="eastAsia" w:ascii="Times New Roman" w:hAnsi="Times New Roman" w:eastAsia="方正仿宋简体" w:cs="宋体"/>
          <w:color w:val="000000"/>
          <w:kern w:val="0"/>
          <w:sz w:val="32"/>
          <w:szCs w:val="32"/>
        </w:rPr>
        <w:t>为撬动社会资本由企业全自筹纳入产业园的投资项目，不受本措施限制。</w:t>
      </w:r>
    </w:p>
    <w:p w14:paraId="3C3FFF64">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第十一条 </w:t>
      </w:r>
      <w:r>
        <w:rPr>
          <w:rFonts w:hint="eastAsia" w:ascii="Times New Roman" w:hAnsi="Times New Roman" w:eastAsia="方正仿宋简体" w:cs="宋体"/>
          <w:color w:val="000000"/>
          <w:kern w:val="0"/>
          <w:sz w:val="32"/>
          <w:szCs w:val="32"/>
        </w:rPr>
        <w:t>关于市内跨区迁移企业，按照广州市有关规定执行。如涉及预算划转的上解资金，应在政策兑现时予以扣减。</w:t>
      </w:r>
    </w:p>
    <w:p w14:paraId="72EB9F4A">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第十二条 </w:t>
      </w:r>
      <w:r>
        <w:rPr>
          <w:rFonts w:hint="eastAsia" w:ascii="Times New Roman" w:hAnsi="Times New Roman" w:eastAsia="方正仿宋简体" w:cs="宋体"/>
          <w:color w:val="000000"/>
          <w:kern w:val="0"/>
          <w:sz w:val="32"/>
          <w:szCs w:val="32"/>
        </w:rPr>
        <w:t>各实施主体要制定项目实施方案，按建设计划完成项目建设任务和有关绩效目标；切实加强财务管理；配合责任主体做好信息报送、项目验收、绩效自评、监督检查等工作。</w:t>
      </w:r>
    </w:p>
    <w:p w14:paraId="2834896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第十三条 </w:t>
      </w:r>
      <w:r>
        <w:rPr>
          <w:rFonts w:hint="eastAsia" w:ascii="Times New Roman" w:hAnsi="Times New Roman" w:eastAsia="方正仿宋简体" w:cs="宋体"/>
          <w:color w:val="000000"/>
          <w:kern w:val="0"/>
          <w:sz w:val="32"/>
          <w:szCs w:val="32"/>
        </w:rPr>
        <w:t>监督检查制度。</w:t>
      </w:r>
    </w:p>
    <w:p w14:paraId="7B559CCA">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（一）实施主体申请使用补助资金的项目，要按照“一个项目，一个台账”的要求建立健全项目建设台账，以备检查。</w:t>
      </w:r>
    </w:p>
    <w:p w14:paraId="476CD269">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（二）各实施主体要实行资金使用专账管理，并于每季度末将资金使用进度情况报牵头实施主体汇总，牵头实施主体于新季度开始5个工作日内向区现代农业产业园创建工作领导小组办公室报告。</w:t>
      </w:r>
    </w:p>
    <w:p w14:paraId="2AC1BD3C">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（三）区农业农村主管部门会同区财政主管部门对年度补助资金使用情况进行专项检查，原则上每半年进行一次实地核查，并将核查结果报送区现代农业产业园创建工作领导小组。</w:t>
      </w:r>
    </w:p>
    <w:p w14:paraId="7318BA7E">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四）项目预算执行过程中，区农业农村主管部门和区财政主管部门应指导资金使用单位对项目实施进度、资金支出进度、资金绩效目标实现程度等情况进行阶段性跟踪管理和监督检查，及时调整、合理把控项目实施进度，确保项目规范实施，达到预期绩效。</w:t>
      </w:r>
    </w:p>
    <w:p w14:paraId="2137388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（五）区农业农村主管部门组织专家对产业园项目实施、资金使用、落实建设用地、撬动社会资本投入、联农带农等方面执行情况，定期或不定期开展评估，督促实施主体严格、规范管理。</w:t>
      </w:r>
    </w:p>
    <w:p w14:paraId="4ED0DD20">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第十四条 </w:t>
      </w:r>
      <w:r>
        <w:rPr>
          <w:rFonts w:hint="eastAsia" w:ascii="Times New Roman" w:hAnsi="Times New Roman" w:eastAsia="方正仿宋简体" w:cs="宋体"/>
          <w:color w:val="000000"/>
          <w:kern w:val="0"/>
          <w:sz w:val="32"/>
          <w:szCs w:val="32"/>
        </w:rPr>
        <w:t>对批复立项满半年仍未开工的项目（含子项目），以及批复立项两年后仍未完工的，由区现代农业产业园创建工作领导小组办公室负责督促项目实施主体抓紧开工或完工，经书面督促，项目仍无进展的（10个自然日内资金支出无新增），报区现代农业产业园创建工作领导小组批准，取消该项目立项，不给予财政资金补助。</w:t>
      </w:r>
    </w:p>
    <w:p w14:paraId="3BAB11E9">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第十五条 </w:t>
      </w:r>
      <w:r>
        <w:rPr>
          <w:rFonts w:hint="eastAsia" w:ascii="Times New Roman" w:hAnsi="Times New Roman" w:eastAsia="方正仿宋简体" w:cs="宋体"/>
          <w:color w:val="000000"/>
          <w:kern w:val="0"/>
          <w:sz w:val="32"/>
          <w:szCs w:val="32"/>
        </w:rPr>
        <w:t>对通过弄虚作假获得该产业园项目，或重复申报，挤占、截留、挪用补助资金，以及开展不符合耕地用途管制要求的农业生产经营活动等违规违纪违法行为的实施主体，取消其现代农业产业园实施主体的资格，三年之内不得申请农业类财政补助资金。在产业园建设期内，涉嫌犯罪被立案查处的实施主体，尚未结案的暂缓奖励;依法移送司法机关处理后判定构成犯罪的，不给予奖励。</w:t>
      </w:r>
    </w:p>
    <w:p w14:paraId="10ED8518">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第十六条 </w:t>
      </w:r>
      <w:r>
        <w:rPr>
          <w:rFonts w:hint="eastAsia" w:ascii="Times New Roman" w:hAnsi="Times New Roman" w:eastAsia="方正仿宋简体" w:cs="宋体"/>
          <w:color w:val="000000"/>
          <w:kern w:val="0"/>
          <w:sz w:val="32"/>
          <w:szCs w:val="32"/>
        </w:rPr>
        <w:t>本措施涉及数值“达到”“以上”“不少于”“不低于”“不高于”“不超过”“最高”的，均包含本数；“小于”不包含本数。除注明为其他币种外，本措施提到的货币单位，均以人民币计算。</w:t>
      </w:r>
    </w:p>
    <w:p w14:paraId="2F639311">
      <w:pPr>
        <w:widowControl/>
        <w:spacing w:line="420" w:lineRule="atLeast"/>
        <w:ind w:firstLine="475"/>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第十七条 </w:t>
      </w:r>
      <w:r>
        <w:rPr>
          <w:rFonts w:hint="eastAsia" w:ascii="Times New Roman" w:hAnsi="Times New Roman" w:eastAsia="方正仿宋简体" w:cs="宋体"/>
          <w:color w:val="000000"/>
          <w:kern w:val="0"/>
          <w:sz w:val="32"/>
          <w:szCs w:val="32"/>
        </w:rPr>
        <w:t>本措施自印发之日起执行，有效期至2027年3月5日。2024年3月6日印发实施的《广州市南沙区农业农村局印发关于支持南沙区丝苗米产业园发展的若干措施的通知》（穗南农规字〔2024〕1号）同时废止。2021年12月21日省农业农村厅公布南沙区丝苗米产业园入选省级现代农业产业园建设名单之日起至本措施印发之日，可参照本措施执行。有效期内如遇法律、法规或有关政策调整变化的，从其规定。本措施未尽事宜，由区现代农业产业园创建工作领导小组审定。</w:t>
      </w:r>
    </w:p>
    <w:p w14:paraId="1F29DD73">
      <w:pPr>
        <w:widowControl/>
        <w:spacing w:line="420" w:lineRule="atLeast"/>
        <w:ind w:firstLine="475"/>
        <w:rPr>
          <w:rFonts w:hint="eastAsia" w:ascii="Times New Roman" w:hAnsi="Times New Roman" w:eastAsia="方正仿宋简体" w:cs="宋体"/>
          <w:color w:val="000000"/>
          <w:kern w:val="0"/>
          <w:sz w:val="32"/>
          <w:szCs w:val="32"/>
        </w:rPr>
      </w:pPr>
    </w:p>
    <w:p w14:paraId="73644D6B">
      <w:pPr>
        <w:widowControl/>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公开方式：</w:t>
      </w:r>
      <w:r>
        <w:rPr>
          <w:rFonts w:hint="eastAsia" w:ascii="Times New Roman" w:hAnsi="Times New Roman" w:eastAsia="方正仿宋简体" w:cs="宋体"/>
          <w:color w:val="000000"/>
          <w:kern w:val="0"/>
          <w:sz w:val="32"/>
          <w:szCs w:val="32"/>
        </w:rPr>
        <w:t>主动公开</w:t>
      </w:r>
    </w:p>
    <w:p w14:paraId="2042C332">
      <w:pPr>
        <w:shd w:val="clear" w:color="auto" w:fill="FFFFFF"/>
        <w:spacing w:after="150" w:line="420" w:lineRule="atLeast"/>
        <w:jc w:val="left"/>
        <w:rPr>
          <w:rFonts w:ascii="Times New Roman" w:hAnsi="Times New Roman" w:eastAsia="方正仿宋简体" w:cs="Times New Roman"/>
          <w:color w:val="000000"/>
          <w:kern w:val="0"/>
          <w:sz w:val="32"/>
          <w:szCs w:val="32"/>
        </w:rPr>
      </w:pPr>
    </w:p>
    <w:p w14:paraId="6E2BDA8F">
      <w:pPr>
        <w:shd w:val="clear" w:color="auto" w:fill="FFFFFF"/>
        <w:jc w:val="center"/>
        <w:textAlignment w:val="baseline"/>
        <w:outlineLvl w:val="0"/>
        <w:rPr>
          <w:rFonts w:hint="eastAsia" w:ascii="Times New Roman" w:hAnsi="Times New Roman" w:eastAsia="方正仿宋简体" w:cs="宋体"/>
          <w:b/>
          <w:color w:val="000000"/>
          <w:kern w:val="0"/>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广州市南沙区农业农村局印发关于支持南沙区预制菜产业园发展的若干措施（修订）的通知</w:t>
      </w:r>
    </w:p>
    <w:p w14:paraId="6628FD9C">
      <w:pPr>
        <w:widowControl/>
        <w:shd w:val="clear" w:color="auto" w:fill="FFFFFF"/>
        <w:spacing w:line="420" w:lineRule="atLeast"/>
        <w:jc w:val="left"/>
        <w:rPr>
          <w:rFonts w:hint="eastAsia" w:ascii="Times New Roman" w:hAnsi="Times New Roman" w:eastAsia="方正仿宋简体" w:cs="宋体"/>
          <w:color w:val="000000"/>
          <w:kern w:val="0"/>
          <w:sz w:val="32"/>
          <w:szCs w:val="32"/>
        </w:rPr>
      </w:pPr>
    </w:p>
    <w:p w14:paraId="40EBC623">
      <w:pPr>
        <w:widowControl/>
        <w:shd w:val="clear" w:color="auto" w:fill="FFFFFF"/>
        <w:spacing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各相关单位：</w:t>
      </w:r>
    </w:p>
    <w:p w14:paraId="18068A0F">
      <w:pPr>
        <w:widowControl/>
        <w:shd w:val="clear" w:color="auto" w:fill="FFFFFF"/>
        <w:spacing w:line="420" w:lineRule="atLeast"/>
        <w:ind w:firstLine="475"/>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现将《关于支持南沙区预制菜产业园发展的若干措施（修订）》印发给你们，请认真组织实施。实施过程中遇到问题，请径向区农业农村局反映。</w:t>
      </w:r>
    </w:p>
    <w:p w14:paraId="537CDC6E">
      <w:pPr>
        <w:widowControl/>
        <w:shd w:val="clear" w:color="auto" w:fill="FFFFFF"/>
        <w:spacing w:line="420" w:lineRule="atLeast"/>
        <w:jc w:val="left"/>
        <w:rPr>
          <w:rFonts w:hint="eastAsia" w:ascii="Times New Roman" w:hAnsi="Times New Roman" w:eastAsia="方正仿宋简体" w:cs="宋体"/>
          <w:color w:val="000000"/>
          <w:kern w:val="0"/>
          <w:sz w:val="32"/>
          <w:szCs w:val="32"/>
        </w:rPr>
      </w:pPr>
    </w:p>
    <w:p w14:paraId="1554150D">
      <w:pPr>
        <w:shd w:val="clear" w:color="auto" w:fill="FFFFFF"/>
        <w:spacing w:line="42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shd w:val="clear" w:color="auto" w:fill="FFFFFF"/>
        </w:rPr>
        <w:t>广州市南沙区农业农村局</w:t>
      </w:r>
    </w:p>
    <w:p w14:paraId="70D28760">
      <w:pPr>
        <w:widowControl/>
        <w:shd w:val="clear" w:color="auto" w:fill="FFFFFF"/>
        <w:spacing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2024年10月29日</w:t>
      </w:r>
    </w:p>
    <w:p w14:paraId="30220ED6">
      <w:pPr>
        <w:widowControl/>
        <w:shd w:val="clear" w:color="auto" w:fill="FFFFFF"/>
        <w:spacing w:line="420" w:lineRule="atLeast"/>
        <w:jc w:val="center"/>
        <w:rPr>
          <w:rFonts w:hint="eastAsia" w:ascii="Times New Roman" w:hAnsi="Times New Roman" w:eastAsia="方正仿宋简体" w:cs="宋体"/>
          <w:color w:val="000000"/>
          <w:kern w:val="0"/>
          <w:sz w:val="32"/>
          <w:szCs w:val="32"/>
        </w:rPr>
      </w:pPr>
    </w:p>
    <w:p w14:paraId="005E10B4">
      <w:pPr>
        <w:widowControl/>
        <w:shd w:val="clear" w:color="auto" w:fill="FFFFFF"/>
        <w:spacing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color w:val="000000"/>
          <w:kern w:val="0"/>
          <w:sz w:val="32"/>
          <w:szCs w:val="32"/>
        </w:rPr>
        <w:t>关于支持南沙区预制菜产业园发展的若干措施（修订）</w:t>
      </w:r>
    </w:p>
    <w:p w14:paraId="3B6C8BD8">
      <w:pPr>
        <w:widowControl/>
        <w:shd w:val="clear" w:color="auto" w:fill="FFFFFF"/>
        <w:spacing w:line="420" w:lineRule="atLeast"/>
        <w:ind w:firstLine="634"/>
        <w:jc w:val="left"/>
        <w:rPr>
          <w:rFonts w:hint="eastAsia" w:ascii="Times New Roman" w:hAnsi="Times New Roman" w:eastAsia="方正仿宋简体" w:cs="宋体"/>
          <w:color w:val="000000"/>
          <w:kern w:val="0"/>
          <w:sz w:val="32"/>
          <w:szCs w:val="32"/>
        </w:rPr>
      </w:pPr>
    </w:p>
    <w:p w14:paraId="4972A0A0">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为加快推进广州市南沙区预制菜产业园（以下简称“产业园”）建设，提升农业聚集效应，促进农业供给侧结构性改革，提高本区农业竞争力，根据《广东省人民政府办公厅关于印发加快推进广东预制菜产业高质量发展十条措施的通知》（粤府办〔2022〕10号）、《广东省粤菜发展促进条例》等文件精神，落实《国务院关于印发广州南沙深化面向世界的粤港澳全面合作总体方案的通知》（国发〔2022〕13号）文件要求，结合南沙区预制菜产业园建设实际情况，按照区财政补助资金5000万元的总额为限完成产业园的建设，制定扶持南沙区预制菜产业园发展的若干措施。</w:t>
      </w:r>
    </w:p>
    <w:p w14:paraId="3D169B7F">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第一条 【总则】</w:t>
      </w:r>
    </w:p>
    <w:p w14:paraId="37826B2B">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(一)适用范围:在本区内从事与预制菜发展相关联的企业（组织）等实施主体。</w:t>
      </w:r>
    </w:p>
    <w:p w14:paraId="0D1A71EF">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建设农业生产性项目的实施主体，要求在产业园内拥有土地租赁合同剩余年限不低于2年（自产业园批准创建之日起计，下同）的农业用地。实施主体涉及项目建设需要使用建设用地的，要求是自有建设用地，或是具有租赁期限不少于3年并经过公证机构公证的与计划建设项目相匹配的建设用地。</w:t>
      </w:r>
    </w:p>
    <w:p w14:paraId="1B45D4A5">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第二条 【支持预制菜产业园项目用地】</w:t>
      </w:r>
    </w:p>
    <w:p w14:paraId="33DF80C4">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对充分利用区内村留用地、村级工业园、旧厂房等发展预制菜产业的，如购置或租赁自用办公用房、工业厂房、仓储用房的，按不高于同地区平均租金水平的50%予以补贴，补贴标准不高于每月每平方米50元。补贴期限最长3年，每年补贴最高（含）100万元且不超过实际支出。</w:t>
      </w:r>
    </w:p>
    <w:p w14:paraId="37D55B2F">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（二）对现代农业产业园特别是核心区土地流转规模100亩（含）以上且流转期5年以上的流入方，采取政策补助方式，符合条件的给予一次性不超过500元/亩的且不超过实际租金支出的租金补助。</w:t>
      </w:r>
    </w:p>
    <w:p w14:paraId="1378BB7D">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第三条 【支持预制菜产业科研和信息化建设】</w:t>
      </w:r>
    </w:p>
    <w:p w14:paraId="08B528D1">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对实施主体实施科技研发与信息支撑项目的，区财政按项目投资额最高给予45%扶持，单个项目补助最高不超过300万元，进行公益科研项目和公共信息（包括电商）平台建设的公益性项目可以实行全额资助。科技研发与信息支撑项目主要是信息化建设、技术研发和成果转化、专家团队服务等项目。</w:t>
      </w:r>
    </w:p>
    <w:p w14:paraId="5F775A0B">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第四条 【支持培育预制菜示范企业】</w:t>
      </w:r>
    </w:p>
    <w:p w14:paraId="13D2B5FC">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实施主体被认定为省级“菜篮子”基地或粤港澳大湾区“菜篮子”生产基地，一次性奖励20万元；被认定为粤港澳大湾区“菜篮子”产品加工企业的，一次性奖励20万元。</w:t>
      </w:r>
    </w:p>
    <w:p w14:paraId="1560BB3A">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第五条 【支持扩大设施设备投资】</w:t>
      </w:r>
    </w:p>
    <w:p w14:paraId="2F3AA937">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对实施主体建设基础设施项目的，区财政按项目投资额的45%给予扶持，单个项目补助最高不超过500万元，公共基础设施项目可以实行全额资助。基础设施主要指建设现代农业产业园范围内的园区道路建设、土地整理，以及防洪排涝、供水、供电、通信、网络、环境卫生等基础设施建设。</w:t>
      </w:r>
    </w:p>
    <w:p w14:paraId="0A2F2C00">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对实施主体建设生产设施和产业融合项目的，区财政按项目投资额的45%给予扶持，单个项目补助最高不超过500万元。生产设施主要指建设农业生产大棚和农产品加工用房、节水灌溉、水肥一体化、畜禽养殖、水产养殖、检验检测等设施设备；产业融合项目主要指现代农业产业园农产品生产加工设备设施、产品储藏、冷链配送和流通设施的新建或升级改造、新产业新业态（观光休闲农业、农产品电商等）设施配套等。</w:t>
      </w:r>
    </w:p>
    <w:p w14:paraId="33B3F921">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第六条 【支持预制菜原材料采购】</w:t>
      </w:r>
    </w:p>
    <w:p w14:paraId="4ED3A362">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鼓励支持南沙预制菜企业到南沙对口合作帮扶地区投资建立预制菜加工基地，对固定资产投资额超过2000万元的企业给予补助，补助额度不超过项目实际固定资产投资额3%，单个企业固定资产补助不超过150万元。</w:t>
      </w:r>
    </w:p>
    <w:p w14:paraId="6A1D6758">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（二）原料采购来自南沙区对口合作帮扶地区的实施主体，年累计原料采购额达到30万元及以上的，每年奖励5万元，采购额每递增30万元，增加奖励5万元，最高不超过20万元，连续补贴3年。</w:t>
      </w:r>
    </w:p>
    <w:p w14:paraId="48617CB8">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第七条 【支持组建预制菜协会】</w:t>
      </w:r>
    </w:p>
    <w:p w14:paraId="3258CAFD">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鼓励实施主体组建南沙区预制菜各类协会，支持协会创建的平台的展示、活动功能等以及运营保障，强化与会员企业的调研交流，按照企业需求、利用企业资源，明晰具体举措，切实发挥协会的引领作用。举办预制菜相关展会范围的国际级、国家级活动的，给予协会布展费、展会费等100%补助，最高不超过50万元；举办省级预制菜活动的，给予协会布展费、展会费等80%补助，最高不超过40万元；举办市级预制菜活动的，给予协会布展费、展会费等60%补助，最高不超过30万元。展会费用补助范围包括场地租赁费、展会搭建费及宣传推广费用。</w:t>
      </w:r>
    </w:p>
    <w:p w14:paraId="5BE271C1">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第八条 【支持预制菜产业金融服务保障】</w:t>
      </w:r>
    </w:p>
    <w:p w14:paraId="7602C15B">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实施主体用于主导产业相关的生产经营活动的单笔贷款规模在100万元以上的贷款，可按贷款市场报价利率（LPR）进行贴息补助（实际利率低于LPR的按实际执行利率补贴），园区每个实施主体每年贴息补助金额不超过该实施主体在产业园项目贷款利息总额的50%，最高不超过100万元。</w:t>
      </w:r>
    </w:p>
    <w:p w14:paraId="4B59BDA4">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第九条 【支持预制菜溯源应用和标准化建设】</w:t>
      </w:r>
    </w:p>
    <w:p w14:paraId="0B03D175">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鼓励实施主体加入和应用全球溯源中心。对通过全球溯源中心委托检验检测认证机构为实施主体提供检验检测认证相关服务的，给予实施主体检验检测认证相关服务费用50%的补贴，单个实施主体每年补贴金额最高不超过20万元。</w:t>
      </w:r>
    </w:p>
    <w:p w14:paraId="61D70458">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（二）鼓励实施主体为预制菜外包装加施全球溯源中心溯源标识，给予每个溯源标识0.1元奖励，单个实施主体每年奖励最高不超过30万元。</w:t>
      </w:r>
    </w:p>
    <w:p w14:paraId="3306B5C6">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（三）对主导制定预制菜国家标准、行业标准、地方标准等基础通用标准的，给予一次性10万元补助。与区内职能部门相同类型补助，按照“择优不重复”原则，不得重复申请与享受。</w:t>
      </w:r>
    </w:p>
    <w:p w14:paraId="4C745A7F">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第十条 【支持预制菜品牌文化建设】</w:t>
      </w:r>
    </w:p>
    <w:p w14:paraId="47DAC8BD">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一）建设南沙预制菜体验中心，推进预制菜产业与休闲、旅游、文化产业等深度融合，持续开展美食系列活动，营造预制菜饮食文化的浓厚氛围。入驻预制菜体验中心的实施主体，单个企业每年给予1万元扶持，连续扶持3年。</w:t>
      </w:r>
    </w:p>
    <w:p w14:paraId="7E4E48CD">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二）在线下渠道方面，鼓励实施主体在包装上申请授权使用“优品南沙”标识；在线上渠道方面，鼓励实施主体申请入驻“优品南沙”平台及申请授权使用“优品南沙”标识。获授权产品按照产品年销售额的1‰进行扶持，单个企业每年最高（含）30万元，连续扶持3年。</w:t>
      </w:r>
    </w:p>
    <w:p w14:paraId="175A7568">
      <w:pPr>
        <w:shd w:val="clear" w:color="auto" w:fill="FFFFFF"/>
        <w:spacing w:line="420" w:lineRule="atLeast"/>
        <w:ind w:firstLine="475"/>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三）对实施主体实施农业品牌建设项目的，区财政按项目投资额的45%给予扶持，单个项目补助最高不超过200万元，进行区域公用品牌创建的公益性项目可以实行全额资助。农业品牌建设项目主要是指实施主体进行产业园主导产业产品品牌宣传和打造特色地方区域公用品牌等，包括农业品牌及知识产权的创建设计、注册、宣传推广等，以及组织相关峰会等项目。</w:t>
      </w:r>
    </w:p>
    <w:p w14:paraId="76A23009">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第十一条 </w:t>
      </w:r>
      <w:r>
        <w:rPr>
          <w:rFonts w:hint="eastAsia" w:ascii="Times New Roman" w:hAnsi="Times New Roman" w:eastAsia="方正仿宋简体" w:cs="Times New Roman"/>
          <w:color w:val="000000"/>
          <w:kern w:val="0"/>
          <w:sz w:val="32"/>
          <w:szCs w:val="32"/>
        </w:rPr>
        <w:t>符合本措施规定的同一项目、同一事项同时符合本区其他扶持政策规定(含上级部门要求区配套或承担资金的政策规定)的，按照就高不重复的原则予以支持，另有规定的除外。对已获得上级资金支持的，区财政给予最高1:1配套支持，但财政补助金额占项目总投资的比例不超过75%。如遇上级有关政策调整，根据实际情况对政策或协议同步进行调整。</w:t>
      </w:r>
    </w:p>
    <w:p w14:paraId="723A8B81">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实施主体实施科技研发与信息支撑、产业融合和农业品牌建设项目的，对于申领补贴为投资额45%的项目，在申请补贴前组织现场论证，具体补贴比例以论证结果为准。</w:t>
      </w:r>
    </w:p>
    <w:p w14:paraId="5B99A47F">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第十二条 </w:t>
      </w:r>
      <w:r>
        <w:rPr>
          <w:rFonts w:hint="eastAsia" w:ascii="Times New Roman" w:hAnsi="Times New Roman" w:eastAsia="方正仿宋简体" w:cs="Times New Roman"/>
          <w:color w:val="000000"/>
          <w:kern w:val="0"/>
          <w:sz w:val="32"/>
          <w:szCs w:val="32"/>
        </w:rPr>
        <w:t>关于市内跨区迁移企业，按照广州市有关规定执行。如涉及预算划转的上解资金，应在政策兑现时予以扣减。</w:t>
      </w:r>
    </w:p>
    <w:p w14:paraId="066DF4C6">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第十三条 </w:t>
      </w:r>
      <w:r>
        <w:rPr>
          <w:rFonts w:hint="eastAsia" w:ascii="Times New Roman" w:hAnsi="Times New Roman" w:eastAsia="方正仿宋简体" w:cs="Times New Roman"/>
          <w:color w:val="000000"/>
          <w:kern w:val="0"/>
          <w:sz w:val="32"/>
          <w:szCs w:val="32"/>
        </w:rPr>
        <w:t>实施主体应按要求如实提供有关材料，不得弄虚作假。如果存在舞弊行为，一经查实，将取消奖励资格，3年内不得再申报。</w:t>
      </w:r>
    </w:p>
    <w:p w14:paraId="31033500">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第十四条 </w:t>
      </w:r>
      <w:r>
        <w:rPr>
          <w:rFonts w:hint="eastAsia" w:ascii="Times New Roman" w:hAnsi="Times New Roman" w:eastAsia="方正仿宋简体" w:cs="Times New Roman"/>
          <w:color w:val="000000"/>
          <w:kern w:val="0"/>
          <w:sz w:val="32"/>
          <w:szCs w:val="32"/>
        </w:rPr>
        <w:t>本措施涉及数值“达到”“以上”“不少于”“不低于”“不高于”“不超过”的，均包含本数。除注明为其他币种外，本措施提到的货币单位，均以人民币计算。</w:t>
      </w:r>
    </w:p>
    <w:p w14:paraId="044F51C6">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b/>
          <w:color w:val="000000"/>
          <w:kern w:val="0"/>
          <w:sz w:val="32"/>
          <w:szCs w:val="32"/>
        </w:rPr>
        <w:t>第十五条 </w:t>
      </w:r>
      <w:r>
        <w:rPr>
          <w:rFonts w:hint="eastAsia" w:ascii="Times New Roman" w:hAnsi="Times New Roman" w:eastAsia="方正仿宋简体" w:cs="Times New Roman"/>
          <w:color w:val="000000"/>
          <w:kern w:val="0"/>
          <w:sz w:val="32"/>
          <w:szCs w:val="32"/>
        </w:rPr>
        <w:t>本措施自印发之日起执行，有效期至2028年4月10日。2023年4月11日印发实施的《广州市南沙区农业农村局印发关于支持南沙区预制菜产业园发展的若干措施的通知》（穗南农规字〔2023〕2号）同时废止。2022年5月31日至印发之日，可参照本措施执行。有效期内如遇法律、法规或有关政策调整变化的，从其规定。</w:t>
      </w:r>
    </w:p>
    <w:p w14:paraId="5C324F16">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本措施未尽事宜，由南沙区现代农业产业园创建工作领导小组审定。</w:t>
      </w:r>
    </w:p>
    <w:p w14:paraId="455A2F38">
      <w:pPr>
        <w:shd w:val="clear" w:color="auto" w:fill="FFFFFF"/>
        <w:spacing w:line="420" w:lineRule="atLeast"/>
        <w:ind w:firstLine="475"/>
        <w:jc w:val="left"/>
        <w:rPr>
          <w:rFonts w:ascii="Times New Roman" w:hAnsi="Times New Roman" w:eastAsia="方正仿宋简体" w:cs="Times New Roman"/>
          <w:color w:val="000000"/>
          <w:kern w:val="0"/>
          <w:sz w:val="32"/>
          <w:szCs w:val="32"/>
        </w:rPr>
      </w:pPr>
    </w:p>
    <w:p w14:paraId="0F9F20DC">
      <w:pPr>
        <w:shd w:val="clear" w:color="auto" w:fill="FFFFFF"/>
        <w:spacing w:line="42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公开方式：主动公开</w:t>
      </w:r>
    </w:p>
    <w:p w14:paraId="4A745C43">
      <w:pPr>
        <w:widowControl/>
        <w:shd w:val="clear" w:color="auto" w:fill="FFFFFF"/>
        <w:spacing w:after="150"/>
        <w:rPr>
          <w:rFonts w:hint="eastAsia" w:ascii="Times New Roman" w:hAnsi="Times New Roman" w:eastAsia="方正仿宋简体" w:cs="宋体"/>
          <w:color w:val="000000"/>
          <w:kern w:val="0"/>
          <w:sz w:val="32"/>
          <w:szCs w:val="32"/>
        </w:rPr>
      </w:pPr>
    </w:p>
    <w:p w14:paraId="2E2F1A0C">
      <w:pPr>
        <w:shd w:val="clear" w:color="auto" w:fill="FFFFFF"/>
        <w:jc w:val="center"/>
        <w:textAlignment w:val="baseline"/>
        <w:outlineLvl w:val="0"/>
        <w:rPr>
          <w:rFonts w:hint="eastAsia" w:ascii="Times New Roman" w:hAnsi="Times New Roman" w:eastAsia="方正仿宋简体" w:cs="宋体"/>
          <w:b/>
          <w:color w:val="000000"/>
          <w:kern w:val="0"/>
          <w:sz w:val="32"/>
          <w:szCs w:val="32"/>
        </w:rPr>
      </w:pPr>
      <w:r>
        <w:rPr>
          <w:rFonts w:hint="eastAsia" w:ascii="Times New Roman" w:hAnsi="Times New Roman" w:eastAsia="方正小标宋简体" w:cs="Times New Roman"/>
          <w:color w:val="000000"/>
          <w:spacing w:val="-10"/>
          <w:kern w:val="28"/>
          <w:sz w:val="44"/>
          <w:szCs w:val="56"/>
          <w:lang w:val="en-US" w:eastAsia="zh-CN" w:bidi="ar-SA"/>
        </w:rPr>
        <w:t>海珠区发展和改革局关于印发《广州市海珠区婚庆产业发展规划（</w:t>
      </w:r>
      <w:r>
        <w:rPr>
          <w:rFonts w:hint="default" w:ascii="Times New Roman" w:hAnsi="Times New Roman" w:eastAsia="方正小标宋简体" w:cs="Times New Roman"/>
          <w:color w:val="000000"/>
          <w:spacing w:val="-10"/>
          <w:kern w:val="28"/>
          <w:sz w:val="44"/>
          <w:szCs w:val="56"/>
          <w:lang w:val="en-US" w:eastAsia="zh-CN" w:bidi="ar-SA"/>
        </w:rPr>
        <w:t>2024-2035</w:t>
      </w:r>
      <w:r>
        <w:rPr>
          <w:rFonts w:hint="eastAsia" w:ascii="Times New Roman" w:hAnsi="Times New Roman" w:eastAsia="方正小标宋简体" w:cs="Times New Roman"/>
          <w:color w:val="000000"/>
          <w:spacing w:val="-10"/>
          <w:kern w:val="28"/>
          <w:sz w:val="44"/>
          <w:szCs w:val="56"/>
          <w:lang w:val="en-US" w:eastAsia="zh-CN" w:bidi="ar-SA"/>
        </w:rPr>
        <w:t>年）》的通知</w:t>
      </w:r>
    </w:p>
    <w:p w14:paraId="44F0E723">
      <w:pPr>
        <w:spacing w:line="540" w:lineRule="atLeast"/>
        <w:jc w:val="left"/>
        <w:rPr>
          <w:rFonts w:hint="eastAsia"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区属各单位：</w:t>
      </w:r>
    </w:p>
    <w:p w14:paraId="22E4E5B7">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《广州市海珠区婚庆产业发展规划（2024-2035年）》已经区委、区政府同意，现印发给你们，请认真贯彻执行。</w:t>
      </w:r>
    </w:p>
    <w:p w14:paraId="22921893">
      <w:pPr>
        <w:spacing w:line="540" w:lineRule="atLeast"/>
        <w:jc w:val="left"/>
        <w:rPr>
          <w:rFonts w:ascii="Times New Roman" w:hAnsi="Times New Roman" w:eastAsia="方正仿宋简体" w:cs="Times New Roman"/>
          <w:color w:val="000000"/>
          <w:kern w:val="0"/>
          <w:sz w:val="32"/>
          <w:szCs w:val="32"/>
        </w:rPr>
      </w:pPr>
    </w:p>
    <w:p w14:paraId="2F07D458">
      <w:pPr>
        <w:spacing w:line="540" w:lineRule="atLeast"/>
        <w:jc w:val="lef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　　附件：</w:t>
      </w:r>
      <w:r>
        <w:rPr>
          <w:rFonts w:ascii="Times New Roman" w:hAnsi="Times New Roman" w:eastAsia="方正仿宋简体" w:cs="Times New Roman"/>
          <w:color w:val="000000"/>
          <w:sz w:val="32"/>
          <w:szCs w:val="32"/>
        </w:rPr>
        <w:fldChar w:fldCharType="begin"/>
      </w:r>
      <w:r>
        <w:rPr>
          <w:rFonts w:ascii="Times New Roman" w:hAnsi="Times New Roman" w:eastAsia="方正仿宋简体" w:cs="Times New Roman"/>
          <w:color w:val="000000"/>
          <w:sz w:val="32"/>
          <w:szCs w:val="32"/>
        </w:rPr>
        <w:instrText xml:space="preserve"> HYPERLINK "https://cms.gz.gov.cn/gzzcwjk/storage/material/2024/11/04/436868b203b202870c874416d34f97b5.pdf" \t "_blank" </w:instrText>
      </w:r>
      <w:r>
        <w:rPr>
          <w:rFonts w:ascii="Times New Roman" w:hAnsi="Times New Roman" w:eastAsia="方正仿宋简体" w:cs="Times New Roman"/>
          <w:color w:val="000000"/>
          <w:sz w:val="32"/>
          <w:szCs w:val="32"/>
        </w:rPr>
        <w:fldChar w:fldCharType="separate"/>
      </w:r>
      <w:r>
        <w:rPr>
          <w:rFonts w:hint="eastAsia" w:ascii="Times New Roman" w:hAnsi="Times New Roman" w:eastAsia="方正仿宋简体" w:cs="Times New Roman"/>
          <w:color w:val="000000"/>
          <w:kern w:val="0"/>
          <w:sz w:val="32"/>
          <w:szCs w:val="32"/>
          <w:u w:val="single"/>
        </w:rPr>
        <w:t>广州市海珠区婚庆产业发展规划（2024-2035年）.pdf</w:t>
      </w:r>
      <w:r>
        <w:rPr>
          <w:rFonts w:hint="eastAsia" w:ascii="Times New Roman" w:hAnsi="Times New Roman" w:eastAsia="方正仿宋简体" w:cs="Times New Roman"/>
          <w:color w:val="000000"/>
          <w:kern w:val="0"/>
          <w:sz w:val="32"/>
          <w:szCs w:val="32"/>
          <w:u w:val="single"/>
        </w:rPr>
        <w:fldChar w:fldCharType="end"/>
      </w:r>
    </w:p>
    <w:p w14:paraId="69632084">
      <w:pPr>
        <w:spacing w:line="540" w:lineRule="atLeast"/>
        <w:jc w:val="left"/>
        <w:rPr>
          <w:rFonts w:ascii="Times New Roman" w:hAnsi="Times New Roman" w:eastAsia="方正仿宋简体" w:cs="Times New Roman"/>
          <w:color w:val="000000"/>
          <w:kern w:val="0"/>
          <w:sz w:val="32"/>
          <w:szCs w:val="32"/>
        </w:rPr>
      </w:pPr>
    </w:p>
    <w:p w14:paraId="27F5195A">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广州市海珠区发展和改革局</w:t>
      </w:r>
    </w:p>
    <w:p w14:paraId="51E56C44">
      <w:pPr>
        <w:spacing w:line="540" w:lineRule="atLeast"/>
        <w:jc w:val="right"/>
        <w:rPr>
          <w:rFonts w:ascii="Times New Roman" w:hAnsi="Times New Roman" w:eastAsia="方正仿宋简体" w:cs="Times New Roman"/>
          <w:color w:val="000000"/>
          <w:kern w:val="0"/>
          <w:sz w:val="32"/>
          <w:szCs w:val="32"/>
        </w:rPr>
      </w:pPr>
      <w:r>
        <w:rPr>
          <w:rFonts w:hint="eastAsia" w:ascii="Times New Roman" w:hAnsi="Times New Roman" w:eastAsia="方正仿宋简体" w:cs="Times New Roman"/>
          <w:color w:val="000000"/>
          <w:kern w:val="0"/>
          <w:sz w:val="32"/>
          <w:szCs w:val="32"/>
        </w:rPr>
        <w:t>2024年10月31日</w:t>
      </w:r>
    </w:p>
    <w:p w14:paraId="70036950">
      <w:pPr>
        <w:shd w:val="clear" w:color="auto" w:fill="FFFFFF"/>
        <w:spacing w:after="150" w:line="420" w:lineRule="atLeast"/>
        <w:jc w:val="left"/>
        <w:rPr>
          <w:rFonts w:ascii="Times New Roman" w:hAnsi="Times New Roman" w:eastAsia="方正仿宋简体" w:cs="Times New Roman"/>
          <w:color w:val="000000"/>
          <w:kern w:val="0"/>
          <w:sz w:val="32"/>
          <w:szCs w:val="32"/>
        </w:rPr>
      </w:pPr>
    </w:p>
    <w:p w14:paraId="15877F99">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广州市工业和信息化局关于印发《广州市推进新型储能产业园区建设实施方案》的通知</w:t>
      </w:r>
    </w:p>
    <w:p w14:paraId="4D556B9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各有关区人民政府，市直属各单位：</w:t>
      </w:r>
    </w:p>
    <w:p w14:paraId="31EDB07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《广州市推进新型储能产业园区建设实施方案》已经市人民政府同意，现予以印发，请遵照执行。</w:t>
      </w:r>
    </w:p>
    <w:p w14:paraId="7D1440E2">
      <w:pPr>
        <w:widowControl/>
        <w:spacing w:line="480" w:lineRule="auto"/>
        <w:rPr>
          <w:rFonts w:hint="eastAsia" w:ascii="Times New Roman" w:hAnsi="Times New Roman" w:eastAsia="方正仿宋简体" w:cs="宋体"/>
          <w:color w:val="000000"/>
          <w:kern w:val="0"/>
          <w:sz w:val="32"/>
          <w:szCs w:val="32"/>
        </w:rPr>
      </w:pPr>
    </w:p>
    <w:p w14:paraId="0976BCD2">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广州市工业和信息化局</w:t>
      </w:r>
    </w:p>
    <w:p w14:paraId="33922F14">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2024年11月1日</w:t>
      </w:r>
    </w:p>
    <w:p w14:paraId="62871454">
      <w:pPr>
        <w:widowControl/>
        <w:spacing w:line="480" w:lineRule="auto"/>
        <w:jc w:val="right"/>
        <w:rPr>
          <w:rFonts w:hint="eastAsia" w:ascii="Times New Roman" w:hAnsi="Times New Roman" w:eastAsia="方正仿宋简体" w:cs="宋体"/>
          <w:color w:val="000000"/>
          <w:kern w:val="0"/>
          <w:sz w:val="32"/>
          <w:szCs w:val="32"/>
        </w:rPr>
      </w:pPr>
    </w:p>
    <w:p w14:paraId="405C0930">
      <w:pPr>
        <w:widowControl/>
        <w:spacing w:line="480" w:lineRule="auto"/>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广州市推进新型储能产业园区建设实施方案</w:t>
      </w:r>
    </w:p>
    <w:p w14:paraId="31FFC92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落实国家、省、市有关推动新型储能产业发展的部署要求，围绕实现“大干十二年、再造新广州”，积极培育工业经济新的增长点，以“定产业方向+建专业园区+招优质企业+促政策支撑”四核驱动，首批建设白云区、黄埔区、花都区等3个新型储能产业园，示范打造粤港澳大湾区新型储能产业和新型电力系统的制高点，特制定本实施方案。</w:t>
      </w:r>
    </w:p>
    <w:p w14:paraId="62BC7D1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一、发展目标</w:t>
      </w:r>
    </w:p>
    <w:p w14:paraId="6119E26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主要依托三大新型储能产业园区，发挥新型储能制造业创新中心的引领作用，吸聚新型储能行业龙头企业，促进新型储能技术创新和产学研金用深度融合发展，提升产业链上下游协同发展水平。拓展应用场景和商业模式，助力新型电力系统建设，完善检验检测认证和技术标准体系，进一步凸显产业综合竞争力。在三大新型储能产业园区带动下，力争全市新型储能产业营业收入到2025年达600亿元以上，到2027年形成千亿级产业集群，到2030年形成三千亿级产业集群，到2035年形成五千亿级产业集群。</w:t>
      </w:r>
    </w:p>
    <w:p w14:paraId="7E28925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二、空间布局和产业定位</w:t>
      </w:r>
    </w:p>
    <w:p w14:paraId="263D849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白云区新型储能产业园：选址白云新城国家地方共建新型储能创新中心、人和镇产学研用协同创新基地、白云湖先进制造产业园、五丰装备智造产业园等片区，规划用地面积约5000亩。定位打造成新型储能全产业链创新基地，重点围绕电化学储能、机械储能、超导储能、热储能等新型储能产业，聚焦大容量、高安全、长寿命、高效率的规模化储能装备和技术开展攻关，发展多元新型储能技术，落地一批创新型企业。力争到2027年营业收入（产值）达250亿元，到2030年营业收入（产值）达550亿元，助力全区打造千亿级新型储能产业集群。</w:t>
      </w:r>
    </w:p>
    <w:p w14:paraId="75EF1F7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黄埔区新型储能产业园：选址知识城集成电路产业园东侧，东至新九快速路，南至凤吉路东，西至知明路，北至钟太快速路以南，规划用地面积约3300亩。定位打造成以电化学储能、氢能为主的应用型新型储能产业高地，建设储能电池、氢能的控制产品及系统集成产业核心园，并积极谋划布局超级电容、超导储能等技术路线，带动新型储能配套装备等要素集聚，实现新型储能产业链整体提升。力争到2027年营业收入（产值）达200亿元，到2030年营业收入（产值）达500亿元，助力全区打造千亿级新型储能产业集群。</w:t>
      </w:r>
    </w:p>
    <w:p w14:paraId="2D2DE9D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花都区新型储能产业园：选址花都汽车产业基地三期片区、岐山村东片区、汽车城赤坭园区、临空数智港启动区共四个片区，规划用地面积约9240亩。定位打造成粤港澳大湾区光伏+储能一体化产业集聚区，重点发展光伏产业、新型储能产业、未来材料产业、绿色低碳场景开发应用产业，实现新型储能对构建新型电力系统的必要支撑作用。力争到2027年营业收入（产值）达250亿元，到2030年营业收入（产值）达450亿元，助力全区打造千亿级新型储能产业集群。</w:t>
      </w:r>
    </w:p>
    <w:p w14:paraId="24F31A3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三、组织架构</w:t>
      </w:r>
    </w:p>
    <w:p w14:paraId="1BDA1A8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市级协调机制：建立由市工业和信息化局牵头的市级工作协调机制，强化市区联动、部门协同，聚焦发展目标打造新型储能产业集群，适时研究和协调解决涉及产业园区发展的重大问题。</w:t>
      </w:r>
    </w:p>
    <w:p w14:paraId="58EC43C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区级管理机构：各区建立完善园区管理工作联动机制，明确园区规划建设、政务管理服务、招商及运营管理、企业筹建服务等工作的具体分工，推进落实园区新能源产业发展的工作部署和要求。完善安全生产监督管理体制，配备必要的人员力量，明确安全监管责任。</w:t>
      </w:r>
    </w:p>
    <w:p w14:paraId="5CBD13A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园区开发运营公司：鼓励包括市区国企等在内的企业作为园区投资开发公司，负责园区道路、供水、排水、供电、供热、供气、通讯等基础设施及公共设施建设。鼓励各区设立园区运营管理公司，负责专业招商、公共服务平台建设、市场开拓及金融服务等。</w:t>
      </w:r>
    </w:p>
    <w:p w14:paraId="08C09FF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四、加强规划引领</w:t>
      </w:r>
    </w:p>
    <w:p w14:paraId="1D1E1EB9">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各区开展园区总体规划、产业发展规划和控制性详细规划编制，开展环境影响评价，统筹园区土地收储，实行一次规划、分步实施，建设高水平绿色工业园区。（负责单位：各有关区政府）</w:t>
      </w:r>
    </w:p>
    <w:p w14:paraId="24BFE216">
      <w:pPr>
        <w:widowControl/>
        <w:spacing w:line="480" w:lineRule="auto"/>
        <w:rPr>
          <w:rFonts w:hint="eastAsia" w:ascii="Times New Roman" w:hAnsi="Times New Roman" w:eastAsia="方正楷体简体" w:cs="方正楷体简体"/>
          <w:b/>
          <w:bCs/>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五、加大资金支持</w:t>
      </w:r>
    </w:p>
    <w:p w14:paraId="6821500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园区和园区企业申报国家、省、市相关部门的先进制造业、产业基础再造和制造业高质量发展、“揭榜挂帅”、试点示范项目等专项资金。根据园区建设情况，符合条件的，市级财政给予一定的扶持资金。推动区政府以“补改投”方式支持产业园项目成果转化等。（负责单位：市工业和信息化局、市财政局、市发展改革委、市科技局，各有关区政府）</w:t>
      </w:r>
    </w:p>
    <w:p w14:paraId="26D52FD9">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六、强化金融支持</w:t>
      </w:r>
    </w:p>
    <w:p w14:paraId="36E4FC1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引导金融机构加大新型储能、氢能和综合智慧能源领域资金投入力度，综合运用信贷、债券、产业基金等方式支持项目建设和产业发展。支持市区国企共同成立百亿新能源母基金，加强引导广州产业投资母基金等产业基金支持新型储能产业发展。鼓励采用融资租赁等方式支持新型储能项目设备采购。加快推动广州期货交易所上市电力、锂等新型储能产业发展相关的期货品种。对符合地方政府专项债支持领域和条件的新型储能项目，支持申报地方政府专项债；积极发挥碳减排支持工具作用，引导金融机构为符合条件的项目提供资金支持。强化绿色金融服务新型储能产业高质量发展的作用。（负责单位：市委金融办、市发展改革委、市工业和信息化局、市国资委，各有关区政府）</w:t>
      </w:r>
    </w:p>
    <w:p w14:paraId="277168A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七、加大用地支持</w:t>
      </w:r>
    </w:p>
    <w:p w14:paraId="2B73185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固定资产投资额5000万元至5亿元的先进制造业项目所需指标由市优先保障，不足部分向省争取支持；固定资产投资额5亿元（含）以上且投资强度不低于400万元/亩的先进制造业项目所需指标由省保障。各区工业和信息化部门参与分配园区用地规模、指标等需求。白云区保障新型储能产业园用地规模5000亩，2024年底前完成人和镇创新中心产学研用协同示范基地200亩工业用地出让以及萧岗村留用地的合作开发。黄埔区保障新型储能产业园用地规模3300亩，2024年底前解决200亩新增建设用地指标，2025年解决600亩新增建设用地指标。花都区保障新型储能产业园用地规模9240亩。（负责单位：市规划和自然资源局、市工业和信息化局、市发展改革委，各有关区政府）</w:t>
      </w:r>
    </w:p>
    <w:p w14:paraId="701DF0D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八、支持园区招商</w:t>
      </w:r>
    </w:p>
    <w:p w14:paraId="2F4F725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十四五”期间投资10亿元以上的新型储能产业化项目（花都区“绿能谷”一期先行启动区内项目除外），在省级对其新增实际固定资产投资额普惠性制造业投资奖励基础上，市级财政按1:1给予配套扶持。投资超过50亿元的重大招商项目，成立市级工作专班，强化土地、资金、人才、金融、科技等各方面要素支持。发挥市投资发展委员会办公室作用，将新型储能产业纳入年度招商重点任务。区级创新招商引资方式，实施靶向招商。绘制新型储能产业链关键环节、空白环节招商图谱，建立招商目标企业清单，每年调整一次。重点围绕产业链上下游企业开展招商引资，推动企业在园区落户或新增投资。充分利用南方电网及其合作伙伴的产业资源和带动效应，吸引一批电源侧、电网侧、用户侧服务应用企业，形成产业集聚，提升全产业链竞争优势。鼓励园区组织企业开展国际交流合作，拓展新能源产业国际合作渠道。（负责单位：市投资发展委员会办公室、市工业和信息化局、市发展改革委、市规划和自然资源局、市科技局、市人力资源社会保障局、市委金融办，各有关区政府）</w:t>
      </w:r>
    </w:p>
    <w:p w14:paraId="79B9E12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九、加强园区骨干企业培育</w:t>
      </w:r>
    </w:p>
    <w:p w14:paraId="596EA247">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各区在产业链要素保障、协同创新、技术改造、示范应用等方面加大政策支持力度，制定园区企业增资扩产项目清单，支持中小企业主攻细分行业，打造一批细分行业的“隐形冠军”“单项冠军”“专精特新‘小巨人’”企业。鼓励园区企业开展产品碳足迹核算，使用绿电等清洁能源，提高绿色贸易能力和水平。（负责单位：市工业和信息化局、市发展改革委，各有关区政府）</w:t>
      </w:r>
    </w:p>
    <w:p w14:paraId="0A0FA3A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十、支持创新平台和试点示范建设</w:t>
      </w:r>
    </w:p>
    <w:p w14:paraId="0AD90D8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国家地方共建新型储能创新中心运营工作，加快推进申报国家新型储能创新中心。支持企业联合高校院所建设国家级、省级重点实验室、工程研究中心等平台，对申报且获批国家级创新载体的机构，符合相关条件的，按规定给予配套政策支持。鼓励企业联合上下游企业和研究机构进行关键装备研制、示范应用和产业化。积极开展首台(套)重大技术装备示范、科技创新试点示范，推动新型储能领域前沿技术检测试验和工程示范，对以上类型符合条件的，按规定给予配套政策支持。（负责单位：市工业和信息化局、市发展改革委、市科技局，各有关区政府）</w:t>
      </w:r>
    </w:p>
    <w:p w14:paraId="6C544FA7">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十一、推动应用场景拓展</w:t>
      </w:r>
    </w:p>
    <w:p w14:paraId="1506A4F3">
      <w:pPr>
        <w:widowControl/>
        <w:spacing w:line="480" w:lineRule="auto"/>
        <w:rPr>
          <w:rFonts w:hint="eastAsia" w:ascii="Times New Roman" w:hAnsi="Times New Roman" w:eastAsia="方正楷体简体" w:cs="方正楷体简体"/>
          <w:b/>
          <w:bCs/>
          <w:color w:val="000000"/>
          <w:kern w:val="0"/>
          <w:sz w:val="32"/>
          <w:szCs w:val="32"/>
        </w:rPr>
      </w:pPr>
      <w:r>
        <w:rPr>
          <w:rFonts w:hint="eastAsia" w:ascii="Times New Roman" w:hAnsi="Times New Roman" w:eastAsia="方正仿宋简体" w:cs="宋体"/>
          <w:color w:val="000000"/>
          <w:kern w:val="0"/>
          <w:sz w:val="32"/>
          <w:szCs w:val="32"/>
        </w:rPr>
        <w:t>　　鼓励园区合理配置一定规模新型储能，有条件的依托变电站现有及周边用地建设储能电站。有序发展中型以上规模氢储能系统和氢能调峰电站，促进氢能储能耦合发展。灵活发展工商业储能应用场景，鼓励商业商务区、工业园区、大数据中心等区域根据用能特点配置冰(水)蓄冷、电化学储能等不同类型储能设施，探索先进制造业配置储能电站，促进源网荷储协同互动。支持构建新能源汽车充换电网络、电池租赁、回收利用的新型储能生态体系。探索综合能源服务模式，鼓励综合能源服务商打造区域综合能源服务平台，开展虚拟电厂建设试点。（负责单位：市工业和信息化局、市发展改革委、市商务局、市住房城乡建设局、市规划和自然资源局、市供电局，各有关区政府）</w:t>
      </w:r>
    </w:p>
    <w:p w14:paraId="1E228E8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楷体简体" w:cs="方正楷体简体"/>
          <w:b/>
          <w:bCs/>
          <w:color w:val="000000"/>
          <w:kern w:val="0"/>
          <w:sz w:val="32"/>
          <w:szCs w:val="32"/>
        </w:rPr>
        <w:t>　　十二、加强人才支持</w:t>
      </w:r>
    </w:p>
    <w:p w14:paraId="4FD3165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依托“广聚英才”人才工程，围绕储能产业重大需求或关键技术难题，面向全球引进高层次领军人才、创新团队和管理团队。鼓励新型储能产业人才联合会发挥加强人才、技术、项目、信息等资源共建共享作用。支持组建新型储能产业智库，为行业政策制定、重大项目论证、技术路线选择等提供智力支撑。深化产教融合，支持有条件的高校加强新型储能、氢能、综合智慧能源等技术相关学科专业建设。（负责单位：市人力资源社会保障局、市发展改革委、市工业和信息化局）</w:t>
      </w:r>
    </w:p>
    <w:p w14:paraId="74472165">
      <w:pPr>
        <w:widowControl/>
        <w:spacing w:line="540" w:lineRule="atLeast"/>
        <w:ind w:firstLine="480"/>
        <w:jc w:val="left"/>
        <w:rPr>
          <w:rFonts w:hint="eastAsia" w:ascii="Times New Roman" w:hAnsi="Times New Roman" w:eastAsia="方正仿宋简体" w:cs="宋体"/>
          <w:color w:val="000000"/>
          <w:kern w:val="0"/>
          <w:sz w:val="32"/>
          <w:szCs w:val="32"/>
        </w:rPr>
      </w:pPr>
    </w:p>
    <w:p w14:paraId="7D1835BB">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广州开发区管委会办公室 广州市黄埔区人民政府办公室关于印发广州开发区、广州市黄埔区实施企业服务增值化改革持续优化营商环境若干措施的通知</w:t>
      </w:r>
    </w:p>
    <w:p w14:paraId="0D7C6DC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广州开发区管委会直属各单位；黄埔区各镇街，区府属各单位：</w:t>
      </w:r>
    </w:p>
    <w:p w14:paraId="0D3ED78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《广州开发区、广州市黄埔区实施企业服务增值化改革持续优化营商环境若干措施》已经管委会、区政府同意，现印发给你们，请认真遵照执行。执行过程中如遇问题，请径向区营商环境改革局反映。</w:t>
      </w:r>
    </w:p>
    <w:p w14:paraId="0F59ECE4">
      <w:pPr>
        <w:widowControl/>
        <w:spacing w:line="540" w:lineRule="atLeast"/>
        <w:jc w:val="left"/>
        <w:rPr>
          <w:rFonts w:hint="eastAsia" w:ascii="Times New Roman" w:hAnsi="Times New Roman" w:eastAsia="方正仿宋简体" w:cs="宋体"/>
          <w:color w:val="000000"/>
          <w:kern w:val="0"/>
          <w:sz w:val="32"/>
          <w:szCs w:val="32"/>
        </w:rPr>
      </w:pPr>
    </w:p>
    <w:p w14:paraId="580EE812">
      <w:pPr>
        <w:widowControl/>
        <w:spacing w:line="54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广州开发区管理委员会办公室 广州市黄埔区人民政府办公室</w:t>
      </w:r>
    </w:p>
    <w:p w14:paraId="302C31D1">
      <w:pPr>
        <w:widowControl/>
        <w:spacing w:line="54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2024年11月3日</w:t>
      </w:r>
    </w:p>
    <w:p w14:paraId="1559716E">
      <w:pPr>
        <w:widowControl/>
        <w:spacing w:line="54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广州开发区 广州市黄埔区实施企业服务增值化改革持续优化营商环境若干措施</w:t>
      </w:r>
    </w:p>
    <w:p w14:paraId="6940AE2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全面贯彻落实党的二十届三中全会精神，深化省营商环境改革试点建设，纵深开展企业服务增值化改革，推动企业服务从政府“有什么给什么”向企业“需什么给什么”转变、从普惠便捷向增值提效升级，为企业提供更多有价值的衍生服务，全力打造“产业友好型、企业友好型、人才友好型”一流营商环境，制定本措施。</w:t>
      </w:r>
    </w:p>
    <w:p w14:paraId="38402027">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一、项目筹建增值服务</w:t>
      </w:r>
    </w:p>
    <w:p w14:paraId="658A1C7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1．升级筹建审批服务。</w:t>
      </w:r>
      <w:r>
        <w:rPr>
          <w:rFonts w:hint="eastAsia" w:ascii="Times New Roman" w:hAnsi="Times New Roman" w:eastAsia="方正仿宋简体" w:cs="宋体"/>
          <w:color w:val="000000"/>
          <w:kern w:val="0"/>
          <w:sz w:val="32"/>
          <w:szCs w:val="32"/>
        </w:rPr>
        <w:t>推行招商筹建联动，筹建服务提前介入，在招商阶段向产业项目提供筹建要素保障标准和投资界面清单。提前开展项目用地平整及配套道路立项建设工作。联动金融机构创新推出“审批信用贷”，对贷款申报材料暂未齐备的项目出具筹建情况意见函，推动金融机构提前开展贷款审批工作，并分级给予贷款利率优惠。</w:t>
      </w:r>
    </w:p>
    <w:p w14:paraId="4E0B271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2．优化竣工验收流程。</w:t>
      </w:r>
      <w:r>
        <w:rPr>
          <w:rFonts w:hint="eastAsia" w:ascii="Times New Roman" w:hAnsi="Times New Roman" w:eastAsia="方正仿宋简体" w:cs="宋体"/>
          <w:color w:val="000000"/>
          <w:kern w:val="0"/>
          <w:sz w:val="32"/>
          <w:szCs w:val="32"/>
        </w:rPr>
        <w:t>推行分期、分栋竣工联合验收；支持重点产业项目分楼层开展主体结构验收，先行进行设备安装。完成工程质量竣工验收并符合消防验收条件的重点工业项目，可提前进行工艺设备安装调试、试投产。支持具备规划条件核实条件的建设工程项目先行办理规划条件核实。</w:t>
      </w:r>
    </w:p>
    <w:p w14:paraId="280A5BE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3．降低项目用能成本。</w:t>
      </w:r>
      <w:r>
        <w:rPr>
          <w:rFonts w:hint="eastAsia" w:ascii="Times New Roman" w:hAnsi="Times New Roman" w:eastAsia="方正仿宋简体" w:cs="宋体"/>
          <w:color w:val="000000"/>
          <w:kern w:val="0"/>
          <w:sz w:val="32"/>
          <w:szCs w:val="32"/>
        </w:rPr>
        <w:t>创新独立开关房“临永结合”模式，推广“临电联办”“信用办电”等。积极引进供热企业，鼓励用户开展节能减排技术改造，推动降低用热成本。推行产业项目用户供电（临电和备供回路除外）、供气、供水、排水、网络外线接入零投资，逐步实现企业免于承担建筑区划红线接入公共管网工程的建设费用。推广工业园区污水处理集约化管理模式，根据化学需氧量（COD）阶梯式收取污水处理费。</w:t>
      </w:r>
    </w:p>
    <w:p w14:paraId="143E166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4．减轻筹建企业投资负担。</w:t>
      </w:r>
      <w:r>
        <w:rPr>
          <w:rFonts w:hint="eastAsia" w:ascii="Times New Roman" w:hAnsi="Times New Roman" w:eastAsia="方正仿宋简体" w:cs="宋体"/>
          <w:color w:val="000000"/>
          <w:kern w:val="0"/>
          <w:sz w:val="32"/>
          <w:szCs w:val="32"/>
        </w:rPr>
        <w:t>对因市场环境发生重大变化等出现履约困难的项目，企业可申请适当延长开工、竣工期限，延长期限原则上不超过1年，延长期满仍未动工开发的，按不高于原出让价格收回用地；无法按照原产业类别履行项目投资协议约定的，企业可申请调整优化为符合区域产业发展规划的其他产业类别；经签约方协商一致，对原合同约定的投资强度等考核指标可在降幅不超过20％的范围内进行调整。</w:t>
      </w:r>
    </w:p>
    <w:p w14:paraId="3AFEF0D9">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二、空间供给增值服务</w:t>
      </w:r>
    </w:p>
    <w:p w14:paraId="473F53F5">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5．优化土地供应机制。</w:t>
      </w:r>
      <w:r>
        <w:rPr>
          <w:rFonts w:hint="eastAsia" w:ascii="Times New Roman" w:hAnsi="Times New Roman" w:eastAsia="方正仿宋简体" w:cs="宋体"/>
          <w:color w:val="000000"/>
          <w:kern w:val="0"/>
          <w:sz w:val="32"/>
          <w:szCs w:val="32"/>
        </w:rPr>
        <w:t>推行存量制造业企业“数据得地”，根据企业经济效益、技术创新、质量建设、转型升级等指标开展“无感评估”，推动有限土地资源向优质项目聚集。推行产业项目用地长期租赁、先租后让、租让结合、弹性年期出让等灵活供给方式。工业用地弹性出让年期到期后，支持符合国土空间规划和产业发展规划且经评价达到合同约定使用条件的项目续期使用土地。推行产业链关联企业“联合拿地、联合建楼”。</w:t>
      </w:r>
    </w:p>
    <w:p w14:paraId="7292BED9">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6．推动增资扩产提容提效。</w:t>
      </w:r>
      <w:r>
        <w:rPr>
          <w:rFonts w:hint="eastAsia" w:ascii="Times New Roman" w:hAnsi="Times New Roman" w:eastAsia="方正仿宋简体" w:cs="宋体"/>
          <w:color w:val="000000"/>
          <w:kern w:val="0"/>
          <w:sz w:val="32"/>
          <w:szCs w:val="32"/>
        </w:rPr>
        <w:t>开展产业区块内工业用地统筹规划提容工作，集中连片调整规划容积率、建筑密度等指标；申请提高工业用地利用效率的项目，其容积率符合调整后片区指标的，无需企业单独委托技术单位编制控规修正方案论证，在企业取得产业部门或镇街、园区管理机构等单位支持意见后由区行政审批部门直接办理规划报批。具备实施条件的存量工业用地可按照有效的批复实施建设，无需办理国土空间详细规划修正手续。</w:t>
      </w:r>
    </w:p>
    <w:p w14:paraId="0C75B74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7．降低企业用房成本。</w:t>
      </w:r>
      <w:r>
        <w:rPr>
          <w:rFonts w:hint="eastAsia" w:ascii="Times New Roman" w:hAnsi="Times New Roman" w:eastAsia="方正仿宋简体" w:cs="宋体"/>
          <w:color w:val="000000"/>
          <w:kern w:val="0"/>
          <w:sz w:val="32"/>
          <w:szCs w:val="32"/>
        </w:rPr>
        <w:t>扩大工业用房分割转让试点，允许试点园区工业用房实施分割转让和定向租赁给符合园区主导产业的企业。选取一批特色产业园作为试点，划定园区总建筑面积不低于20%作为工业限价房，按照不高于35元/平方米/月价格出租给中小微制造业企业。划定区属国企产业载体总建筑面积不低于20%作为产业保障房，按照不高于评估价70%的价格租赁给优质中小企业。区属国企根据市场行情及自身物业租赁实际情况，自主设置产业载体免租期及调整存量承租人租赁价格。</w:t>
      </w:r>
    </w:p>
    <w:p w14:paraId="77ED892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三、人才引育增值服务</w:t>
      </w:r>
    </w:p>
    <w:p w14:paraId="6F8FCA5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8．拓宽人才引进渠道。</w:t>
      </w:r>
      <w:r>
        <w:rPr>
          <w:rFonts w:hint="eastAsia" w:ascii="Times New Roman" w:hAnsi="Times New Roman" w:eastAsia="方正仿宋简体" w:cs="宋体"/>
          <w:color w:val="000000"/>
          <w:kern w:val="0"/>
          <w:sz w:val="32"/>
          <w:szCs w:val="32"/>
        </w:rPr>
        <w:t>设立人才服务基金，以投带引、招投联动，以人才项目股权投资撬动金融和社会资本，实现人才引进、项目投资和产业培育的有机结合。对接海内外知名企业家和科学家，发挥业界“大咖”名人效应，推动更多优质人才项目集聚。提升黄埔“数字人社”大数据服务系统综合服务能力，利用各类人才供需平台、灵活用工平台，统筹推进线上线下各类招聘活动，帮助企业降低用工成本。与知名高校共建社会实践基地试点，吸引优秀毕业生到区内开展社会实践。</w:t>
      </w:r>
    </w:p>
    <w:p w14:paraId="376BCC4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9．提升人才培养质效。</w:t>
      </w:r>
      <w:r>
        <w:rPr>
          <w:rFonts w:hint="eastAsia" w:ascii="Times New Roman" w:hAnsi="Times New Roman" w:eastAsia="方正仿宋简体" w:cs="宋体"/>
          <w:color w:val="000000"/>
          <w:kern w:val="0"/>
          <w:sz w:val="32"/>
          <w:szCs w:val="32"/>
        </w:rPr>
        <w:t>落实工程硕博士培养工作，实行校内导师和企业导师“双导师”制，工学交替培养工程技术人才。推动省区共建研究生培养基地，联合高校、科研机构、龙头骨干企业等，培养产业发展所需的应用型人才。支持企业和高校共建产教融合基地，开设校企定制班，定点实习、定向输送。实施科创人才“苗圃计划”，定期组织“才投会”“人才沙龙”等活动，提供创业辅导、运营管理等系列课程服务。推动“产教评”技能生态链建设，强化企业新型学徒制培训。</w:t>
      </w:r>
    </w:p>
    <w:p w14:paraId="1F4E92DA">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10．优化人才评价激励。</w:t>
      </w:r>
      <w:r>
        <w:rPr>
          <w:rFonts w:hint="eastAsia" w:ascii="Times New Roman" w:hAnsi="Times New Roman" w:eastAsia="方正仿宋简体" w:cs="宋体"/>
          <w:color w:val="000000"/>
          <w:kern w:val="0"/>
          <w:sz w:val="32"/>
          <w:szCs w:val="32"/>
        </w:rPr>
        <w:t>实行“直接认定+专家评审+机构举荐+企业推荐”的综合评审方式遴选人才，建立以业绩、贡献为导向的激励机制。推行“人才有价”，联合银行、保险、担保、基金等金融机构，为高端人才提供人才授信服务。赋予重点企业、重点科研院所人才推荐权，赋予重点单位人才自主评审权。探索开展生物技术等战略性产业集群前沿技术和新业态职称评价。</w:t>
      </w:r>
    </w:p>
    <w:p w14:paraId="30FE90C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11．提升人才保障服务。</w:t>
      </w:r>
      <w:r>
        <w:rPr>
          <w:rFonts w:hint="eastAsia" w:ascii="Times New Roman" w:hAnsi="Times New Roman" w:eastAsia="方正仿宋简体" w:cs="宋体"/>
          <w:color w:val="000000"/>
          <w:kern w:val="0"/>
          <w:sz w:val="32"/>
          <w:szCs w:val="32"/>
        </w:rPr>
        <w:t>升级“黄埔人才卡”服务，推行项目申报靶向匹配、“一对一”辅导，人才证照到期提前提醒及协助办理，探索提供定点商户消费折扣等优惠服务。创设“黄埔礼遇卡”，为重点招商对象从招商洽谈到项目落地提供与高层次人才同等的礼遇服务，且涵盖免费接送机等服务内容，部分服务扩大覆盖博士、博士后等青年人才。实施租售并举、分级保障，综合运用免费居住、购房补贴、住房补贴等方式，强化多元化人才住房保障。产业紧缺骨干人才，或具有全日制本科学历和学士学位、中级专业技术职称、国家职业资格证、职业技能等级证二级技能等级及以上的人才，或符合条件的港澳青年，可申请人才住房并享受租金补贴。试点配售型保障性住房，3年筹集建设不少于1500套。划定区属国企租赁住房物业总建筑面积不少于10%纳入住房保障体系，按照区住房保障部门明确的指导价格、保障对象，由承担区保障性住房具体运营职能的实施机构统一出租运营。非本市户籍的高层次人才、博士后、博士等人才子女申请就读学前和义务教育阶段学校的，统筹协调在其居住地相对较近的学校就读，享受户籍学生同等待遇。</w:t>
      </w:r>
    </w:p>
    <w:p w14:paraId="04A173D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四、金融赋能增值服务</w:t>
      </w:r>
    </w:p>
    <w:p w14:paraId="16B7E5B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12．深化风投创投服务。</w:t>
      </w:r>
      <w:r>
        <w:rPr>
          <w:rFonts w:hint="eastAsia" w:ascii="Times New Roman" w:hAnsi="Times New Roman" w:eastAsia="方正仿宋简体" w:cs="宋体"/>
          <w:color w:val="000000"/>
          <w:kern w:val="0"/>
          <w:sz w:val="32"/>
          <w:szCs w:val="32"/>
        </w:rPr>
        <w:t>开展“投贷联动”，鼓励和引导银行金融机构通过搭建“创投+银行+企业”联动平台或“综合授信+股权直投”等方式提供“耐心资本”。建立国有资本投资容错容亏及尽职免责机制，支持区属国企对设立的投早投小基金按整个生命周期予以评定。</w:t>
      </w:r>
    </w:p>
    <w:p w14:paraId="02BBE7E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13．促进融资精准对接。</w:t>
      </w:r>
      <w:r>
        <w:rPr>
          <w:rFonts w:hint="eastAsia" w:ascii="Times New Roman" w:hAnsi="Times New Roman" w:eastAsia="方正仿宋简体" w:cs="宋体"/>
          <w:color w:val="000000"/>
          <w:kern w:val="0"/>
          <w:sz w:val="32"/>
          <w:szCs w:val="32"/>
        </w:rPr>
        <w:t>推广“企业创新积分制”，为企业创新能力和成长经营能力精准画像，引导金融机构、投资机构等为科技型企业提供金融支持，并拓展在科技政策、股权投资、企业上市等方面应用。鼓励实施整链授信，引导金融机构开展应收账款、订单仓单等质押贷款业务，加大对重点产业链核心企业和链属中小微企业的供应链金融服务。</w:t>
      </w:r>
    </w:p>
    <w:p w14:paraId="088E239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五、科创驱动增值服务</w:t>
      </w:r>
    </w:p>
    <w:p w14:paraId="5B3CA21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14．强化知识产权创造运用。</w:t>
      </w:r>
      <w:r>
        <w:rPr>
          <w:rFonts w:hint="eastAsia" w:ascii="Times New Roman" w:hAnsi="Times New Roman" w:eastAsia="方正仿宋简体" w:cs="宋体"/>
          <w:color w:val="000000"/>
          <w:kern w:val="0"/>
          <w:sz w:val="32"/>
          <w:szCs w:val="32"/>
        </w:rPr>
        <w:t>建立高校、科研机构与企业专利开放许可合作点，支持国有企业采用“开放许可”方式，加大对产业链上下游中小微企业的专利技术许可力度。围绕专利等科技成果在转化过程中存在无法准确估值或定价难题，探索“科技成果+认股权”创新模式，促进专利产业化。支持企事业单位独立或联合建设高价值专利培育布局中心，每年评定不超过20家。</w:t>
      </w:r>
    </w:p>
    <w:p w14:paraId="6E805E2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15．提升科创服务质效。</w:t>
      </w:r>
      <w:r>
        <w:rPr>
          <w:rFonts w:hint="eastAsia" w:ascii="Times New Roman" w:hAnsi="Times New Roman" w:eastAsia="方正仿宋简体" w:cs="宋体"/>
          <w:color w:val="000000"/>
          <w:kern w:val="0"/>
          <w:sz w:val="32"/>
          <w:szCs w:val="32"/>
        </w:rPr>
        <w:t>深化“一榜、一会、一机制”管理模式，梳理发布大院大所研发成果产出榜单和技术转移转让清单，组织技术成果对接会；优化大院大所市场化绩效评价体系，完善扶持政策动态调整机制和研发机构淘汰退出机制。搭建中小微企业互助研发中试平台，推动研发中试资源共享互惠，带动各种类型的研发中试富余资源发挥作用，向中小微企业开放应用场景和试验环境，在仪器设备、科研人员、技术攻关、研发合作等方面开放共享。</w:t>
      </w:r>
    </w:p>
    <w:p w14:paraId="348C351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六、供需对接增值服务</w:t>
      </w:r>
    </w:p>
    <w:p w14:paraId="3CDBD155">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16．完善供需对接平台。</w:t>
      </w:r>
      <w:r>
        <w:rPr>
          <w:rFonts w:hint="eastAsia" w:ascii="Times New Roman" w:hAnsi="Times New Roman" w:eastAsia="方正仿宋简体" w:cs="宋体"/>
          <w:color w:val="000000"/>
          <w:kern w:val="0"/>
          <w:sz w:val="32"/>
          <w:szCs w:val="32"/>
        </w:rPr>
        <w:t>通过“埔企通”平台为企业提供产品服务展示和需求管理等服务。打造“黄埔工业企业交易会”品牌，分行业组织产业链专场供需对接会。搭建产业链交流、资源共享、优势互补、营销提升、渠道拓展等强企平台，强化人才纽带作用，为中小微企业链接区内资源，推进成果转化和市场拓展，推动中小微企业抱团成长。</w:t>
      </w:r>
    </w:p>
    <w:p w14:paraId="5CFD08A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17．促进创新产品应用推广。</w:t>
      </w:r>
      <w:r>
        <w:rPr>
          <w:rFonts w:hint="eastAsia" w:ascii="Times New Roman" w:hAnsi="Times New Roman" w:eastAsia="方正仿宋简体" w:cs="宋体"/>
          <w:color w:val="000000"/>
          <w:kern w:val="0"/>
          <w:sz w:val="32"/>
          <w:szCs w:val="32"/>
        </w:rPr>
        <w:t>分行业制定区级创新产品、创新技术、创新工艺、创新材料4个自主创新目录，加大宣传推介和政府采购力度。围绕产业特点和场景资源打造若干应用试验场，定期发布应用试验场清单，优先支持4个自主创新目录产品应用和市场对接。</w:t>
      </w:r>
    </w:p>
    <w:p w14:paraId="7C4040B9">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18．强化展会助企服务。</w:t>
      </w:r>
      <w:r>
        <w:rPr>
          <w:rFonts w:hint="eastAsia" w:ascii="Times New Roman" w:hAnsi="Times New Roman" w:eastAsia="方正仿宋简体" w:cs="宋体"/>
          <w:color w:val="000000"/>
          <w:kern w:val="0"/>
          <w:sz w:val="32"/>
          <w:szCs w:val="32"/>
        </w:rPr>
        <w:t>梳理各类展会信息面向企业发布，选择部分参展集中度较高的境内外展会，协助提供商事认证、涉外商事法律咨询、展会对接、知识产权风险排查等服务。对接设立“黄埔名品”专区，集中展示参展企业和产品。</w:t>
      </w:r>
    </w:p>
    <w:p w14:paraId="318BD58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七、法治护航增值服务</w:t>
      </w:r>
    </w:p>
    <w:p w14:paraId="164C6AA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19．强化企业合法权益保护。</w:t>
      </w:r>
      <w:r>
        <w:rPr>
          <w:rFonts w:hint="eastAsia" w:ascii="Times New Roman" w:hAnsi="Times New Roman" w:eastAsia="方正仿宋简体" w:cs="宋体"/>
          <w:color w:val="000000"/>
          <w:kern w:val="0"/>
          <w:sz w:val="32"/>
          <w:szCs w:val="32"/>
        </w:rPr>
        <w:t>打造知识产权法治保护服务中心，整合各类知识产权保护和服务机构资源，集成化提供知识产权布局指导、知识产权纠纷调解、知识产权海外侵权纠纷应对、知识产权保险、商业秘密保护等专业服务。依托区综治中心，借助司法部门和法律机构等资源，构建“枫桥式”涉企纠纷多元调解联动工作机制，切实维护企业合法权益。</w:t>
      </w:r>
    </w:p>
    <w:p w14:paraId="0BA4C19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20．实施包容审慎监管。</w:t>
      </w:r>
      <w:r>
        <w:rPr>
          <w:rFonts w:hint="eastAsia" w:ascii="Times New Roman" w:hAnsi="Times New Roman" w:eastAsia="方正仿宋简体" w:cs="宋体"/>
          <w:color w:val="000000"/>
          <w:kern w:val="0"/>
          <w:sz w:val="32"/>
          <w:szCs w:val="32"/>
        </w:rPr>
        <w:t>针对新业态、新模式、新产业、新热点等国家尚未出台法律法规的领域，实施包容审慎监管。健全完善市场监管、知识产权、卫生健康、城市管理、安全生产、劳动保障监察等领域行政处罚减免责清单，对初次违反且危害后果轻微并及时改正的依法不予行政处罚，在实施行政管理过程中优先采取说服教育、行政建议、行政指导、行政约谈、行政告诫等柔性措施。</w:t>
      </w:r>
    </w:p>
    <w:p w14:paraId="242B9D0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八、开放合作增值服务</w:t>
      </w:r>
    </w:p>
    <w:p w14:paraId="4CA9E89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21．强化“一站式”涉外服务。</w:t>
      </w:r>
      <w:r>
        <w:rPr>
          <w:rFonts w:hint="eastAsia" w:ascii="Times New Roman" w:hAnsi="Times New Roman" w:eastAsia="方正仿宋简体" w:cs="宋体"/>
          <w:color w:val="000000"/>
          <w:kern w:val="0"/>
          <w:sz w:val="32"/>
          <w:szCs w:val="32"/>
        </w:rPr>
        <w:t>打造涉外服务专区，整合涉企部门、中介机构等资源，集中提供证件办理、生活便利等服务，实现涉外服务“一窗受理、一站服务”。搭建外贸综合服务平台，提供报关、报税、收汇、融资等服务，推动跨境电商“阳光化”发展。</w:t>
      </w:r>
    </w:p>
    <w:p w14:paraId="1E88545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22．提升跨境通关效率。</w:t>
      </w:r>
      <w:r>
        <w:rPr>
          <w:rFonts w:hint="eastAsia" w:ascii="Times New Roman" w:hAnsi="Times New Roman" w:eastAsia="方正仿宋简体" w:cs="宋体"/>
          <w:color w:val="000000"/>
          <w:kern w:val="0"/>
          <w:sz w:val="32"/>
          <w:szCs w:val="32"/>
        </w:rPr>
        <w:t>推广“锚地直提”等监管模式。探索推广全球供应链中心业务模式，支持重点供应链企业跨境快速通关。推动香水、喷雾等化妆品跨境电商保税进口业务试点，提高仓储专业化水平和部门协同监管能力。对进口真空包装元器件、大型设备、特殊物品等口岸不具备检查条件或不适宜在口岸开拆检查的货物可先提离口岸，到属地实施检查。围绕低空飞行、生物医药等新业态新产品，推动通关标准与规则创新，促进创新产品快捷通关。</w:t>
      </w:r>
    </w:p>
    <w:p w14:paraId="3A694CF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九、惠企专项增值服务</w:t>
      </w:r>
    </w:p>
    <w:p w14:paraId="1C519D4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23．拓展惠企政策智配快享。</w:t>
      </w:r>
      <w:r>
        <w:rPr>
          <w:rFonts w:hint="eastAsia" w:ascii="Times New Roman" w:hAnsi="Times New Roman" w:eastAsia="方正仿宋简体" w:cs="宋体"/>
          <w:color w:val="000000"/>
          <w:kern w:val="0"/>
          <w:sz w:val="32"/>
          <w:szCs w:val="32"/>
        </w:rPr>
        <w:t>打造惠企政策智能匹配服务平台，运用大数据对企业进行全息画像，搭建政策寻企场景，为企业筛选出高匹配度政策并精准推送，实现惠企政策智配、直达、快享。</w:t>
      </w:r>
    </w:p>
    <w:p w14:paraId="21FCB59D">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24．推广税务专属服务。</w:t>
      </w:r>
      <w:r>
        <w:rPr>
          <w:rFonts w:hint="eastAsia" w:ascii="Times New Roman" w:hAnsi="Times New Roman" w:eastAsia="方正仿宋简体" w:cs="宋体"/>
          <w:color w:val="000000"/>
          <w:kern w:val="0"/>
          <w:sz w:val="32"/>
          <w:szCs w:val="32"/>
        </w:rPr>
        <w:t>为区内世界五百强、上市企业、独角兽企业、瞪羚企业、小巨人企业、专精特新企业、埔商会企业、百千万企业、拟上市公司、区属集团十大类企业提供“专人服务管家、专门服务渠道、专项需求征集、专有服务通道、专题政策推送、专业诉求响应”的六项专属服务。</w:t>
      </w:r>
    </w:p>
    <w:p w14:paraId="788057CC">
      <w:pPr>
        <w:widowControl/>
        <w:spacing w:line="540" w:lineRule="atLeast"/>
        <w:ind w:firstLine="480"/>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25．拓展新型助企服务。</w:t>
      </w:r>
      <w:r>
        <w:rPr>
          <w:rFonts w:hint="eastAsia" w:ascii="Times New Roman" w:hAnsi="Times New Roman" w:eastAsia="方正仿宋简体" w:cs="宋体"/>
          <w:color w:val="000000"/>
          <w:kern w:val="0"/>
          <w:sz w:val="32"/>
          <w:szCs w:val="32"/>
        </w:rPr>
        <w:t>依托区政务服务中心、融媒体中心等，打造面向企业开放使用的网络直播间，为企业提供政策宣讲、政务咨询、直播带岗、直播带货等网络直播服务。推广实施企业服务专员制度，为企业提供“专人对接、一口协调、全跟到底”服务模式。支持行业商协会集聚各类资源，促进资源共享，为企业提供业务咨询、人员培训、纠纷调解、政策宣传等专业化服务。</w:t>
      </w:r>
    </w:p>
    <w:p w14:paraId="4C76B3F6">
      <w:pPr>
        <w:widowControl/>
        <w:spacing w:line="540" w:lineRule="atLeast"/>
        <w:ind w:firstLine="480"/>
        <w:jc w:val="left"/>
        <w:rPr>
          <w:rFonts w:hint="eastAsia" w:ascii="Times New Roman" w:hAnsi="Times New Roman" w:eastAsia="方正仿宋简体" w:cs="宋体"/>
          <w:color w:val="000000"/>
          <w:kern w:val="0"/>
          <w:sz w:val="32"/>
          <w:szCs w:val="32"/>
        </w:rPr>
      </w:pPr>
    </w:p>
    <w:p w14:paraId="03D20C5B">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广州市南沙区农业农村局印发关于支持南沙区渔业产业园发展的若干措施（修订）的通知</w:t>
      </w:r>
    </w:p>
    <w:p w14:paraId="10D0B2FE">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各相关单位：</w:t>
      </w:r>
    </w:p>
    <w:p w14:paraId="5B1C856C">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现将《关于支持南沙区渔业产业园发展的若干措施（修订）》印发给你们，请认真组织实施。实施过程中遇到问题，请径向区农业农村局反映。</w:t>
      </w:r>
    </w:p>
    <w:p w14:paraId="7BA4E288">
      <w:pPr>
        <w:widowControl/>
        <w:spacing w:after="144" w:line="288" w:lineRule="atLeast"/>
        <w:jc w:val="left"/>
        <w:rPr>
          <w:rFonts w:hint="eastAsia" w:ascii="Times New Roman" w:hAnsi="Times New Roman" w:eastAsia="方正仿宋简体" w:cs="宋体"/>
          <w:color w:val="000000"/>
          <w:kern w:val="0"/>
          <w:sz w:val="32"/>
          <w:szCs w:val="32"/>
        </w:rPr>
      </w:pPr>
    </w:p>
    <w:p w14:paraId="361B2D87">
      <w:pPr>
        <w:widowControl/>
        <w:spacing w:after="144"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广州市南沙区农业农村局</w:t>
      </w:r>
    </w:p>
    <w:p w14:paraId="0ED2F7B1">
      <w:pPr>
        <w:widowControl/>
        <w:spacing w:after="144"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2024年11月5日</w:t>
      </w:r>
    </w:p>
    <w:p w14:paraId="49F8C5D9">
      <w:pPr>
        <w:widowControl/>
        <w:spacing w:after="144" w:line="288" w:lineRule="atLeast"/>
        <w:rPr>
          <w:rFonts w:hint="eastAsia" w:ascii="Times New Roman" w:hAnsi="Times New Roman" w:eastAsia="方正仿宋简体" w:cs="宋体"/>
          <w:color w:val="000000"/>
          <w:kern w:val="0"/>
          <w:sz w:val="32"/>
          <w:szCs w:val="32"/>
        </w:rPr>
      </w:pPr>
    </w:p>
    <w:p w14:paraId="3E33055C">
      <w:pPr>
        <w:widowControl/>
        <w:spacing w:after="144"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关于支持南沙区渔业产业园发展的若干措施</w:t>
      </w:r>
    </w:p>
    <w:p w14:paraId="605486BC">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加快推进广州市南沙区渔业产业园（以下简称“产业园”）建设，提升农业集聚效应，促进农业供给侧结构性改革，提高本区农业竞争力，根据《广东省现代农业产业园财政资金管理规定》的文件精神，按照《南沙区现代农业产业园财政补助资金管理规定》，结合渔业产业园建设实际情况，制定扶持渔业产业园发展的若干措施。</w:t>
      </w:r>
    </w:p>
    <w:p w14:paraId="743AB783">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第一条</w:t>
      </w:r>
      <w:r>
        <w:rPr>
          <w:rFonts w:hint="eastAsia" w:ascii="Times New Roman" w:hAnsi="Times New Roman" w:eastAsia="方正仿宋简体" w:cs="宋体"/>
          <w:color w:val="000000"/>
          <w:kern w:val="0"/>
          <w:sz w:val="32"/>
          <w:szCs w:val="32"/>
        </w:rPr>
        <w:t>【适用范围及实施主体】</w:t>
      </w:r>
    </w:p>
    <w:p w14:paraId="47566290">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（一）适用范围：万顷沙镇广州南沙现代农业产业集团公司辖区内，北至十六围、南至二十一围约3.9万亩，具体按批复的产业园规划占地面积为准。</w:t>
      </w:r>
    </w:p>
    <w:p w14:paraId="1006B115">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（二）实施主体（扶持对象）应同时符合以下条件：</w:t>
      </w:r>
    </w:p>
    <w:p w14:paraId="3C0086D4">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1.在南沙从事与渔业发展相关联的企业（组织）。如：渔业科研机构、产业化联合体、农民专业合作社、渔业发展与服务平台型企业等。</w:t>
      </w:r>
    </w:p>
    <w:p w14:paraId="23B7B337">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2.产业园内自有土地或租赁合同剩余年限不低于2年。</w:t>
      </w:r>
    </w:p>
    <w:p w14:paraId="65DF2311">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3.按照产业园（经省政府批准，详见粤农农办〔2019〕466号文）创建方案，产业园建设的牵头实施主体为广州南沙现代农业产业集团公司（原广州南沙围垦开发公司）。</w:t>
      </w:r>
    </w:p>
    <w:p w14:paraId="3FD7ADD0">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第二条</w:t>
      </w:r>
      <w:r>
        <w:rPr>
          <w:rFonts w:hint="eastAsia" w:ascii="Times New Roman" w:hAnsi="Times New Roman" w:eastAsia="方正仿宋简体" w:cs="宋体"/>
          <w:color w:val="000000"/>
          <w:kern w:val="0"/>
          <w:sz w:val="32"/>
          <w:szCs w:val="32"/>
        </w:rPr>
        <w:t>【一般项目扶持】</w:t>
      </w:r>
    </w:p>
    <w:p w14:paraId="334815DD">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实施主体编制产业园规划设计、建设方案；组织相关峰会；进行新品种新技术研发推广；建立营销渠道、创建品牌等非工程类项目，区财政按照项目总投资不超过45%给予补助,单个项目区级财政补助金额不超过300万元。</w:t>
      </w:r>
    </w:p>
    <w:p w14:paraId="2C76C00E">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第三条</w:t>
      </w:r>
      <w:r>
        <w:rPr>
          <w:rFonts w:hint="eastAsia" w:ascii="Times New Roman" w:hAnsi="Times New Roman" w:eastAsia="方正仿宋简体" w:cs="宋体"/>
          <w:color w:val="000000"/>
          <w:kern w:val="0"/>
          <w:sz w:val="32"/>
          <w:szCs w:val="32"/>
        </w:rPr>
        <w:t>【设施建设项目扶持】</w:t>
      </w:r>
    </w:p>
    <w:p w14:paraId="1B8263B8">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实施主体建设供水供电、核心区道路改造、渔业生产加工设施等项目，区财政按照项目总投资不超过45%给予补助,单个项目区级财政补助金额不超过300万元。</w:t>
      </w:r>
    </w:p>
    <w:p w14:paraId="5B252BF3">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牵头实施主体或其他单位投资建设园区公共基础设施的，最高可申请全额财政补助资金，报领导小组办公室审定后实施。</w:t>
      </w:r>
    </w:p>
    <w:p w14:paraId="69B0EB9C">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第四条</w:t>
      </w:r>
      <w:r>
        <w:rPr>
          <w:rFonts w:hint="eastAsia" w:ascii="Times New Roman" w:hAnsi="Times New Roman" w:eastAsia="方正仿宋简体" w:cs="宋体"/>
          <w:color w:val="000000"/>
          <w:kern w:val="0"/>
          <w:sz w:val="32"/>
          <w:szCs w:val="32"/>
        </w:rPr>
        <w:t>【科技创新奖】</w:t>
      </w:r>
    </w:p>
    <w:p w14:paraId="084F75CE">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实施主体新培育并通过国家级新品种审定的，每个新品种一次性给予50万元的奖励。同一品种获得国家级新品种审定的，按就高不重复原则进行奖励。</w:t>
      </w:r>
    </w:p>
    <w:p w14:paraId="4862F7DF">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第五条</w:t>
      </w:r>
      <w:r>
        <w:rPr>
          <w:rFonts w:hint="eastAsia" w:ascii="Times New Roman" w:hAnsi="Times New Roman" w:eastAsia="方正仿宋简体" w:cs="宋体"/>
          <w:color w:val="000000"/>
          <w:kern w:val="0"/>
          <w:sz w:val="32"/>
          <w:szCs w:val="32"/>
        </w:rPr>
        <w:t>【品牌发展扶持】</w:t>
      </w:r>
    </w:p>
    <w:p w14:paraId="2E412F53">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实施主体成功申报国家级、省级、市级农业龙头企业，分别一次性给予60万元、40万元、20万元的奖励，每次复检合格分别一次性给予10万元、8万元、6万元奖励。</w:t>
      </w:r>
    </w:p>
    <w:p w14:paraId="29C77979">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实施主体成功申报国家级、省级、市级良种场的渔业企业，分别一次性给予20万元、10万元、5万元的奖励。</w:t>
      </w:r>
    </w:p>
    <w:p w14:paraId="7B928821">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实施主体成功申报国家级（包括粤港澳大湾区）、省级“菜篮子”基地称号的渔业企业，分别一次性给予30万元、10万元的奖励。</w:t>
      </w:r>
    </w:p>
    <w:p w14:paraId="78714558">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实施主体成功申报国家级、省级健康养殖示范场称号的渔业企业，一次性给予补助10万元、8万元。</w:t>
      </w:r>
    </w:p>
    <w:p w14:paraId="4CF5D96D">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实施主体新获得供港澳资质的渔业企业，一次性给予补助10万元，并可凭申请提供集中报检、一站式检验检疫等服务。</w:t>
      </w:r>
    </w:p>
    <w:p w14:paraId="6B119A36">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第六条</w:t>
      </w:r>
      <w:r>
        <w:rPr>
          <w:rFonts w:hint="eastAsia" w:ascii="Times New Roman" w:hAnsi="Times New Roman" w:eastAsia="方正仿宋简体" w:cs="宋体"/>
          <w:color w:val="000000"/>
          <w:kern w:val="0"/>
          <w:sz w:val="32"/>
          <w:szCs w:val="32"/>
        </w:rPr>
        <w:t>【政策性水产养殖保险扶持】</w:t>
      </w:r>
    </w:p>
    <w:p w14:paraId="6B0ECF55">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在园区内进行水产养殖生产活动的实施主体，给予政策性水产养殖保险自付保费部分50%补贴。</w:t>
      </w:r>
    </w:p>
    <w:p w14:paraId="5131D6EE">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第七条</w:t>
      </w:r>
      <w:r>
        <w:rPr>
          <w:rFonts w:hint="eastAsia" w:ascii="Times New Roman" w:hAnsi="Times New Roman" w:eastAsia="方正仿宋简体" w:cs="宋体"/>
          <w:color w:val="000000"/>
          <w:kern w:val="0"/>
          <w:sz w:val="32"/>
          <w:szCs w:val="32"/>
        </w:rPr>
        <w:t>【用地保障政策】</w:t>
      </w:r>
    </w:p>
    <w:p w14:paraId="65ACAF32">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在同等条件下，入园实施主体土地使用权期满优先续租。合同有效期结束前12个月，前3年亩产值达到3万元，第三年亩产值达到5万元以上，最长可续签6年（含本数）合同。</w:t>
      </w:r>
    </w:p>
    <w:p w14:paraId="24B42552">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入园企业的农民收入高于当地平均水平15%以上，在推进质量兴农、绿色兴农、品牌强农、产业竞争力等方面树立渔业现代化建设的标杆，社会效益、经济效益显著的，经领导小组审定，土地使用权期满后最长可续签12年（含本数）合同，并适当扩大续租面积。</w:t>
      </w:r>
    </w:p>
    <w:p w14:paraId="7BB733EF">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第八条</w:t>
      </w:r>
      <w:r>
        <w:rPr>
          <w:rFonts w:hint="eastAsia" w:ascii="Times New Roman" w:hAnsi="Times New Roman" w:eastAsia="方正仿宋简体" w:cs="宋体"/>
          <w:color w:val="000000"/>
          <w:kern w:val="0"/>
          <w:sz w:val="32"/>
          <w:szCs w:val="32"/>
        </w:rPr>
        <w:t>【产业园项目贷款贴息扶持】</w:t>
      </w:r>
    </w:p>
    <w:p w14:paraId="22D01C23">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实施主体在产业园贷款建设产业化项目的，可申请贷款贴息扶持。</w:t>
      </w:r>
    </w:p>
    <w:p w14:paraId="1588B05D">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第九条</w:t>
      </w:r>
      <w:r>
        <w:rPr>
          <w:rFonts w:hint="eastAsia" w:ascii="Times New Roman" w:hAnsi="Times New Roman" w:eastAsia="方正仿宋简体" w:cs="宋体"/>
          <w:color w:val="000000"/>
          <w:kern w:val="0"/>
          <w:sz w:val="32"/>
          <w:szCs w:val="32"/>
        </w:rPr>
        <w:t>【上市及集聚人才奖】</w:t>
      </w:r>
    </w:p>
    <w:p w14:paraId="2909A8AB">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产业园区内的企业上市及集聚人才奖，按广州市南沙新区（自贸片区）相关政策执行。</w:t>
      </w:r>
    </w:p>
    <w:p w14:paraId="3BB0CB49">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第十条</w:t>
      </w:r>
      <w:r>
        <w:rPr>
          <w:rFonts w:hint="eastAsia" w:ascii="Times New Roman" w:hAnsi="Times New Roman" w:eastAsia="方正仿宋简体" w:cs="宋体"/>
          <w:color w:val="000000"/>
          <w:kern w:val="0"/>
          <w:sz w:val="32"/>
          <w:szCs w:val="32"/>
        </w:rPr>
        <w:t>【特别贡献奖】</w:t>
      </w:r>
    </w:p>
    <w:p w14:paraId="5EB7AF17">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对具有重要带动作用或功能的企业和项目的有关奖励，由领导小组根据产业园区发展情况、区渔业发展需要，对具体情况进行研究确定，并予以奖补。</w:t>
      </w:r>
    </w:p>
    <w:p w14:paraId="5F2CB7B4">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第十一条</w:t>
      </w:r>
      <w:r>
        <w:rPr>
          <w:rFonts w:hint="eastAsia" w:ascii="Times New Roman" w:hAnsi="Times New Roman" w:eastAsia="方正仿宋简体" w:cs="宋体"/>
          <w:color w:val="000000"/>
          <w:kern w:val="0"/>
          <w:sz w:val="32"/>
          <w:szCs w:val="32"/>
        </w:rPr>
        <w:t>符合本措施规定的同一项目、同一事项同时符合本区其他扶持政策规定(含上级部门要求区配套或承担资金的政策规定)的，按照就高不重复的原则予以支持，另有规定的除外。</w:t>
      </w:r>
    </w:p>
    <w:p w14:paraId="74AF11B8">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第十二条</w:t>
      </w:r>
      <w:r>
        <w:rPr>
          <w:rFonts w:hint="eastAsia" w:ascii="Times New Roman" w:hAnsi="Times New Roman" w:eastAsia="方正仿宋简体" w:cs="宋体"/>
          <w:color w:val="000000"/>
          <w:kern w:val="0"/>
          <w:sz w:val="32"/>
          <w:szCs w:val="32"/>
        </w:rPr>
        <w:t>申报主体应按要求如实提供有关材料，不得弄虚作假。如果存在舞弊行为，一经查实，将取消奖励资格，3年内不得再申报。</w:t>
      </w:r>
    </w:p>
    <w:p w14:paraId="4C931493">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第十三条</w:t>
      </w:r>
      <w:r>
        <w:rPr>
          <w:rFonts w:hint="eastAsia" w:ascii="Times New Roman" w:hAnsi="Times New Roman" w:eastAsia="方正仿宋简体" w:cs="宋体"/>
          <w:color w:val="000000"/>
          <w:kern w:val="0"/>
          <w:sz w:val="32"/>
          <w:szCs w:val="32"/>
        </w:rPr>
        <w:t>本措施涉及数值“达到”“以上”“不少于”“不低于”“不高于”“不超过”的，均包含本数。除注明为其他币种外，本措施提到的货币单位，均以人民币计算。</w:t>
      </w:r>
    </w:p>
    <w:p w14:paraId="7D6955D4">
      <w:pPr>
        <w:widowControl/>
        <w:spacing w:after="144" w:line="420"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第十四条</w:t>
      </w:r>
      <w:r>
        <w:rPr>
          <w:rFonts w:hint="eastAsia" w:ascii="Times New Roman" w:hAnsi="Times New Roman" w:eastAsia="方正仿宋简体" w:cs="宋体"/>
          <w:color w:val="000000"/>
          <w:kern w:val="0"/>
          <w:sz w:val="32"/>
          <w:szCs w:val="32"/>
        </w:rPr>
        <w:t>本措施自印发之日起施行，有效期至2025年4月16日。2020年4月17日印发实施的《广州市南沙区农业农村局 广州市南沙区财政印发关于支持南沙区渔业产业园发展的若干措施的通知》（穗南农规字〔2020〕4号）同时废止。有效期内如遇法律、法规或有关政策调整变化的，从其规定。</w:t>
      </w:r>
    </w:p>
    <w:p w14:paraId="3D7EC1FF">
      <w:pPr>
        <w:widowControl/>
        <w:spacing w:after="144" w:line="288" w:lineRule="atLeas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39F90256">
      <w:pPr>
        <w:widowControl/>
        <w:spacing w:after="144"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公开方式：主动公开</w:t>
      </w:r>
    </w:p>
    <w:p w14:paraId="1D942A73">
      <w:pPr>
        <w:widowControl/>
        <w:spacing w:line="540" w:lineRule="atLeast"/>
        <w:ind w:firstLine="480"/>
        <w:jc w:val="left"/>
        <w:rPr>
          <w:rFonts w:hint="eastAsia" w:ascii="Times New Roman" w:hAnsi="Times New Roman" w:eastAsia="方正仿宋简体" w:cs="宋体"/>
          <w:color w:val="000000"/>
          <w:kern w:val="0"/>
          <w:sz w:val="32"/>
          <w:szCs w:val="32"/>
        </w:rPr>
      </w:pPr>
    </w:p>
    <w:p w14:paraId="28575B12">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广州市天河区科技工业和信息化局关于印发广州市天河区促进人工智能行业大模型产业高质量发展的若干政策措施的通知</w:t>
      </w:r>
    </w:p>
    <w:p w14:paraId="7BBFE90F">
      <w:pPr>
        <w:widowControl/>
        <w:spacing w:after="150" w:line="420" w:lineRule="atLeast"/>
        <w:jc w:val="left"/>
        <w:rPr>
          <w:rFonts w:hint="eastAsia" w:ascii="Times New Roman" w:hAnsi="Times New Roman" w:eastAsia="方正仿宋简体" w:cs="宋体"/>
          <w:color w:val="000000"/>
          <w:kern w:val="0"/>
          <w:sz w:val="32"/>
          <w:szCs w:val="32"/>
        </w:rPr>
      </w:pPr>
    </w:p>
    <w:p w14:paraId="5E7B1D19">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各街道办事处、区府直属各单位：</w:t>
      </w:r>
    </w:p>
    <w:p w14:paraId="19A4C91F">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《广州市天河区促进人工智能行业大模型产业高质量发展的若干政策措施》业经区委、区政府同意，现印发实施，请认真贯彻执行，执行过程中如遇问题，请径向区科工信局反映。</w:t>
      </w:r>
    </w:p>
    <w:p w14:paraId="5D9BAEE4">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特此通知。</w:t>
      </w:r>
    </w:p>
    <w:p w14:paraId="1BA2996C">
      <w:pPr>
        <w:widowControl/>
        <w:spacing w:after="150"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广州市天河区科技工业和信息化局</w:t>
      </w:r>
    </w:p>
    <w:p w14:paraId="0E6B052B">
      <w:pPr>
        <w:widowControl/>
        <w:spacing w:after="150" w:line="42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2024年11月6日</w:t>
      </w:r>
    </w:p>
    <w:p w14:paraId="562D43F5">
      <w:pPr>
        <w:widowControl/>
        <w:spacing w:line="540" w:lineRule="atLeast"/>
        <w:jc w:val="left"/>
        <w:rPr>
          <w:rFonts w:hint="eastAsia" w:ascii="Times New Roman" w:hAnsi="Times New Roman" w:eastAsia="方正仿宋简体" w:cs="宋体"/>
          <w:color w:val="000000"/>
          <w:kern w:val="0"/>
          <w:sz w:val="32"/>
          <w:szCs w:val="32"/>
        </w:rPr>
      </w:pPr>
    </w:p>
    <w:p w14:paraId="58D7DCF3">
      <w:pPr>
        <w:widowControl/>
        <w:spacing w:after="150" w:line="42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广州市天河区促进人工智能行业大模型产业高质量发展的若干政策措施</w:t>
      </w:r>
    </w:p>
    <w:p w14:paraId="6BC3912F">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贯彻落实党中央、国务院关于推动人工智能发展的决策部署，根据《国务院关于印发新一代人工智能发展规划的通知》（国发〔2017〕35号）、《国务院关于印发“十四五”数字经济发展规划的通知》（国发〔2021〕29号）等文件精神，结合天河区产业资源情况，推动天河区人工智能行业大模型产业高质量发展，打造有全国影响力的人工智能融合创新先行示范区，制定本措施。</w:t>
      </w:r>
    </w:p>
    <w:p w14:paraId="2ADCA6D2">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支持创新联合体建设</w:t>
      </w:r>
      <w:r>
        <w:rPr>
          <w:rFonts w:hint="eastAsia" w:ascii="Times New Roman" w:hAnsi="Times New Roman" w:eastAsia="方正仿宋简体" w:cs="宋体"/>
          <w:color w:val="000000"/>
          <w:kern w:val="0"/>
          <w:sz w:val="32"/>
          <w:szCs w:val="32"/>
        </w:rPr>
        <w:t>】鼓励有条件的人工智能行业大模型+企业牵头成立创新联合体，围绕人工智能核心关键技术研发和产业化应用，组织开展联合研发攻关、产教融合、成果转化等工作，支持在公共服务领域为创新联合体提供创新应用场景。</w:t>
      </w:r>
    </w:p>
    <w:p w14:paraId="28FA8C4B">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推进开源技术发展</w:t>
      </w:r>
      <w:r>
        <w:rPr>
          <w:rFonts w:hint="eastAsia" w:ascii="Times New Roman" w:hAnsi="Times New Roman" w:eastAsia="方正仿宋简体" w:cs="宋体"/>
          <w:color w:val="000000"/>
          <w:kern w:val="0"/>
          <w:sz w:val="32"/>
          <w:szCs w:val="32"/>
        </w:rPr>
        <w:t>】支持有条件的软件和信息技术服务业企业建设开源平台、开源社区、代码托管及开发测试平台等，经国家开放原子开源基金会认定且符合条件的开源平台，给予一次性最高200万元资金支持。</w:t>
      </w:r>
    </w:p>
    <w:p w14:paraId="78997935">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打造公共智能算力中心</w:t>
      </w:r>
      <w:r>
        <w:rPr>
          <w:rFonts w:hint="eastAsia" w:ascii="Times New Roman" w:hAnsi="Times New Roman" w:eastAsia="方正仿宋简体" w:cs="宋体"/>
          <w:color w:val="000000"/>
          <w:kern w:val="0"/>
          <w:sz w:val="32"/>
          <w:szCs w:val="32"/>
        </w:rPr>
        <w:t>】推动公共智能算力中心建设，为企业提供低时延、高吞吐、强安全的智能算力支撑。经国家、省、市认定的公共智能算力中心开展智算能力供给、数据资源对接、大模型应用落地等产业生态服务的，给予每家公共算力中心的运营单位每年支持最高不超过100万元。</w:t>
      </w:r>
    </w:p>
    <w:p w14:paraId="11CC0881">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强化算力要素供给</w:t>
      </w:r>
      <w:r>
        <w:rPr>
          <w:rFonts w:hint="eastAsia" w:ascii="Times New Roman" w:hAnsi="Times New Roman" w:eastAsia="方正仿宋简体" w:cs="宋体"/>
          <w:color w:val="000000"/>
          <w:kern w:val="0"/>
          <w:sz w:val="32"/>
          <w:szCs w:val="32"/>
        </w:rPr>
        <w:t>】鼓励算力供应商龙头企业集聚发展，提供优质智能算力支撑。对上一年度采购智能算力超过100万元的企业，按照实际购买金额的50%给予支持，每家企业每年支持最高不超过150万元。</w:t>
      </w:r>
    </w:p>
    <w:p w14:paraId="3875A642">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激励智能算法研发</w:t>
      </w:r>
      <w:r>
        <w:rPr>
          <w:rFonts w:hint="eastAsia" w:ascii="Times New Roman" w:hAnsi="Times New Roman" w:eastAsia="方正仿宋简体" w:cs="宋体"/>
          <w:color w:val="000000"/>
          <w:kern w:val="0"/>
          <w:sz w:val="32"/>
          <w:szCs w:val="32"/>
        </w:rPr>
        <w:t>】推动人工智能行业大模型+企业加快智能算法自主研发，对上一年度完成国家级生成式人工智能服务备案的人工智能行业大模型+企业，按照上一年度研发投入的10%给予支持，每家企业每年支持最高不超过100万元；对上一年度完成国家级互联网信息服务算法或深度合成服务算法备案的人工智能行业大模型+企业，按照上一年度研发投入的10%给予支持，每家企业每年支持最高不超过20万元。</w:t>
      </w:r>
    </w:p>
    <w:p w14:paraId="6F6CD693">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完善数据要素体系</w:t>
      </w:r>
      <w:r>
        <w:rPr>
          <w:rFonts w:hint="eastAsia" w:ascii="Times New Roman" w:hAnsi="Times New Roman" w:eastAsia="方正仿宋简体" w:cs="宋体"/>
          <w:color w:val="000000"/>
          <w:kern w:val="0"/>
          <w:sz w:val="32"/>
          <w:szCs w:val="32"/>
        </w:rPr>
        <w:t>】推动天河区数据要素市场体系建设，鼓励企业将数据产品以资产的形式纳入财务报表，对上一年度首次实现数据资源入表且入表金额超过50万元的软件和信息技术服务业企业，每家企业每年支持最高不超过5万元；鼓励企业积极开展场内数据交易，对上一年度交易金额累计达到50万元的软件和信息技术服务业企业，按照上一年度场内交易金额的10%给予支持，每家企业每年支持最高不超过10万元。</w:t>
      </w:r>
    </w:p>
    <w:p w14:paraId="79051530">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w:t>
      </w: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附则</w:t>
      </w:r>
      <w:r>
        <w:rPr>
          <w:rFonts w:hint="eastAsia" w:ascii="Times New Roman" w:hAnsi="Times New Roman" w:eastAsia="方正仿宋简体" w:cs="宋体"/>
          <w:color w:val="000000"/>
          <w:kern w:val="0"/>
          <w:sz w:val="32"/>
          <w:szCs w:val="32"/>
        </w:rPr>
        <w:t>】</w:t>
      </w:r>
    </w:p>
    <w:p w14:paraId="2552FEEC">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一）本措施所扶持的软件和信息技术服务业以《国民经济行业分类（2017年版）》分类为标准，纳统标准以国家统计局发布的相关规定为准。人工智能行业大模型+企业是指从事人工智能行业大模型研究、开发、行业应用，或围绕人工智能行业大模型提供技术服务、解决方案等的软件和信息技术服务业企业。</w:t>
      </w:r>
    </w:p>
    <w:p w14:paraId="78ECE7A1">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二）本措施涉及“以上”“最高”“不超过”的数额，均包含本数，涉及“超过”的数额，均不包含本数。本措施涉及政策扶持资金来源为天河区财政资金，涉及奖补比例和限额均为上限，实际奖补比例和金额受年度预算控制。</w:t>
      </w:r>
    </w:p>
    <w:p w14:paraId="6B2F9F9B">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三）支持资金实行最高限额原则，对同一支持对象同一事项或同一项目同时符合本措施其他条款或天河区其他扶持政策措施的（含上级部门要求区级配套或负担资金的规定），按照“就高不重复”的原则执行，另有规定的除外。</w:t>
      </w:r>
    </w:p>
    <w:p w14:paraId="58F37F04">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（四）有下列情形之一的，不予资金支持：获扶持年度被列入严重失信主体名单；获扶持年度被公安机关查处或政策兑现时仍处于刑事立案侦查阶段的；申报或佐证材料弄虚作假的。</w:t>
      </w:r>
    </w:p>
    <w:p w14:paraId="5AE40613">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（五）获得本措施各项支持的涉税支出由企业或个人承担。</w:t>
      </w:r>
    </w:p>
    <w:p w14:paraId="1CC6D519">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（六）相关政策措施申报请登录广州市天河区政策兑现服务平台，政策申报指南和操作指引另行制定。</w:t>
      </w:r>
    </w:p>
    <w:p w14:paraId="407E9A2F">
      <w:pPr>
        <w:widowControl/>
        <w:spacing w:before="150"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（七）本措施自公布之日起30日后施行，有效期三年。有效期届满后，支持资金应当支付而未支付完毕的，应当继续执行直至全部支付完毕。</w:t>
      </w:r>
    </w:p>
    <w:p w14:paraId="6EAD874E">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br w:type="textWrapping"/>
      </w:r>
    </w:p>
    <w:p w14:paraId="01E914B2">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27A65B3A">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公开方式：主动公开</w:t>
      </w:r>
    </w:p>
    <w:p w14:paraId="40C5BBC9">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p>
    <w:p w14:paraId="4503FCA8">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广州市天河区科技工业和信息化局 　</w:t>
      </w:r>
    </w:p>
    <w:p w14:paraId="17FA3A0D">
      <w:pPr>
        <w:widowControl/>
        <w:spacing w:after="150" w:line="42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2024年11月6日印发</w:t>
      </w:r>
    </w:p>
    <w:p w14:paraId="4BAA1FA0">
      <w:pPr>
        <w:rPr>
          <w:rFonts w:ascii="Times New Roman" w:hAnsi="Times New Roman" w:eastAsia="方正仿宋简体" w:cs="Times New Roman"/>
          <w:color w:val="000000"/>
          <w:sz w:val="32"/>
          <w:szCs w:val="32"/>
        </w:rPr>
      </w:pPr>
    </w:p>
    <w:p w14:paraId="58254F5A">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rPr>
      </w:pPr>
      <w:r>
        <w:rPr>
          <w:rFonts w:hint="eastAsia" w:ascii="Times New Roman" w:hAnsi="Times New Roman" w:eastAsia="方正小标宋简体" w:cs="Times New Roman"/>
          <w:color w:val="000000"/>
          <w:spacing w:val="-10"/>
          <w:kern w:val="28"/>
          <w:sz w:val="44"/>
          <w:szCs w:val="56"/>
          <w:lang w:val="en-US" w:eastAsia="zh-CN" w:bidi="ar-SA"/>
        </w:rPr>
        <w:t>广州市人民政府办公厅关于印发加快推动氢能产业高质量发展若干措施的通知</w:t>
      </w:r>
    </w:p>
    <w:p w14:paraId="30E01FB0">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各区人民政府，市政府各部门、各直属机构：</w:t>
      </w:r>
    </w:p>
    <w:p w14:paraId="4DFB57A6">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《关于加快推动氢能产业高质量发展的若干措施》已经市人民政府同意，现印发给你们，请认真组织实施。实施中遇到问题，请径向市发展改革委反映。</w:t>
      </w:r>
    </w:p>
    <w:p w14:paraId="499C3EAB">
      <w:pPr>
        <w:widowControl/>
        <w:shd w:val="clear" w:color="auto" w:fill="FFFFFF"/>
        <w:spacing w:after="150"/>
        <w:rPr>
          <w:rFonts w:hint="eastAsia" w:ascii="Times New Roman" w:hAnsi="Times New Roman" w:eastAsia="方正仿宋简体" w:cs="宋体"/>
          <w:color w:val="000000"/>
          <w:kern w:val="0"/>
          <w:sz w:val="32"/>
          <w:szCs w:val="32"/>
        </w:rPr>
      </w:pPr>
    </w:p>
    <w:p w14:paraId="2E2B167B">
      <w:pPr>
        <w:widowControl/>
        <w:shd w:val="clear" w:color="auto" w:fill="FFFFFF"/>
        <w:spacing w:after="150"/>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广州市人民政府办公厅</w:t>
      </w:r>
    </w:p>
    <w:p w14:paraId="406E0276">
      <w:pPr>
        <w:widowControl/>
        <w:shd w:val="clear" w:color="auto" w:fill="FFFFFF"/>
        <w:spacing w:after="150"/>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2024年11月28日</w:t>
      </w:r>
    </w:p>
    <w:p w14:paraId="256C6921">
      <w:pPr>
        <w:widowControl/>
        <w:shd w:val="clear" w:color="auto" w:fill="FFFFFF"/>
        <w:spacing w:after="150"/>
        <w:jc w:val="center"/>
        <w:rPr>
          <w:rFonts w:hint="eastAsia" w:ascii="Times New Roman" w:hAnsi="Times New Roman" w:eastAsia="方正仿宋简体" w:cs="宋体"/>
          <w:color w:val="000000"/>
          <w:kern w:val="0"/>
          <w:sz w:val="32"/>
          <w:szCs w:val="32"/>
        </w:rPr>
      </w:pPr>
    </w:p>
    <w:p w14:paraId="480CCDB0">
      <w:pPr>
        <w:widowControl/>
        <w:shd w:val="clear" w:color="auto" w:fill="FFFFFF"/>
        <w:spacing w:after="150"/>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关于加快推动氢能产业高质量发展的若干措施</w:t>
      </w:r>
    </w:p>
    <w:p w14:paraId="10843844">
      <w:pPr>
        <w:widowControl/>
        <w:shd w:val="clear" w:color="auto" w:fill="FFFFFF"/>
        <w:spacing w:after="150"/>
        <w:jc w:val="left"/>
        <w:rPr>
          <w:rFonts w:hint="eastAsia" w:ascii="Times New Roman" w:hAnsi="Times New Roman" w:eastAsia="方正仿宋简体" w:cs="宋体"/>
          <w:color w:val="000000"/>
          <w:kern w:val="0"/>
          <w:sz w:val="32"/>
          <w:szCs w:val="32"/>
        </w:rPr>
      </w:pPr>
    </w:p>
    <w:p w14:paraId="6133D5BE">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落实国家“碳达峰、碳中和”发展战略，积极构建我市氢能产业体系，支持氢能产业持续健康发展，根据《氢能产业发展中长期规划（2021—2035年）》《广东省加快氢能产业创新发展的意见》等政策，结合我市实际，制定以下支持政策。</w:t>
      </w:r>
    </w:p>
    <w:p w14:paraId="5A0FC5A0">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　</w:t>
      </w:r>
      <w:r>
        <w:rPr>
          <w:rFonts w:hint="eastAsia" w:ascii="Times New Roman" w:hAnsi="Times New Roman" w:eastAsia="方正黑体简体" w:cs="方正黑体简体"/>
          <w:color w:val="000000"/>
          <w:kern w:val="0"/>
          <w:sz w:val="32"/>
          <w:szCs w:val="32"/>
        </w:rPr>
        <w:t>一、加大财政资金支持</w:t>
      </w:r>
    </w:p>
    <w:p w14:paraId="063F94C1">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统筹中央、省和市级财政资金，市级财政根据上级政策要求和全市氢能产业发展需要，按照每年一定规模安排氢能产业发展资金。（责任单位:市财政局）</w:t>
      </w:r>
    </w:p>
    <w:p w14:paraId="5760D86B">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二、提升氢气供应能力</w:t>
      </w:r>
    </w:p>
    <w:p w14:paraId="6FBFB399">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鼓励氢能企业积极探索集中采购、带量采购及与氢气供应企业建立战略合作关系等形式，有效降低氢气采购成本。（责任单位：市发展改革委、各区政府）</w:t>
      </w:r>
    </w:p>
    <w:p w14:paraId="7DAB2C40">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加快推进全市氢气规模化生产项目建设，积极引导制氢企业以有竞争力的氢气资源参与全市氢能产业高质量发展。鼓励加氢站内电解水制氢、生物质气化与裂解制氢、天然气重整制氢。支持发电企业利用低谷时段富余发电能力在厂区建设可中断电力电解水制氢项目和富余蒸汽热解制氢项目。（责任单位:市工业和信息化局、市应急管理局、市城市管理综合执法局）</w:t>
      </w:r>
    </w:p>
    <w:p w14:paraId="3391836A">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三、支持加氢站建设</w:t>
      </w:r>
    </w:p>
    <w:p w14:paraId="7521E8C1">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市级财政对建成并投入使用，且日加氢能力（按照压缩机每日工作12小时的加气能力计算）500公斤及以上加氢站给予建设补贴。其中，属于油（气）氢合建站、制氢加氢一体化综合能源站的，每站补贴100万元；属于其余固定式加氢站的，每站补贴50万元。鼓励各区根据实际情况对加氢站建设给予补贴，省、市、区各级财政补贴合计不超过500万元/站，且不超过加氢站固定资产投资50%。（责任单位：市城市管理综合执法局、各区政府）</w:t>
      </w:r>
    </w:p>
    <w:p w14:paraId="0DB2CC46">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四、支持加氢站运营</w:t>
      </w:r>
    </w:p>
    <w:p w14:paraId="7D2F35CE">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于数据接入国家、省、市燃料电池汽车示范应用相关信息化平台的加氢站予以运营补贴。对加氢站终端售价2024年底前低于30元/公斤的、终端售价2025年底前低于28元/公斤的、终端售价2026年底前低于26元/公斤的、终端售价2027年底前低于25元/公斤的，市级财政按照氢气实际销售量5元/公斤的标准补贴给加氢站，每站每年补贴不超过150万元。（责任单位：市城市管理综合执法局、各区政府）</w:t>
      </w:r>
    </w:p>
    <w:p w14:paraId="247A0E9F">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五、加强核心技术攻关</w:t>
      </w:r>
    </w:p>
    <w:p w14:paraId="085D05F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氢能产业企业承担科技部组织的国家重点研发计划任务，对通过广州市申报进入最后一轮答辩环节但未获国家立项的项目予以“递补支持”，每个项目定额支持100万元。支持氢能产业“链主”企业、龙头企业和领军企业聚焦产业发展痛点，链接科研院所、高等院校和各类科技企业，牵头组建体系化、任务型的创新联合体，联动行业上下游产学研用力量开展跨领域协作，攻克关键技术。（责任单位：市科技局）</w:t>
      </w:r>
    </w:p>
    <w:p w14:paraId="0F95B1EC">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六、推动关键零部件产业化</w:t>
      </w:r>
    </w:p>
    <w:p w14:paraId="2C46194F">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为广州获得国家燃料电池汽车示范城市群考核“关键零部件研发产业化”积分的企业给予财政资金奖励，参照国家综合评定奖励积分，原则上每1积分奖励5万元，每个企业同类产品获得中央、省级、市级奖励总额不超过5000万元。（责任单位：市发展改革委）</w:t>
      </w:r>
    </w:p>
    <w:p w14:paraId="76932A4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七、推动规模化应用</w:t>
      </w:r>
    </w:p>
    <w:p w14:paraId="315BE6C2">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满足国家综合评定奖励积分要求的前1万辆车辆（2021年8月13日后在广东省燃料电池汽车示范城市群内登记上牌的车辆，2021年8月13日前登记上牌的车辆按此前国家和省相关要求执行），数据已接入国家、省、市燃料电池汽车示范应用相关信息化平台，且不少于5项关键零部件在示范城市群内制造，按照燃料电池系统额定功率补贴3000元/千瓦（单车补贴最大功率不超过110千瓦，最小功率不低于50千瓦）。中央、省级、市级奖励资金按照1∶1∶1比例安排。对完成全省推广目标后的补贴标准另行制定。（责任单位：市发展改革委）</w:t>
      </w:r>
    </w:p>
    <w:p w14:paraId="2C7C266B">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八、支持产业集群发展</w:t>
      </w:r>
    </w:p>
    <w:p w14:paraId="57DE0C47">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氢燃料电池系统生产企业或整车企业牵头组建创新联合体，开展燃料电池国产关键零部件工程化验证应用。对通过市发展改革委组织的项目评审的创新联合体，每个补助资金2000万元，并支持创新联合体产品在本市推广应用。（责任单位：市发展改革委）</w:t>
      </w:r>
    </w:p>
    <w:p w14:paraId="6E5DFF60">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九、支持制造业项目落地</w:t>
      </w:r>
    </w:p>
    <w:p w14:paraId="0239D2EC">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氢能产业总投资10亿元以上的制造业项目，在省级对其新增实际固定资产投资额不超过2%比例普惠性投资奖励的基础上，市级财政给予1∶1配套扶持。对氢能产业立项投资额或总投资1亿—10亿元的制造业项目，按项目启动建设后年度固定资产投资总额的1%给予资金奖励，单个项目累计奖励金额最高不超过1000万元。（责任单位：市工业和信息化局）</w:t>
      </w:r>
    </w:p>
    <w:p w14:paraId="45CBD93F">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十、推动首台（套）应用</w:t>
      </w:r>
    </w:p>
    <w:p w14:paraId="6339AB2A">
      <w:pPr>
        <w:widowControl/>
        <w:shd w:val="clear" w:color="auto" w:fill="FFFFFF"/>
        <w:spacing w:after="150"/>
        <w:rPr>
          <w:rFonts w:hint="eastAsia" w:ascii="Times New Roman" w:hAnsi="Times New Roman" w:eastAsia="方正黑体简体" w:cs="方正黑体简体"/>
          <w:color w:val="000000"/>
          <w:kern w:val="0"/>
          <w:sz w:val="32"/>
          <w:szCs w:val="32"/>
        </w:rPr>
      </w:pPr>
      <w:r>
        <w:rPr>
          <w:rFonts w:hint="eastAsia" w:ascii="Times New Roman" w:hAnsi="Times New Roman" w:eastAsia="方正仿宋简体" w:cs="宋体"/>
          <w:color w:val="000000"/>
          <w:kern w:val="0"/>
          <w:sz w:val="32"/>
          <w:szCs w:val="32"/>
        </w:rPr>
        <w:t>　　定期修订《广州市首台（套）重点技术装备推广应用指导目录》，对符合支持条件的氢能产业首台（套）项目，不超过首台（套）装备售价（总成或核心部件按首批次产品销售额）30%给予奖励，成套装备奖励最高不超过500万元/套，单台设备奖励最高不超过300万元/台，总成或核心部件奖励最高不超过100万元/批。市级财政对于获得省级先进制造业发展专项资金首台（套）重大技术装备研制与推广奖励的国家级和省级目录产品项目，按1∶1比例按“免申即享”方式给予配套奖励，省、市两级奖励总额不超过首台（套）装备售价的50%。经认定实现国产替代的装备产品的前20台（套/批次），在首次实现销售起3年内，按不超过销售额30%给予奖励。（责任单位：市工业和信息化局）</w:t>
      </w:r>
    </w:p>
    <w:p w14:paraId="3A419FFA">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黑体简体" w:cs="方正黑体简体"/>
          <w:color w:val="000000"/>
          <w:kern w:val="0"/>
          <w:sz w:val="32"/>
          <w:szCs w:val="32"/>
        </w:rPr>
        <w:t>　　十一、支持车辆示范运营</w:t>
      </w:r>
    </w:p>
    <w:p w14:paraId="31AF8E5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按照对于数据接入国家、省、市燃料电池汽车示范应用相关信息化平台的轻型氢燃料电池车辆（总质量小于4.5吨）、中型氢燃料电池车辆（总质量4.5吨及以上，小于12吨）、重型氢燃料电池车辆（总质量12吨及以上）三种车型，在每个自然年内行驶里程最高按0.5元/公里、1.0元/公里、2.5元/公里予以运营补贴，不足1公里的按1公里计算。上述三种车型每年每车最高补贴额分别为2万元、4万元、10万元。本政策有效期内该项补贴总额不超过5亿元，每年根据年度申报数量、当年剩余额度动态调整每公里补贴标准。如需调整补贴标准的，按照行政规范性文件相关规定执行。（责任单位：市发展改革委）</w:t>
      </w:r>
    </w:p>
    <w:p w14:paraId="43EEEDC7">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　</w:t>
      </w:r>
      <w:r>
        <w:rPr>
          <w:rFonts w:hint="eastAsia" w:ascii="Times New Roman" w:hAnsi="Times New Roman" w:eastAsia="方正黑体简体" w:cs="方正黑体简体"/>
          <w:color w:val="000000"/>
          <w:kern w:val="0"/>
          <w:sz w:val="32"/>
          <w:szCs w:val="32"/>
        </w:rPr>
        <w:t>十二、实施交通绿色替代</w:t>
      </w:r>
    </w:p>
    <w:p w14:paraId="6D95C91E">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本市新增和更新的建筑废弃物运输车、混凝土搅拌车、环卫作业车、物流运输车使用氢燃料电池汽车。各行政主管部门支持企业在环卫、混凝土、渣土、冷链物流、综合货运等领域优先使用氢燃料电池车辆。市、区政府及国有企业投资的建筑工程项目或物流项目应积极使用氢燃料电池建筑废弃物运输车、混凝土搅拌车和物流运输车辆参与运输作业。鼓励通过融资租赁、汽车租赁等形式提升氢燃料电池汽车使用比例。（责任单位：市委金融办、市国资委、市城市管理综合执法局、市住房城乡建设局、市交通运输局，各区政府，广州环投集团）</w:t>
      </w:r>
    </w:p>
    <w:p w14:paraId="2E83D366">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十三、优化车辆通行环境</w:t>
      </w:r>
    </w:p>
    <w:p w14:paraId="793C3AE9">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氢燃料电池建筑废弃物运输车应用于非重点工程时，经各工程行政主管部门同意后可纳入重点工程余泥运输绿色通道工作机制，可在10:00至16:00按规定线路实施建筑余泥排放与运输，由交警部门对相关车辆予以登记。（责任单位：市公安局交通警察支队、市城市管理综合执法局、市交通运输局、市住房城乡建设局、市水务局，各区政府）</w:t>
      </w:r>
    </w:p>
    <w:p w14:paraId="1798E30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十四、开展多元化示范应用</w:t>
      </w:r>
    </w:p>
    <w:p w14:paraId="6A8717A2">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结合新建和改造通讯基站工程开展燃料电池通信基站备用电源示范应用，探索开展氢能动力船舶应用。因地制宜布局燃料电池分布式热电联供设施，建设固体氧化物燃料电池（SOFC）、质子交换膜燃料电池（PEMFC）等发电系统，市级财政按照1000元/千瓦标准进行奖励，每个项目不超过1000万元。（责任单位：市工业和信息化局、市发展改革委）</w:t>
      </w:r>
    </w:p>
    <w:p w14:paraId="309C4E6A">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　十五、鼓励标准制订</w:t>
      </w:r>
    </w:p>
    <w:p w14:paraId="20E051F7">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对主导氢能产业相关国际标准、国家标准、行业标准和地方标准制修订的，符合相关规定要求的，按照广州市质量发展与标准化战略专项资金管理办法给予资助。（责任单位：市市场监管局）</w:t>
      </w:r>
    </w:p>
    <w:p w14:paraId="2F70D2FA">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十六、推行碳减排激励</w:t>
      </w:r>
    </w:p>
    <w:p w14:paraId="7A6C977C">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氢能产业企业申报国家、省、市碳普惠方法学，科学开展碳减排效应核算和计算，用于清洁低碳制氢认证和其他相关认证。探索将清洁低碳氢能相关减排量纳入温室气体自愿减排交易市场的科学路径。研究支持将清洁低碳氢能终端应用相关减排量纳入温室气体自愿减排交易市场的激励措施。（责任单位：市生态环境局）</w:t>
      </w:r>
    </w:p>
    <w:p w14:paraId="31EF946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十七、强化金融支持</w:t>
      </w:r>
    </w:p>
    <w:p w14:paraId="76E6443B">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鼓励金融机构和地方金融组织加大对氢能产业和项目的支持，对符合广州市促进金融业高质量发展若干措施标准的给予相应奖励。（责任单位：市委金融办）</w:t>
      </w:r>
    </w:p>
    <w:p w14:paraId="416B0149">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充分发挥广州市“信易贷”平台作用，为符合条件的氢能产业企业提供融资信用服务。（责任单位：市发展改革委）</w:t>
      </w:r>
    </w:p>
    <w:p w14:paraId="111D11B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发挥科技型中小企业信贷风险损失补偿资金池作用，引导和鼓励商业银行加大对氢能产业科技信贷支持。（责任单位：市科技局）</w:t>
      </w:r>
    </w:p>
    <w:p w14:paraId="5E2FC7A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w:t>
      </w:r>
      <w:r>
        <w:rPr>
          <w:rFonts w:hint="eastAsia" w:ascii="Times New Roman" w:hAnsi="Times New Roman" w:eastAsia="方正黑体简体" w:cs="方正黑体简体"/>
          <w:color w:val="000000"/>
          <w:kern w:val="0"/>
          <w:sz w:val="32"/>
          <w:szCs w:val="32"/>
        </w:rPr>
        <w:t>　十八、加强人才引领驱动</w:t>
      </w:r>
    </w:p>
    <w:p w14:paraId="395F2083">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将氢能产业领域人才作为重点人才纳入“广聚英才”人才工程统筹安排。对入选“广聚英才”工程的氢能产业领域符合条件的人才提供住房保障、子女教育、医疗保健等方面服务。加大氢能产业相关人才培养力度，支持高校开展氢能相关专业和课程建设。发挥新型储能与氢能人才联合会积极作用，进一步强化专家智力支撑、产业环境和人才高地建设。（责任单位：市委组织部，市发展改革委、市科技局、市工业和信息化局、市人力资源社会保障局、市住房城乡建设局、市教育局、市卫生健康委、市医保局）</w:t>
      </w:r>
    </w:p>
    <w:p w14:paraId="08CD0698">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措施自印发之日起施行，有效期3年。适用于境内外投资者在广州市的氢能产业相关项目。各区各部门要认真做好配套政策出台工作。有效期间，若国家、省对氢能产业相关政策、标准和要求作出调整的，按照从新、就高、不重复的原则执行。</w:t>
      </w:r>
    </w:p>
    <w:p w14:paraId="6CE87695">
      <w:pPr>
        <w:widowControl/>
        <w:shd w:val="clear" w:color="auto" w:fill="FFFFFF"/>
        <w:spacing w:after="150"/>
        <w:rPr>
          <w:rFonts w:hint="eastAsia" w:ascii="Times New Roman" w:hAnsi="Times New Roman" w:eastAsia="方正仿宋简体" w:cs="宋体"/>
          <w:color w:val="000000"/>
          <w:kern w:val="0"/>
          <w:sz w:val="32"/>
          <w:szCs w:val="32"/>
        </w:rPr>
      </w:pPr>
    </w:p>
    <w:p w14:paraId="672FA9C8">
      <w:pPr>
        <w:widowControl/>
        <w:shd w:val="clear" w:color="auto" w:fill="FFFFFF"/>
        <w:spacing w:after="150"/>
        <w:rPr>
          <w:rFonts w:hint="eastAsia" w:ascii="Times New Roman" w:hAnsi="Times New Roman" w:eastAsia="方正仿宋简体" w:cs="宋体"/>
          <w:color w:val="000000"/>
          <w:kern w:val="0"/>
          <w:sz w:val="32"/>
          <w:szCs w:val="32"/>
        </w:rPr>
      </w:pPr>
    </w:p>
    <w:p w14:paraId="2E2EC9EB">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公开方式：主动公开</w:t>
      </w:r>
    </w:p>
    <w:p w14:paraId="4F47AE7E">
      <w:pPr>
        <w:widowControl/>
        <w:shd w:val="clear" w:color="auto" w:fill="FFFFFF"/>
        <w:spacing w:after="150"/>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广州市人民政府办公厅秘书处 2024年11月29日印发</w:t>
      </w:r>
    </w:p>
    <w:p w14:paraId="471FB14F">
      <w:pPr>
        <w:widowControl/>
        <w:shd w:val="clear" w:color="auto" w:fill="FFFFFF"/>
        <w:spacing w:after="150"/>
        <w:rPr>
          <w:rFonts w:hint="eastAsia" w:ascii="Times New Roman" w:hAnsi="Times New Roman" w:eastAsia="方正仿宋简体" w:cs="宋体"/>
          <w:color w:val="000000"/>
          <w:kern w:val="0"/>
          <w:sz w:val="32"/>
          <w:szCs w:val="32"/>
        </w:rPr>
      </w:pPr>
    </w:p>
    <w:p w14:paraId="0C738CC7">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广州市工业和信息化局关于印发《广州市互联网软件产业链高质量发展三年行动计划》的通知</w:t>
      </w:r>
    </w:p>
    <w:p w14:paraId="4A75EB2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各区政府，各有关单位：</w:t>
      </w:r>
    </w:p>
    <w:p w14:paraId="0CC7B55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经市人民政府同意，现将《广州市互联网软件产业链高质量发展三年行动计划》印发给你们，请遵照执行。执行中遇到问题，请径向市工业和信息化局反映。</w:t>
      </w:r>
    </w:p>
    <w:p w14:paraId="086C0085">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广州市工业和信息化局</w:t>
      </w:r>
    </w:p>
    <w:p w14:paraId="595C8EC2">
      <w:pPr>
        <w:widowControl/>
        <w:spacing w:line="480" w:lineRule="auto"/>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2024年12月5日</w:t>
      </w:r>
    </w:p>
    <w:p w14:paraId="0BE558E7">
      <w:pPr>
        <w:widowControl/>
        <w:spacing w:line="480" w:lineRule="auto"/>
        <w:jc w:val="right"/>
        <w:rPr>
          <w:rFonts w:hint="eastAsia" w:ascii="Times New Roman" w:hAnsi="Times New Roman" w:eastAsia="方正仿宋简体" w:cs="宋体"/>
          <w:color w:val="000000"/>
          <w:kern w:val="0"/>
          <w:sz w:val="32"/>
          <w:szCs w:val="32"/>
        </w:rPr>
      </w:pPr>
    </w:p>
    <w:p w14:paraId="6F109706">
      <w:pPr>
        <w:widowControl/>
        <w:spacing w:line="480" w:lineRule="auto"/>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广州市互联网软件产业链高质量发展三年行动计划</w:t>
      </w:r>
    </w:p>
    <w:p w14:paraId="22C41F9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深入贯彻习近平总书记关于制造强国、网络强国、数字中国的重要论述，积极适应产业基础高级化和产业链现代化的需求，稳步推进“链长制”助力产业高质量发展的工作部署，巩固提升互联网软件产业在全市经济发展中的核心支撑地位，结合我市发展优势和产业特色，提质升级中国软件名城，制定本行动计划。</w:t>
      </w:r>
    </w:p>
    <w:p w14:paraId="48919FC8">
      <w:pPr>
        <w:widowControl/>
        <w:spacing w:line="480" w:lineRule="auto"/>
        <w:rPr>
          <w:rFonts w:hint="eastAsia" w:ascii="Times New Roman" w:hAnsi="Times New Roman" w:eastAsia="方正黑体简体" w:cs="方正黑体简体"/>
          <w:color w:val="000000"/>
          <w:kern w:val="0"/>
          <w:sz w:val="32"/>
          <w:szCs w:val="32"/>
        </w:rPr>
      </w:pPr>
      <w:r>
        <w:rPr>
          <w:rFonts w:hint="eastAsia" w:ascii="Times New Roman" w:hAnsi="Times New Roman" w:eastAsia="方正黑体简体" w:cs="方正黑体简体"/>
          <w:color w:val="000000"/>
          <w:kern w:val="0"/>
          <w:sz w:val="32"/>
          <w:szCs w:val="32"/>
        </w:rPr>
        <w:t>　　一、工作目标</w:t>
      </w:r>
    </w:p>
    <w:p w14:paraId="2C76225A">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围绕重点产业链“固链、补链、强链、塑链”，把发展互联网软件产业作为经济社会全面信息化、数字化、智能化的战略引擎。坚持固本培元、实力赋能，夯实产业发展基础。坚持研发先行、技术革新，提质产业发展水平。坚持创新驱动、应用牵引，打造产业发展新高地。坚持开放合作、安全有序，带动开源文化发展，强化产业链安全保障能力。进一步打造创新能力强、产业规模大、产业布局完善的万亿级软件产业集群，成为辐射大湾区、引领全国、走向国际的世界软件创新名城。</w:t>
      </w:r>
    </w:p>
    <w:p w14:paraId="0B29DE3A">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到2026年，广州市互联网软件产业收入力争超过5500亿元，年均增长7%以上，培育建设1个中国软件名园，打造链条强韧的人工智能、信创、工业软件和工业互联网、区块链、数字创意、元宇宙等重点产业链集群。</w:t>
      </w:r>
    </w:p>
    <w:p w14:paraId="40D6713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黑体简体" w:cs="方正黑体简体"/>
          <w:color w:val="000000"/>
          <w:kern w:val="0"/>
          <w:sz w:val="32"/>
          <w:szCs w:val="32"/>
        </w:rPr>
        <w:t>二、发展方向</w:t>
      </w:r>
    </w:p>
    <w:p w14:paraId="05D0372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（一）强化技术平台，助力产业链高质量发展</w:t>
      </w:r>
    </w:p>
    <w:p w14:paraId="2CD7FF7F">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重视平台在互联网软件产业中的战略支点作用，大力推动信创、人工智能、区块链、云计算、大数据模型等关键平台软件的发展，深化供需结合，沉淀一批优秀的行业解决方案，为数字化转型提供坚实支撑。依托新型基础设施建设，打造高速、互连的算力网，构建通算中心、智算中心、超算中心三算融合调度的网格体系，赋能数字经济发展。</w:t>
      </w:r>
    </w:p>
    <w:p w14:paraId="33DDAFB9">
      <w:pPr>
        <w:widowControl/>
        <w:spacing w:line="480" w:lineRule="auto"/>
        <w:rPr>
          <w:rFonts w:hint="eastAsia" w:ascii="Times New Roman" w:hAnsi="Times New Roman" w:eastAsia="方正仿宋简体" w:cs="宋体"/>
          <w:b/>
          <w:bCs/>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（二）攻坚信创发展，提升产业链自主可控水平</w:t>
      </w:r>
    </w:p>
    <w:p w14:paraId="7C14A80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巩固信创在产业链自主创新的核心引擎地位，致力于攻坚基础软件领域的“卡脖子”难题，推动产品升级与技术迭代，将信创产品从“可用”向“好用”过渡，实现信息技术可掌控、可研究、可发展、可生产。搭建信创软硬件联合创新机制与适配验证平台，促进软件、硬件、应用与服务的融合。推进工业软件应用推广，促进自主创新发展。</w:t>
      </w:r>
    </w:p>
    <w:p w14:paraId="03F1D707">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（三）应用场景牵引，打造产业链发展新高地</w:t>
      </w:r>
    </w:p>
    <w:p w14:paraId="50957A3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全面激活应用场景，创新软件开发模式、展现形态、交互方式、经济效益、产业生态，孵化一批具有产业引领作用的应用产品。利用新一代信息技术，推动传统产业数字化升级，发展政务、金融、医疗、教育、交通、建筑、能源等重点行业领域数字化解决方案。面向社交、购物、互动娱乐、文化创意等开展数字化服务，发展“智能交互、沉浸体验”的新业态新模式。支持数字音乐、网络直播、数字内容、数字阅读等产品开发应用。</w:t>
      </w:r>
    </w:p>
    <w:p w14:paraId="37A57B3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w:t>
      </w:r>
      <w:r>
        <w:rPr>
          <w:rFonts w:hint="eastAsia" w:ascii="Times New Roman" w:hAnsi="Times New Roman" w:eastAsia="方正楷体简体" w:cs="方正楷体简体"/>
          <w:b/>
          <w:bCs/>
          <w:color w:val="000000"/>
          <w:kern w:val="0"/>
          <w:sz w:val="32"/>
          <w:szCs w:val="32"/>
        </w:rPr>
        <w:t>（四）深化广域布局，拓展产业链发展空间</w:t>
      </w:r>
    </w:p>
    <w:p w14:paraId="2E067DE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发挥产业集聚区与公共服务平台的协同效应，进一步完善“一区四园”的软件产业空间布局，聚力打造广州人工智能与数字经济试验区，提质升级天河软件园，打造海珠、黄埔、番禺、白云等特色鲜明的软件园区，积极争创中国软件名园，形成错位发展和梯次配套发展格局，擦亮中国软件名城招牌。</w:t>
      </w:r>
    </w:p>
    <w:p w14:paraId="27341F0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（五）促进开源开放，培育产业链创新生态</w:t>
      </w:r>
    </w:p>
    <w:p w14:paraId="37DF145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高度重视开源在构建产业生态与促进自主创新中的关键作用，积极培育开源软件项目，促进开源技术在各行业的广泛应用，打造以互联网为特色的开源开放发展城市。引导骨干企业部署一批基础性、前瞻性开源项目。鼓励开源产业发展与开源教育进行有机结合，推动高校开展开源活动，普及开源知识。围绕操作系统、人工智能、工业软件、信创、信息安全等重点领域，打造形成一批开源开放、创新融合、安全可靠、全国领先的开源生态产品。</w:t>
      </w:r>
    </w:p>
    <w:p w14:paraId="1928C0EA">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黑体简体" w:cs="方正黑体简体"/>
          <w:color w:val="000000"/>
          <w:kern w:val="0"/>
          <w:sz w:val="32"/>
          <w:szCs w:val="32"/>
        </w:rPr>
        <w:t>三、主要任务</w:t>
      </w:r>
    </w:p>
    <w:p w14:paraId="5CFD28D0">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（一）强基固本，基础固链</w:t>
      </w:r>
    </w:p>
    <w:p w14:paraId="5C164D62">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1.推动科技创新平台建设。</w:t>
      </w:r>
      <w:r>
        <w:rPr>
          <w:rFonts w:hint="eastAsia" w:ascii="Times New Roman" w:hAnsi="Times New Roman" w:eastAsia="方正仿宋简体" w:cs="宋体"/>
          <w:color w:val="000000"/>
          <w:kern w:val="0"/>
          <w:sz w:val="32"/>
          <w:szCs w:val="32"/>
        </w:rPr>
        <w:t>加快人工智能与数字经济广东省实验室（广州）建设，在智能制造与智能网联汽车、高端芯片、互联网经济与智慧金融等行业领域建立发展人工智能应用技术体系。加快白云湖数字科技城建设，推动建设国家网络和数据安全产业园、省数据要素集聚区，打造一批高质量的技术供给平台，推动建设一批云计算、边缘计算、信创软件及人工智能算力中心项目，打造新一代信息技术产业的核心基础设施和重要孵化平台，支持白云区元宇宙未来世界产业园打造元宇宙示范标杆平台。（牵头单位：市科技局、市政务和数据局、市工业和信息化局，配合单位：市发展改革委，各区政府）</w:t>
      </w:r>
    </w:p>
    <w:p w14:paraId="74BC9407">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2.强化新型基础设施建设。</w:t>
      </w:r>
      <w:r>
        <w:rPr>
          <w:rFonts w:hint="eastAsia" w:ascii="Times New Roman" w:hAnsi="Times New Roman" w:eastAsia="方正仿宋简体" w:cs="宋体"/>
          <w:color w:val="000000"/>
          <w:kern w:val="0"/>
          <w:sz w:val="32"/>
          <w:szCs w:val="32"/>
        </w:rPr>
        <w:t>推进网络强市建设，加快5G基站、人工智能公共算力中心等信息基础设施建设，实施“建链、上链、用链”工程，支持基于具有核心竞争力底链技术的区块链产品和应用研发。推动国家超级计算广州中心加快升级改造。推进广州市人工智能公共算力中心扩容工作。指导人工智能头部企业及智能算力基础服务商，共同发起广州人工智能算力应用及产业发展联盟。构建人工智能算力运行服务平台，助力企业高效对接算力供给资源。（牵头单位：市工业和信息化局、市科技局，配合单位：各区政府）</w:t>
      </w:r>
    </w:p>
    <w:p w14:paraId="03327BF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3.提升基础技术供给能力。</w:t>
      </w:r>
      <w:r>
        <w:rPr>
          <w:rFonts w:hint="eastAsia" w:ascii="Times New Roman" w:hAnsi="Times New Roman" w:eastAsia="方正仿宋简体" w:cs="宋体"/>
          <w:color w:val="000000"/>
          <w:kern w:val="0"/>
          <w:sz w:val="32"/>
          <w:szCs w:val="32"/>
        </w:rPr>
        <w:t>进一步加强共性技术平台建设，引导支持各产业领域龙头科技企业牵头组建概念验证中心或企业研究院等创新平台，根据市场需求搭建行业数据平台、知识图谱开放共享平台。推动人工智能骨干企业针对共性技术和重点行业应用，加强面向云端训练和终端执行的开发框架、算法库、工具集的研发与共享，打造软件、硬件、数据、应用协同的人工智能基础支撑。（牵头单位：市科技局，配合单位：各区政府）</w:t>
      </w:r>
    </w:p>
    <w:p w14:paraId="267FA2DD">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4.筑牢产业安全防护根基。</w:t>
      </w:r>
      <w:r>
        <w:rPr>
          <w:rFonts w:hint="eastAsia" w:ascii="Times New Roman" w:hAnsi="Times New Roman" w:eastAsia="方正仿宋简体" w:cs="宋体"/>
          <w:color w:val="000000"/>
          <w:kern w:val="0"/>
          <w:sz w:val="32"/>
          <w:szCs w:val="32"/>
        </w:rPr>
        <w:t>增强开源信创供应链安全保障能力，着力提升隐患排查、攻击发现、应急处置和攻击溯源能力。重点突破信息安全关键核心技术，支持强化安全网关、评估工具、威胁管理、应用监管、安全保密等信息安全产品的研发能力。推动安全咨询及集成、安全运维管理、安全测评及认证、安全风险评估、安全知识培训及新型信息安全服务产业发展。鼓励企业完善自身网络安全保障体系、数据安全管理机制，保障重要信息系统安全，将风险评估和管理工作前置，评估并及时整改潜在的网络漏洞和攻击。（牵头单位：市工业和信息化局）</w:t>
      </w:r>
    </w:p>
    <w:p w14:paraId="166E6F0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（二）攻坚破难，技术补链</w:t>
      </w:r>
    </w:p>
    <w:p w14:paraId="659D454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5.加快关键核心技术攻坚。</w:t>
      </w:r>
      <w:r>
        <w:rPr>
          <w:rFonts w:hint="eastAsia" w:ascii="Times New Roman" w:hAnsi="Times New Roman" w:eastAsia="方正仿宋简体" w:cs="宋体"/>
          <w:color w:val="000000"/>
          <w:kern w:val="0"/>
          <w:sz w:val="32"/>
          <w:szCs w:val="32"/>
        </w:rPr>
        <w:t>探索关键核心技术攻关新型举国体制的“广州路径”，实施重点领域研发计划，推进新一代信息技术发展。加强与国家、省工业软件重大项目衔接，深入推进工业软件关键核心技术攻关和成果转化。重点突破研发设计类等高端基础工业软件，形成涵盖全生命周期的行业应用软件及解决方案。加快工业软件云化部署，引导企业在操作系统、数据库、中间件、办公套件等基础软件，研发设计、生产控制、经营管理、工控安全等工业软件，云计算、大数据、区块链、人工智能、元宇宙等新兴技术领域实现源头创新。（牵头单位：市科技局，配合单位：各区政府）</w:t>
      </w:r>
    </w:p>
    <w:p w14:paraId="5F484FD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6.构建工业软件协同体系。</w:t>
      </w:r>
      <w:r>
        <w:rPr>
          <w:rFonts w:hint="eastAsia" w:ascii="Times New Roman" w:hAnsi="Times New Roman" w:eastAsia="方正仿宋简体" w:cs="宋体"/>
          <w:color w:val="000000"/>
          <w:kern w:val="0"/>
          <w:sz w:val="32"/>
          <w:szCs w:val="32"/>
        </w:rPr>
        <w:t>搭建设计仿真工业软件适配验证中心，加快广东省工业软件创新中心建设，形成工业软件适配验证能力体系和行业联合攻关机制。推进工业软件在汽车、石油化工、装备制造、轻工家电、电子信息等行业的应用。依托工业软件攻关成果开展工业软件应用示范，促进工业软件解决方案迭代升级，加快推进规模化应用。开展工业互联网自主创新样板工程，支持工业互联网平台企业建设微服务资源池。（牵头单位：市工业和信息化局）</w:t>
      </w:r>
    </w:p>
    <w:p w14:paraId="0955A3D5">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7.打造制造数字化服务平台。</w:t>
      </w:r>
      <w:r>
        <w:rPr>
          <w:rFonts w:hint="eastAsia" w:ascii="Times New Roman" w:hAnsi="Times New Roman" w:eastAsia="方正仿宋简体" w:cs="宋体"/>
          <w:color w:val="000000"/>
          <w:kern w:val="0"/>
          <w:sz w:val="32"/>
          <w:szCs w:val="32"/>
        </w:rPr>
        <w:t>探索基于自主可控芯片、嵌入式操作系统的底层赋能平台“广州方案”，推进“信创+制造”。大力发展智能网联与新能源汽车、新一代电子信息技术、生物医药与健康等新兴产业，促进纺织服装、皮具箱包、美妆日化等传统优势产业转型升级，支持有条件的区试点建设行业级工业互联网平台和行业数字化创新中心。建立覆盖研发设计、生产制造、经营管理等智能制造关键环节的工业云、工业大数据平台和工业人工智能平台。（牵头单位：市工业和信息化局，配合单位：各区政府）</w:t>
      </w:r>
    </w:p>
    <w:p w14:paraId="2DE7A452">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（三）创新赋能，融合强链</w:t>
      </w:r>
    </w:p>
    <w:p w14:paraId="4F9A0EB6">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　　8.加快新兴技术应用推广。</w:t>
      </w:r>
      <w:r>
        <w:rPr>
          <w:rFonts w:hint="eastAsia" w:ascii="Times New Roman" w:hAnsi="Times New Roman" w:eastAsia="方正仿宋简体" w:cs="宋体"/>
          <w:color w:val="000000"/>
          <w:kern w:val="0"/>
          <w:sz w:val="32"/>
          <w:szCs w:val="32"/>
        </w:rPr>
        <w:t>组织开展关键软件产品、人工智能应用案例等资源池入库工作，遴选一批产品技术先进、具有核心竞争力的新产品新应用入库，引导带动工业软件、信创基础软件、人工智能等数字技术全面突破和迭代创新。加强与国家、省工业软件重大项目衔接，深入推进工业软件关键核心技术攻关和成果转化。（牵头单位：市工业和信息化局）</w:t>
      </w:r>
    </w:p>
    <w:p w14:paraId="03CC349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9.加速数据要素有效流动。</w:t>
      </w:r>
      <w:r>
        <w:rPr>
          <w:rFonts w:hint="eastAsia" w:ascii="Times New Roman" w:hAnsi="Times New Roman" w:eastAsia="方正仿宋简体" w:cs="宋体"/>
          <w:color w:val="000000"/>
          <w:kern w:val="0"/>
          <w:sz w:val="32"/>
          <w:szCs w:val="32"/>
        </w:rPr>
        <w:t>深化数字政府改革建设，推动政府部门信息基础设施共建共享和优化升级。完善数据制度体系，推动《广州市数据条例》出台实施。探索部分领域的先行先试，推进公共数据授权运营，培育公平竞争、多方参与、收益共享的公共数据开发利用生态。培育数据要素产业生态，围绕产业互联网、智能制造、算力基础设施及技术创新研发等产业链布局，打造数据要素产业发展创新高地。(牵头部门：市政务和数据局，配合单位：各区政府、各相关部门）</w:t>
      </w:r>
    </w:p>
    <w:p w14:paraId="372A728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10.构筑开源开放软件生态。</w:t>
      </w:r>
      <w:r>
        <w:rPr>
          <w:rFonts w:hint="eastAsia" w:ascii="Times New Roman" w:hAnsi="Times New Roman" w:eastAsia="方正仿宋简体" w:cs="宋体"/>
          <w:color w:val="000000"/>
          <w:kern w:val="0"/>
          <w:sz w:val="32"/>
          <w:szCs w:val="32"/>
        </w:rPr>
        <w:t>支持企业、高校、科研院所等积极参与开放原子基金会等开源组织，提升对开源资源的整合利用能力。聚焦产业互联网领域，支持有条件的大中型企业特别是高端装备、电子信息、汽车制造、能源电力、数控等制造领域的骨干企业和科研院所充分发挥内部软件研发优势，部署一批基础性、前瞻性开源项目。推动共建广州市开源鸿蒙生态创新中心，搭建生态构建、技术评测、产业聚集、技术创新、人才培养和行业创新等服务平台。（牵头单位：市工业和信息化局）</w:t>
      </w:r>
    </w:p>
    <w:p w14:paraId="35276F2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11.实施“四化”平台赋能行动。</w:t>
      </w:r>
      <w:r>
        <w:rPr>
          <w:rFonts w:hint="eastAsia" w:ascii="Times New Roman" w:hAnsi="Times New Roman" w:eastAsia="方正仿宋简体" w:cs="宋体"/>
          <w:color w:val="000000"/>
          <w:kern w:val="0"/>
          <w:sz w:val="32"/>
          <w:szCs w:val="32"/>
        </w:rPr>
        <w:t>开展“四化”（数字化转型、网络化协同、智能化制造、绿色化提升）平台赋能专项行动，系统引导制造业企业加快业务上云、设备上云，开展工业机理模型、微服务、工业软件、工业APP等研发部署，推动大中小企业通过工业互联网运用自主创新工业软件实现数字化、网络化、智能化升级。培育信息消费领先企业，发展基于数字技术的智能经济，优化智能化产品和服务运营，引导企业创新“轻量应用”“微服务”。促进中小微企业数字化转型，推动形成大中小企业融通发展和协同创新格局。（牵头单位：市工业和信息化局，配合单位：各区政府）</w:t>
      </w:r>
    </w:p>
    <w:p w14:paraId="63F7C5B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12.推进人工智能赋能千行百业。</w:t>
      </w:r>
      <w:r>
        <w:rPr>
          <w:rFonts w:hint="eastAsia" w:ascii="Times New Roman" w:hAnsi="Times New Roman" w:eastAsia="方正仿宋简体" w:cs="宋体"/>
          <w:color w:val="000000"/>
          <w:kern w:val="0"/>
          <w:sz w:val="32"/>
          <w:szCs w:val="32"/>
        </w:rPr>
        <w:t>强化优质算力普惠供给，以场景应用为牵引，推动模型及服务（MaaS）模式变革和数据高质量开放共享，构建从算法模型创新到产业实践转化的闭环创新体系。培育10个以上人工智能领军企业，打造10个左右人工智能优秀应用场景，推出100个人工智能优秀案例和解决方案。（牵头单位：市工业和信息化局、市科技局，配合单位：各区政府）</w:t>
      </w:r>
    </w:p>
    <w:p w14:paraId="7F6C970E">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（四）稳中有进，优化塑链</w:t>
      </w:r>
    </w:p>
    <w:p w14:paraId="725C5E09">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13.促进企业提升信息服务质量。</w:t>
      </w:r>
      <w:r>
        <w:rPr>
          <w:rFonts w:hint="eastAsia" w:ascii="Times New Roman" w:hAnsi="Times New Roman" w:eastAsia="方正仿宋简体" w:cs="宋体"/>
          <w:color w:val="000000"/>
          <w:kern w:val="0"/>
          <w:sz w:val="32"/>
          <w:szCs w:val="32"/>
        </w:rPr>
        <w:t>鼓励企业强化软件产品价值，丰富自身产品体系，共性技术优化升级，提升服务能力与服务质量。鼓励国有企事业单位、骨干企业开放应用场景，强化融合应用牵引，共同挖掘、创新解决方案，加快行业应用产品研发、迭代与升级，深耕特定行业、领域实现专业化、特色化发展，打造一批高水平的行业一体化解决方案。（牵头单位：市工业和信息化局）</w:t>
      </w:r>
    </w:p>
    <w:p w14:paraId="60005BB4">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14.拓展产业链群发展空间。</w:t>
      </w:r>
      <w:r>
        <w:rPr>
          <w:rFonts w:hint="eastAsia" w:ascii="Times New Roman" w:hAnsi="Times New Roman" w:eastAsia="方正仿宋简体" w:cs="宋体"/>
          <w:color w:val="000000"/>
          <w:kern w:val="0"/>
          <w:sz w:val="32"/>
          <w:szCs w:val="32"/>
        </w:rPr>
        <w:t>研究构建多层次、多梯队的软件产业用地用房保障体系。深入摸底新型产业用地（M0）、商服用地，梳理可出让用于支撑互联网软件产业发展的备用地及列入土地整备计划的地块清单。推动本地头部企业购地建立总部，建设创新平台、孵化基地集聚生态；鼓励具有较强市场竞争力的本地腰部企业购地或购房建立总部。鼓励各区划定主导产业为软件产业的工业产业区块，引导符合产业规划的项目在区块内集聚。组织供应工业用地时，各区政府、广州空港经济区管委会应组织拟定投入产出监管协议，明确产业门类、投资强度、产出效率等指标，纳入编制的土地供应方案一并公告。推动市属、区属国有企业积极参与项目代建。（牵头单位：各区政府、广州空港委；配合单位：市工业和信息化局、市规划和自然资源局）</w:t>
      </w:r>
    </w:p>
    <w:p w14:paraId="68F116CC">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15.建设特色化专业化软件园区。</w:t>
      </w:r>
      <w:r>
        <w:rPr>
          <w:rFonts w:hint="eastAsia" w:ascii="Times New Roman" w:hAnsi="Times New Roman" w:eastAsia="方正仿宋简体" w:cs="宋体"/>
          <w:color w:val="000000"/>
          <w:kern w:val="0"/>
          <w:sz w:val="32"/>
          <w:szCs w:val="32"/>
        </w:rPr>
        <w:t>开展广州市软件名园、软件特色园入库，构建“名园+特色园”的阶梯培育发展体系，促进软件园区集聚集群高质量发展。聚焦工业软件、区块链、人工智能、信息安全等主题，培育建设一批产业特色鲜明、产业集中度较高、具有产业核心竞争力的特色产业园，不断提升园区特色化专业化运营管理水平。落实国家软件发展战略任务部署，积极争创中国软件名园，鼓励各区对入驻软件名园和软件特色园的企业给予支持。（牵头单位：市工业和信息化局，配合单位：各区政府）</w:t>
      </w:r>
    </w:p>
    <w:p w14:paraId="3D36508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　16.完善载体公共服务能力。</w:t>
      </w:r>
      <w:r>
        <w:rPr>
          <w:rFonts w:hint="eastAsia" w:ascii="Times New Roman" w:hAnsi="Times New Roman" w:eastAsia="方正仿宋简体" w:cs="宋体"/>
          <w:color w:val="000000"/>
          <w:kern w:val="0"/>
          <w:sz w:val="32"/>
          <w:szCs w:val="32"/>
        </w:rPr>
        <w:t>推动市级、区级软件行业协会、联盟、智库等第三方中介组织提升对软件行业发展和管理的服务支撑水平。推动行业企业研究制定产业发展和行业管理的行业、团队等标准。支持建设提供系统适配、技术攻关、标准验证、检验检测、认证认可、数据服务等基础支撑的公共服务平台。推动国资国企在内的各类公共服务平台加大云计算、大数据、元宇宙等新技术的应用场景，开展信息化项目建设。鼓励发展软件服务外包平台，为企业提供符合国际标准的协同工作环境。（牵头单位：市工业和信息化局）</w:t>
      </w:r>
    </w:p>
    <w:p w14:paraId="6BC669F1">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黑体简体" w:cs="方正黑体简体"/>
          <w:color w:val="000000"/>
          <w:kern w:val="0"/>
          <w:sz w:val="32"/>
          <w:szCs w:val="32"/>
        </w:rPr>
        <w:t>四、保障措施</w:t>
      </w:r>
    </w:p>
    <w:p w14:paraId="265F83C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（一）加强组织领导。</w:t>
      </w:r>
      <w:r>
        <w:rPr>
          <w:rFonts w:hint="eastAsia" w:ascii="Times New Roman" w:hAnsi="Times New Roman" w:eastAsia="方正仿宋简体" w:cs="宋体"/>
          <w:color w:val="000000"/>
          <w:kern w:val="0"/>
          <w:sz w:val="32"/>
          <w:szCs w:val="32"/>
        </w:rPr>
        <w:t>加强跨部门联动，健全组织协调机制，深入对接省软件和信息服务战略性支柱产业集群工作部署，统筹产业链整体工作，研究落实重大决策和重大项目实施，充分发挥“链长制”引领作用，协调解决发展过程中的重大问题，确保各项任务落实到位。（牵头单位：市工业和信息化局，配合单位：市各有关单位，各区政府）鼓励各区建立完善互联网软件产业推进机制，科学制定本区推动产业发展的具体措施，加大招商引资、载体建设、项目推进、人才培引等工作力度。（牵头单位：各区政府）</w:t>
      </w:r>
    </w:p>
    <w:p w14:paraId="3A537443">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（二）强化政策支持。</w:t>
      </w:r>
      <w:r>
        <w:rPr>
          <w:rFonts w:hint="eastAsia" w:ascii="Times New Roman" w:hAnsi="Times New Roman" w:eastAsia="方正仿宋简体" w:cs="宋体"/>
          <w:color w:val="000000"/>
          <w:kern w:val="0"/>
          <w:sz w:val="32"/>
          <w:szCs w:val="32"/>
        </w:rPr>
        <w:t>积极落实国家和省对软件与信息服务产业发展的优惠政策和措施，在广州市现有相关财政资金中加大对互联网软件产业发展的支持力度。支持互联网软件企业上市、挂牌。引导金融机构对互联网软件企业加强支持力度、提升服务水平、创新金融产品。按规定对符合条件的软件企业给予企业所得税、增值税等税收优惠。根据国家、省有关精神研究制定软件发展政策。支持具有自主知识产权的软件产品按规定进入政府采购市场。（牵头单位：市科技局、市工业和信息化局、市财政局、市委金融办、市税务局）</w:t>
      </w:r>
    </w:p>
    <w:p w14:paraId="244C135B">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（三）创新人才支撑。</w:t>
      </w:r>
      <w:r>
        <w:rPr>
          <w:rFonts w:hint="eastAsia" w:ascii="Times New Roman" w:hAnsi="Times New Roman" w:eastAsia="方正仿宋简体" w:cs="宋体"/>
          <w:color w:val="000000"/>
          <w:kern w:val="0"/>
          <w:sz w:val="32"/>
          <w:szCs w:val="32"/>
        </w:rPr>
        <w:t>深入实施“广聚英才”人才工程，引进符合软件产业发展方向的创新领军人才和团队，培育一批青年后备人才，打造梯次衔接的高层次人才队伍。鼓励高校联合重点企业、科研机构等培养“高精尖缺”软件相关的复合型人才。支持高校申报国家特色化示范性软件学院，合作建设软件人才基地、软件实践基地等。按规定落实高层次人才相关优惠政策，按政策规定在住房补贴、子女入学、医疗保障等方面给予支持，落实好粤港澳大湾区个人所得税优惠政策财政补贴。（牵头单位：市委组织部、市教育局、市科技局、市工业和信息化局、市财政局，各区政府，配合单位：市人力资源社会保障局、市税务局）</w:t>
      </w:r>
    </w:p>
    <w:p w14:paraId="4AE7B1F8">
      <w:pPr>
        <w:widowControl/>
        <w:spacing w:line="480" w:lineRule="auto"/>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楷体简体" w:cs="方正楷体简体"/>
          <w:b/>
          <w:bCs/>
          <w:color w:val="000000"/>
          <w:kern w:val="0"/>
          <w:sz w:val="32"/>
          <w:szCs w:val="32"/>
        </w:rPr>
        <w:t>　（四）优化发展环境。</w:t>
      </w:r>
      <w:r>
        <w:rPr>
          <w:rFonts w:hint="eastAsia" w:ascii="Times New Roman" w:hAnsi="Times New Roman" w:eastAsia="方正仿宋简体" w:cs="宋体"/>
          <w:color w:val="000000"/>
          <w:kern w:val="0"/>
          <w:sz w:val="32"/>
          <w:szCs w:val="32"/>
        </w:rPr>
        <w:t>鼓励行业协会、科研院所、骨干企业、高校、战略咨询机构等开展互联网软件相关的学术交流、产业发展论坛、产研合作、供需对接、软件比赛等活动，加强软件领域的交流合作。依托粤港澳大湾区的制度优势、地缘优势等，深入推进粤港澳大湾区互联网软件产业的合作与建设。（牵头单位：市工业和信息化局）加强使用正版软件工作宣传培训和督促检查，推动使用正版软件工作制度化、规范化。强化知识产权保护，依法严厉打击“盗版”等知识产权违法行为。（牵头单位：市版权局、市工业和信息化局、市政务和数据局、市市场监管局按职能分工负责）</w:t>
      </w:r>
    </w:p>
    <w:p w14:paraId="706B1A1D">
      <w:pPr>
        <w:widowControl/>
        <w:shd w:val="clear" w:color="auto" w:fill="FFFFFF"/>
        <w:spacing w:after="150"/>
        <w:rPr>
          <w:rFonts w:hint="eastAsia" w:ascii="Times New Roman" w:hAnsi="Times New Roman" w:eastAsia="方正仿宋简体" w:cs="宋体"/>
          <w:color w:val="000000"/>
          <w:kern w:val="0"/>
          <w:sz w:val="32"/>
          <w:szCs w:val="32"/>
        </w:rPr>
      </w:pPr>
    </w:p>
    <w:p w14:paraId="48210302">
      <w:pPr>
        <w:shd w:val="clear" w:color="auto" w:fill="FFFFFF"/>
        <w:jc w:val="center"/>
        <w:textAlignment w:val="baseline"/>
        <w:outlineLvl w:val="0"/>
        <w:rPr>
          <w:rFonts w:hint="eastAsia" w:ascii="Times New Roman" w:hAnsi="Times New Roman" w:eastAsia="方正小标宋简体" w:cs="Times New Roman"/>
          <w:color w:val="000000"/>
          <w:spacing w:val="-10"/>
          <w:kern w:val="28"/>
          <w:sz w:val="44"/>
          <w:szCs w:val="56"/>
          <w:lang w:val="en-US" w:eastAsia="zh-CN" w:bidi="ar-SA"/>
        </w:rPr>
      </w:pPr>
      <w:r>
        <w:rPr>
          <w:rFonts w:hint="eastAsia" w:ascii="Times New Roman" w:hAnsi="Times New Roman" w:eastAsia="方正小标宋简体" w:cs="Times New Roman"/>
          <w:color w:val="000000"/>
          <w:spacing w:val="-10"/>
          <w:kern w:val="28"/>
          <w:sz w:val="44"/>
          <w:szCs w:val="56"/>
          <w:lang w:val="en-US" w:eastAsia="zh-CN" w:bidi="ar-SA"/>
        </w:rPr>
        <w:t>海珠区民政局关于印发《海珠区关于鼓励支持婚庆产业发展十二条措施》的通知</w:t>
      </w:r>
    </w:p>
    <w:p w14:paraId="19D5299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各有关单位：</w:t>
      </w:r>
    </w:p>
    <w:p w14:paraId="2F3D4E3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进一步推动海珠区“婚庆+”产业专业化、集聚化、标准化发展，构建高质量发展的幸福产业，经区政府同意，现将《海珠区关于鼓励支持婚庆产业发展十二条措施》印发实施，请遵照执行。执行中遇到问题，请径向区民政局反映。</w:t>
      </w:r>
    </w:p>
    <w:p w14:paraId="23FFBF3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附件：海珠区关于鼓励支持婚庆产业发展十二条措施</w:t>
      </w:r>
    </w:p>
    <w:p w14:paraId="6E34BADE">
      <w:pPr>
        <w:widowControl/>
        <w:spacing w:line="54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海珠区民政局</w:t>
      </w:r>
    </w:p>
    <w:p w14:paraId="2624F338">
      <w:pPr>
        <w:widowControl/>
        <w:spacing w:line="540" w:lineRule="atLeast"/>
        <w:jc w:val="righ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2024年12月6日</w:t>
      </w:r>
    </w:p>
    <w:p w14:paraId="02E747A5">
      <w:pPr>
        <w:widowControl/>
        <w:spacing w:line="540" w:lineRule="atLeast"/>
        <w:jc w:val="left"/>
        <w:rPr>
          <w:rFonts w:hint="eastAsia" w:ascii="Times New Roman" w:hAnsi="Times New Roman" w:eastAsia="方正仿宋简体" w:cs="宋体"/>
          <w:color w:val="000000"/>
          <w:kern w:val="0"/>
          <w:sz w:val="32"/>
          <w:szCs w:val="32"/>
        </w:rPr>
      </w:pPr>
    </w:p>
    <w:p w14:paraId="030F6D42">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附件</w:t>
      </w:r>
    </w:p>
    <w:p w14:paraId="2B5E0104">
      <w:pPr>
        <w:widowControl/>
        <w:spacing w:line="540" w:lineRule="atLeast"/>
        <w:jc w:val="center"/>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b/>
          <w:bCs/>
          <w:color w:val="000000"/>
          <w:kern w:val="0"/>
          <w:sz w:val="32"/>
          <w:szCs w:val="32"/>
        </w:rPr>
        <w:t>海珠区关于鼓励支持婚庆产业发展十二条措施</w:t>
      </w:r>
    </w:p>
    <w:p w14:paraId="6604211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为进一步推动海珠区“婚庆+”产业专业化、集聚化、标准化发展，构建高质量发展的幸福产业，打造“广州幸福岛”文旅品牌，全面提振“海誓山盟、珠联璧合”婚庆文旅IP，全力把海珠区打造成国际消费中心城市标杆区、婚庆时尚引领区和婚俗文明弘扬区，现制定以下政策措施。</w:t>
      </w:r>
    </w:p>
    <w:p w14:paraId="6BB0FC7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第一条 建立健全“婚庆+”产业体系</w:t>
      </w:r>
    </w:p>
    <w:p w14:paraId="6FD31E0E">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围绕“制、购、影、庆、宴、住、游、展”8个阶段着力打造全链条婚庆产业，积极培育婚庆行业领军企业。</w:t>
      </w:r>
    </w:p>
    <w:p w14:paraId="1957AB1B">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第二条 打造特色婚庆产业集聚区</w:t>
      </w:r>
    </w:p>
    <w:p w14:paraId="504764A5">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规划建设特色婚庆产业街，依托江南大道婚纱一条街等优质载体，实施“婚纱街环境品质提升工程”，建设公共休闲空间，提升婚纱街配套服务。结合实际需要，在特色婚庆产业街集聚区建立婚姻登记颁证分站点，吸引更多客群消费。支持有条件的园区打造成为品牌婚庆产业园区。鼓励社会资本利用现有产业载体、旧工业区、旧厂房等建设婚庆产业园区，对入园企业提供公共技术、版权交易、投资融资、工商税务、法律援助等公共服务，对于符合办理“一址多照”条件的机构，给予商事登记服务支持。</w:t>
      </w:r>
    </w:p>
    <w:p w14:paraId="70001B3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第三条 打造“婚庆+文旅”高质量全域婚庆服务</w:t>
      </w:r>
    </w:p>
    <w:p w14:paraId="2FF731A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以广州塔及广州新中轴线为背景，以生态湖泊河涌水网为纽带，将海珠文旅地标串珠成链，设置“花城有囍”品牌结婚登记户外颁证点与婚姻登记生态分点，并作为特色婚庆场地，开展定制婚庆服务等，定期邀请海珠名人为新人集体颁证，吸引更多消费者，促进企业的营销推广和品牌宣传。建设特色婚庆拍摄场景，发挥珠江沿岸景观、海珠湖、骑楼街等文旅资源优势，鼓励支持婚庆策划公司、摄影工作室等开展婚庆主题和旅拍场景的活动策划，推出海珠婚庆主题或打卡点，打造海珠最美婚纱拍摄体验区。推出海珠区幸福婚庆主题旅游线路，打造海珠区最美婚纱拍摄体验带。</w:t>
      </w:r>
    </w:p>
    <w:p w14:paraId="3289880D">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第四条 丰富婚庆消费供给</w:t>
      </w:r>
    </w:p>
    <w:p w14:paraId="44C7BC9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支持企业开发“婚纱摄影 蜜月度假”组合型产品，鼓励婚庆行业企业以消费补贴、抽奖免单、减免门票、专项服务等举措促进婚庆消费。加强婚庆机构合作激励机制，依法依规设置优惠政策。完善婚纱拍摄服务，健全婚纱拍摄工作流程标准，升级场地与配套服务。将老年婚姻服务作为养老产业的重要组成部分，鼓励企业挖掘为老年人提供补办婚礼或金婚、银婚、钻石婚纪念婚礼和颁证仪式等市场，提供夕阳红旅游、金婚度假酒店等服务。创新婚姻登记服务政策，在婚姻登记“跨省通办”服务试点期限内推广相关服务，虹吸粤港澳大湾区潜在客群前来消费。</w:t>
      </w:r>
    </w:p>
    <w:p w14:paraId="3B6849C7">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第五条 加强招商引资</w:t>
      </w:r>
    </w:p>
    <w:p w14:paraId="2F4DFC1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发挥“海珠合伙人”机制作用，为海珠区婚庆企业“找订单”“给机会”，指导符合申报条件的企业申报相关政策补贴。支持婚庆企业依法依规租赁直管房作为商铺、办公场地，帮助解决生产经营场地问题，助力企业平稳经营。</w:t>
      </w:r>
    </w:p>
    <w:p w14:paraId="3347560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第六条 建立海珠区婚庆合伙人制度</w:t>
      </w:r>
    </w:p>
    <w:p w14:paraId="0B7B547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引导优秀婚庆企业和机构成立海珠区婚庆产业联盟，促进我区婚庆行业逐步向规范化、标准化发展。发挥婚庆相关行业协会作用，加强行业重点问题研究，推动行业交流与合作，培育一批具有核心竞争力的跨界经营企业和婚庆产业新业态、新模式。</w:t>
      </w:r>
    </w:p>
    <w:p w14:paraId="57E10CB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第七条 加强婚庆产业金融支持</w:t>
      </w:r>
    </w:p>
    <w:p w14:paraId="5B0A0EF5">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鼓励商业银行开发适合婚庆企业特点和需求的金融产品，优化金融服务，为信用状况良好且符合条件的婚庆企业提供无抵押、无担保的信用贷款，拓宽婚庆行业小微企业融资贷款渠道。鼓励为新婚人士提供小额“新婚贷”，满足新婚人群婚前准备婚房、装修、购买家电等消费贷款需求。</w:t>
      </w:r>
    </w:p>
    <w:p w14:paraId="4A00B48C">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第八条 加强婚庆产业开放合作</w:t>
      </w:r>
    </w:p>
    <w:p w14:paraId="42A83757">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指导相关行业协会、龙头企业办好广州婚博会、广州国际婚纱礼服行业展览会等婚庆行业关联展会活动。在文商旅融合发展、数智文化推介交流等工作中融入婚庆元素，为婚庆相关企业搭平台、引项目、促合作。推动酒店餐饮、旅行社、婚庆公司、家电企业、汽车品牌等多行业实体联动合作，打造多元婚庆主题内容，推动多品牌交互出圈。</w:t>
      </w:r>
    </w:p>
    <w:p w14:paraId="7D53040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第九条 加大供需对接</w:t>
      </w:r>
    </w:p>
    <w:p w14:paraId="74FBA554">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加强产业引导，优化供需对接，与区内婚宴酒店、策划公司等合作，整合产业链配套服务，为在海珠区领证的新人赠送包含婚纱摄影、婚礼策划、婚宴酒店等系列一站式产品和服务优惠的婚庆大礼包，满足消费者个性化、定制化、品质化、高端化需求，与优质婚庆服务提供商资源精准匹配、高效链接。鼓励企业为在海珠区领证的新人提供海珠湿地公园等A级旅游景区优惠套票活动。推动星级酒店搭建特色主题内容，定制婚庆酒席、蜜月房型、蜜月套餐。整合文旅资源与婚庆策划企业，培育个性化婚礼业态。打造婚宴名店，推动实现一站式婚礼宴会服务，提升婚庆产业能级。</w:t>
      </w:r>
    </w:p>
    <w:p w14:paraId="621D0FE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第十条 加强婚庆人才引进与人才队伍培育建设</w:t>
      </w:r>
    </w:p>
    <w:p w14:paraId="46BE117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按照市、区引进人才的政策，对符合条件的婚庆行业企业或机构人才给予落户、人才绿卡、人事档案管理、个税减免、住房保障等方面的服务。加大财政对人才资源建设的投入。利用区内高校平台资源，推动海珠婚纱礼服设计研究中心、产学研公共服务平台建设。鼓励院校建立健全专门人才的培养体系，开设婚庆专业，制定专门课程，培养优质专门人才。举办“幸福海珠婚庆节”，打造各类赛事活动。联动相关部门、院校等开展婚庆相关行业技能培训与竞赛，培育、挖掘优秀行业人才。</w:t>
      </w:r>
    </w:p>
    <w:p w14:paraId="5C25D657">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第十一条 拓宽宣传矩阵</w:t>
      </w:r>
    </w:p>
    <w:p w14:paraId="3ACD7006">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联合主流媒体，行业媒体以及自媒体共同构建宣传矩阵，制作高质量、有价值的内容，持续曝光宣传海珠婚庆、旅游、消费良好体验。加强用户互动交流与社群运营，增强用户黏性和消费者忠诚度。举办各类婚庆宣传推广活动，利用5.20、七夕等特别节日举办“花好月圆”“花城有囍”“缘定海珠”“情定海珠湖”“打卡幸福岛”等系列婚俗文化活动，扩大企业宣传覆盖面和影响力。指导广州市海珠区文化产业发展促进会积极举办“潮海珠”文化系列沙龙等活动，组织会员企业到特色婚庆企业走访调研，为企业项目合作牵线搭桥。</w:t>
      </w:r>
    </w:p>
    <w:p w14:paraId="344F5C41">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促进婚庆产业数字化发展，链接直播业务方面的企业资源，引导筹建一支懂婚庆、善直播的专业“婚庆直播人”队伍，为海珠区婚庆企业提供直播推广服务，并通过各类媒体渠道广泛宣传，打造具有地区特色的婚庆直播品牌，助力婚庆企业拓宽市场渠道，提升联盟企业品牌影响力和市场竞争力，实现产业升级与可持续发展。</w:t>
      </w:r>
    </w:p>
    <w:p w14:paraId="53DC0F8F">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w:t>
      </w:r>
      <w:r>
        <w:rPr>
          <w:rFonts w:hint="eastAsia" w:ascii="Times New Roman" w:hAnsi="Times New Roman" w:eastAsia="方正仿宋简体" w:cs="宋体"/>
          <w:b/>
          <w:bCs/>
          <w:color w:val="000000"/>
          <w:kern w:val="0"/>
          <w:sz w:val="32"/>
          <w:szCs w:val="32"/>
        </w:rPr>
        <w:t>第十二条 健全婚庆行业监管</w:t>
      </w:r>
    </w:p>
    <w:p w14:paraId="04F4D958">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建立健全诚信监管体系，增强婚庆行业、企业的自我管理和自律机制，培育一批诚信经营、优质服务的企业，促进全市婚庆产业健康有序发展。开展消费者满意度评价，与专业机构合作开展多维度测评，“以评促改”持续提升海珠婚庆产业消费满意度。加强婚纱设计版权保护。建设运营版权保护服务综合平台，为设计企业提供版权登记、法律咨询、维权援助、纠纷调处、宣传培训等便民利企公益服务，鼓励企业进行著作权登记。</w:t>
      </w:r>
    </w:p>
    <w:p w14:paraId="3565FDF0">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附则</w:t>
      </w:r>
    </w:p>
    <w:p w14:paraId="2914B693">
      <w:pPr>
        <w:widowControl/>
        <w:spacing w:line="540" w:lineRule="atLeast"/>
        <w:jc w:val="left"/>
        <w:rPr>
          <w:rFonts w:hint="eastAsia" w:ascii="Times New Roman" w:hAnsi="Times New Roman" w:eastAsia="方正仿宋简体" w:cs="宋体"/>
          <w:color w:val="000000"/>
          <w:kern w:val="0"/>
          <w:sz w:val="32"/>
          <w:szCs w:val="32"/>
        </w:rPr>
      </w:pPr>
      <w:r>
        <w:rPr>
          <w:rFonts w:hint="eastAsia" w:ascii="Times New Roman" w:hAnsi="Times New Roman" w:eastAsia="方正仿宋简体" w:cs="宋体"/>
          <w:color w:val="000000"/>
          <w:kern w:val="0"/>
          <w:sz w:val="32"/>
          <w:szCs w:val="32"/>
        </w:rPr>
        <w:t>　　本措施自印发之日起实施，有效期至2025年12月31日。因上级法律、法规、规章及政策调整导致本措施与上级规定不一致的，适用上级规定。</w:t>
      </w:r>
    </w:p>
    <w:p w14:paraId="15C1F1AB">
      <w:pPr>
        <w:widowControl/>
        <w:shd w:val="clear" w:color="auto" w:fill="FFFFFF"/>
        <w:spacing w:after="150"/>
        <w:rPr>
          <w:rFonts w:hint="eastAsia" w:ascii="Times New Roman" w:hAnsi="Times New Roman" w:eastAsia="方正仿宋简体" w:cs="宋体"/>
          <w:color w:val="000000"/>
          <w:kern w:val="0"/>
          <w:sz w:val="32"/>
          <w:szCs w:val="32"/>
        </w:rPr>
      </w:pPr>
    </w:p>
    <w:p w14:paraId="1B586CA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关于印发《浦东新区人形机器人产业高质</w:t>
      </w:r>
    </w:p>
    <w:p w14:paraId="27D14ED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量发展三年行动计划（2024-2026年）》的</w:t>
      </w:r>
    </w:p>
    <w:p w14:paraId="5AACED1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通知</w:t>
      </w:r>
    </w:p>
    <w:p w14:paraId="4034FCE4">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5D04F5BC">
      <w:pPr>
        <w:tabs>
          <w:tab w:val="left" w:pos="2348"/>
        </w:tabs>
        <w:bidi w:val="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各相关单位：</w:t>
      </w:r>
    </w:p>
    <w:p w14:paraId="535BC400">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《浦东新区人形机器人产业高质量发展三年行动计划</w:t>
      </w:r>
    </w:p>
    <w:p w14:paraId="1BB419B9">
      <w:pPr>
        <w:tabs>
          <w:tab w:val="left" w:pos="2348"/>
        </w:tabs>
        <w:bidi w:val="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（2024-2026</w:t>
      </w:r>
      <w:r>
        <w:rPr>
          <w:rFonts w:hint="default" w:ascii="Times New Roman" w:hAnsi="Times New Roman" w:eastAsia="方正仿宋简体" w:cs="方正仿宋简体"/>
          <w:b w:val="0"/>
          <w:bCs w:val="0"/>
          <w:color w:val="000000"/>
          <w:sz w:val="32"/>
          <w:szCs w:val="32"/>
        </w:rPr>
        <w:t>年）》已经区政府同意，现印发给你们，请认真推进落实。</w:t>
      </w:r>
    </w:p>
    <w:p w14:paraId="0DC545F9">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特此通知。</w:t>
      </w:r>
    </w:p>
    <w:p w14:paraId="0F20E9D7">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上海市浦东新区科技和经济委员会</w:t>
      </w:r>
    </w:p>
    <w:p w14:paraId="52255F1F">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Times New Roman"/>
          <w:b w:val="0"/>
          <w:bCs w:val="0"/>
          <w:color w:val="000000"/>
          <w:sz w:val="32"/>
          <w:szCs w:val="32"/>
        </w:rPr>
        <w:t>2024</w:t>
      </w:r>
      <w:r>
        <w:rPr>
          <w:rFonts w:hint="default" w:ascii="Times New Roman" w:hAnsi="Times New Roman" w:eastAsia="方正仿宋简体" w:cs="方正仿宋简体"/>
          <w:b w:val="0"/>
          <w:bCs w:val="0"/>
          <w:color w:val="000000"/>
          <w:sz w:val="32"/>
          <w:szCs w:val="32"/>
        </w:rPr>
        <w:t>年</w:t>
      </w:r>
      <w:r>
        <w:rPr>
          <w:rFonts w:hint="default" w:ascii="Times New Roman" w:hAnsi="Times New Roman" w:eastAsia="方正仿宋简体" w:cs="Times New Roman"/>
          <w:b w:val="0"/>
          <w:bCs w:val="0"/>
          <w:color w:val="000000"/>
          <w:sz w:val="32"/>
          <w:szCs w:val="32"/>
        </w:rPr>
        <w:t>9</w:t>
      </w:r>
      <w:r>
        <w:rPr>
          <w:rFonts w:hint="default" w:ascii="Times New Roman" w:hAnsi="Times New Roman" w:eastAsia="方正仿宋简体" w:cs="方正仿宋简体"/>
          <w:b w:val="0"/>
          <w:bCs w:val="0"/>
          <w:color w:val="000000"/>
          <w:sz w:val="32"/>
          <w:szCs w:val="32"/>
        </w:rPr>
        <w:t>月</w:t>
      </w:r>
      <w:r>
        <w:rPr>
          <w:rFonts w:hint="default" w:ascii="Times New Roman" w:hAnsi="Times New Roman" w:eastAsia="方正仿宋简体" w:cs="Times New Roman"/>
          <w:b w:val="0"/>
          <w:bCs w:val="0"/>
          <w:color w:val="000000"/>
          <w:sz w:val="32"/>
          <w:szCs w:val="32"/>
        </w:rPr>
        <w:t>29</w:t>
      </w:r>
      <w:r>
        <w:rPr>
          <w:rFonts w:hint="default" w:ascii="Times New Roman" w:hAnsi="Times New Roman" w:eastAsia="方正仿宋简体" w:cs="方正仿宋简体"/>
          <w:b w:val="0"/>
          <w:bCs w:val="0"/>
          <w:color w:val="000000"/>
          <w:sz w:val="32"/>
          <w:szCs w:val="32"/>
        </w:rPr>
        <w:t>日</w:t>
      </w:r>
    </w:p>
    <w:p w14:paraId="2ACD0172">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10A413E9">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2FBBF79B">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231479BB">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782AB32E">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5CC0120C">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50809CC3">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0054DA73">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13BE975A">
      <w:pPr>
        <w:tabs>
          <w:tab w:val="left" w:pos="2348"/>
        </w:tabs>
        <w:bidi w:val="0"/>
        <w:ind w:firstLine="640" w:firstLineChars="200"/>
        <w:jc w:val="right"/>
        <w:rPr>
          <w:rFonts w:hint="default" w:ascii="Times New Roman" w:hAnsi="Times New Roman" w:eastAsia="方正仿宋简体" w:cs="方正仿宋简体"/>
          <w:b w:val="0"/>
          <w:bCs w:val="0"/>
          <w:color w:val="000000"/>
          <w:sz w:val="32"/>
          <w:szCs w:val="32"/>
        </w:rPr>
      </w:pPr>
    </w:p>
    <w:p w14:paraId="73C98B2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r>
        <w:rPr>
          <w:rFonts w:hint="eastAsia" w:ascii="Times New Roman" w:hAnsi="Times New Roman" w:eastAsia="方正小标宋简体" w:cs="方正小标宋简体"/>
          <w:sz w:val="44"/>
          <w:szCs w:val="44"/>
          <w:lang w:val="en-US" w:eastAsia="zh-CN"/>
        </w:rPr>
        <w:t>浦东新区人形机器人产业高质量发展三年行动计划（2024-2026年）</w:t>
      </w:r>
    </w:p>
    <w:p w14:paraId="7DD83DE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lang w:val="en-US" w:eastAsia="zh-CN"/>
        </w:rPr>
      </w:pPr>
    </w:p>
    <w:p w14:paraId="5D2E537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为深入贯彻党的二十大精神，全面落实中央支持浦东新区高水平改革开放打造社会主义现代化建设引领区意见决定，以及《人形机器人创新发展指导意见》《上海市促进智能机器人产业高质量创新发展行动方案（</w:t>
      </w:r>
      <w:r>
        <w:rPr>
          <w:rFonts w:hint="default" w:ascii="Times New Roman" w:hAnsi="Times New Roman" w:eastAsia="方正仿宋简体" w:cs="Times New Roman"/>
          <w:b w:val="0"/>
          <w:bCs w:val="0"/>
          <w:color w:val="000000"/>
          <w:sz w:val="32"/>
          <w:szCs w:val="32"/>
          <w:lang w:val="en-US" w:eastAsia="zh-CN"/>
        </w:rPr>
        <w:t>2023-2025</w:t>
      </w:r>
      <w:r>
        <w:rPr>
          <w:rFonts w:hint="eastAsia" w:ascii="Times New Roman" w:hAnsi="Times New Roman" w:eastAsia="方正仿宋简体" w:cs="方正仿宋简体"/>
          <w:b w:val="0"/>
          <w:bCs w:val="0"/>
          <w:color w:val="000000"/>
          <w:sz w:val="32"/>
          <w:szCs w:val="32"/>
          <w:lang w:val="en-US" w:eastAsia="zh-CN"/>
        </w:rPr>
        <w:t>年）》等文件，加快推进浦东人形机器人产业高质量发展，打造以人形机器人为引领的具身智能发展高地，推进人形机器人成为新质生产力，制定本行动计划。</w:t>
      </w:r>
    </w:p>
    <w:p w14:paraId="0A1AF44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一、行动目标</w:t>
      </w:r>
    </w:p>
    <w:p w14:paraId="36362D7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本意见适用于依法设立、经营状态正常、信用记录良好、符合区域集成电路产业发展导向的企业和机构。</w:t>
      </w:r>
    </w:p>
    <w:p w14:paraId="4CFAEE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产业集聚方面，培育</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家具有全球影响力的生态型企业、</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家产业细分领域技术领先企业，浦东人形机器人产业链企业数量达到近百家。空间布局方面，打造“一核引领、一园协同”的产业空间格局，形成以人形机器人开源社区为核心引领的具身智能创新策源地，构建具有国际影响力的人形机器人产业集聚区。功能平台方面，加快实施开放性创新驱动战略，搭建开源研发训练、快速制造开发等功能服务平台，形成人形机器人链式科创生态。创新生态方面，推动人形机器人在智能制造、民生服务、特种作业等领域应用，形成一批人形机器人示范应用，打造</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个百台级以上规模的超级场景。</w:t>
      </w:r>
    </w:p>
    <w:p w14:paraId="6F770BE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二、重点任务</w:t>
      </w:r>
    </w:p>
    <w:p w14:paraId="3EAC85E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聚焦集成电路设计环节，重点支持汽车电子、人工智能、新一代通信、云计算、物联网及智能终端、</w:t>
      </w:r>
      <w:r>
        <w:rPr>
          <w:rFonts w:hint="default" w:ascii="Times New Roman" w:hAnsi="Times New Roman" w:eastAsia="方正仿宋简体" w:cs="Times New Roman"/>
          <w:b w:val="0"/>
          <w:bCs w:val="0"/>
          <w:color w:val="000000"/>
          <w:sz w:val="32"/>
          <w:szCs w:val="32"/>
          <w:lang w:val="en-US" w:eastAsia="zh-CN"/>
        </w:rPr>
        <w:t>VR/AR</w:t>
      </w:r>
      <w:r>
        <w:rPr>
          <w:rFonts w:hint="eastAsia" w:ascii="Times New Roman" w:hAnsi="Times New Roman" w:eastAsia="方正仿宋简体" w:cs="方正仿宋简体"/>
          <w:b w:val="0"/>
          <w:bCs w:val="0"/>
          <w:color w:val="000000"/>
          <w:sz w:val="32"/>
          <w:szCs w:val="32"/>
          <w:lang w:val="en-US" w:eastAsia="zh-CN"/>
        </w:rPr>
        <w:t>、信息安全等重点应用领域的芯片设计、高端芯片研发与</w:t>
      </w:r>
      <w:r>
        <w:rPr>
          <w:rFonts w:hint="default" w:ascii="Times New Roman" w:hAnsi="Times New Roman" w:eastAsia="方正仿宋简体" w:cs="Times New Roman"/>
          <w:b w:val="0"/>
          <w:bCs w:val="0"/>
          <w:color w:val="000000"/>
          <w:sz w:val="32"/>
          <w:szCs w:val="32"/>
          <w:lang w:val="en-US" w:eastAsia="zh-CN"/>
        </w:rPr>
        <w:t>EDA</w:t>
      </w:r>
      <w:r>
        <w:rPr>
          <w:rFonts w:hint="eastAsia" w:ascii="Times New Roman" w:hAnsi="Times New Roman" w:eastAsia="方正仿宋简体" w:cs="方正仿宋简体"/>
          <w:b w:val="0"/>
          <w:bCs w:val="0"/>
          <w:color w:val="000000"/>
          <w:sz w:val="32"/>
          <w:szCs w:val="32"/>
          <w:lang w:val="en-US" w:eastAsia="zh-CN"/>
        </w:rPr>
        <w:t>设计工具开发。鼓励加快集成电路产业链上下游软件开发、终端应用、数据服务等产业集聚。</w:t>
      </w:r>
    </w:p>
    <w:p w14:paraId="23E2624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三、扶持方式</w:t>
      </w:r>
    </w:p>
    <w:p w14:paraId="3A9FD7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（一）产业集聚培育</w:t>
      </w:r>
    </w:p>
    <w:p w14:paraId="1670F888">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1.鼓励优质企业落户。</w:t>
      </w:r>
      <w:r>
        <w:rPr>
          <w:rFonts w:hint="eastAsia" w:ascii="Times New Roman" w:hAnsi="Times New Roman" w:eastAsia="方正仿宋简体" w:cs="方正仿宋简体"/>
          <w:b w:val="0"/>
          <w:bCs w:val="0"/>
          <w:color w:val="000000"/>
          <w:sz w:val="32"/>
          <w:szCs w:val="32"/>
          <w:lang w:val="en-US" w:eastAsia="zh-CN"/>
        </w:rPr>
        <w:t>对新引进的集成电路企业，主营业务属于汽车芯片、人工智能芯片、嵌入式</w:t>
      </w:r>
      <w:r>
        <w:rPr>
          <w:rFonts w:hint="default" w:ascii="Times New Roman" w:hAnsi="Times New Roman" w:eastAsia="方正仿宋简体" w:cs="Times New Roman"/>
          <w:b w:val="0"/>
          <w:bCs w:val="0"/>
          <w:color w:val="000000"/>
          <w:sz w:val="32"/>
          <w:szCs w:val="32"/>
          <w:lang w:val="en-US" w:eastAsia="zh-CN"/>
        </w:rPr>
        <w:t>CPU</w:t>
      </w:r>
      <w:r>
        <w:rPr>
          <w:rFonts w:hint="eastAsia" w:ascii="Times New Roman" w:hAnsi="Times New Roman" w:eastAsia="方正仿宋简体" w:cs="方正仿宋简体"/>
          <w:b w:val="0"/>
          <w:bCs w:val="0"/>
          <w:color w:val="000000"/>
          <w:sz w:val="32"/>
          <w:szCs w:val="32"/>
          <w:lang w:val="en-US" w:eastAsia="zh-CN"/>
        </w:rPr>
        <w:t>、高算力芯片、其他高端芯片、</w:t>
      </w:r>
      <w:r>
        <w:rPr>
          <w:rFonts w:hint="default" w:ascii="Times New Roman" w:hAnsi="Times New Roman" w:eastAsia="方正仿宋简体" w:cs="Times New Roman"/>
          <w:b w:val="0"/>
          <w:bCs w:val="0"/>
          <w:color w:val="000000"/>
          <w:sz w:val="32"/>
          <w:szCs w:val="32"/>
          <w:lang w:val="en-US" w:eastAsia="zh-CN"/>
        </w:rPr>
        <w:t>EDA</w:t>
      </w:r>
      <w:r>
        <w:rPr>
          <w:rFonts w:hint="eastAsia" w:ascii="Times New Roman" w:hAnsi="Times New Roman" w:eastAsia="方正仿宋简体" w:cs="方正仿宋简体"/>
          <w:b w:val="0"/>
          <w:bCs w:val="0"/>
          <w:color w:val="000000"/>
          <w:sz w:val="32"/>
          <w:szCs w:val="32"/>
          <w:lang w:val="en-US" w:eastAsia="zh-CN"/>
        </w:rPr>
        <w:t>设计工具、高端电子元器件及印制电路板、智能模组、智能终端等重点技术领域，具有较强科技创新能力的，经认定，可根据企业实际投入情况，给予最高不超过</w:t>
      </w:r>
      <w:r>
        <w:rPr>
          <w:rFonts w:hint="default" w:ascii="Times New Roman" w:hAnsi="Times New Roman" w:eastAsia="方正仿宋简体" w:cs="Times New Roman"/>
          <w:b w:val="0"/>
          <w:bCs w:val="0"/>
          <w:color w:val="000000"/>
          <w:sz w:val="32"/>
          <w:szCs w:val="32"/>
          <w:lang w:val="en-US" w:eastAsia="zh-CN"/>
        </w:rPr>
        <w:t>500</w:t>
      </w:r>
      <w:r>
        <w:rPr>
          <w:rFonts w:hint="eastAsia" w:ascii="Times New Roman" w:hAnsi="Times New Roman" w:eastAsia="方正仿宋简体" w:cs="方正仿宋简体"/>
          <w:b w:val="0"/>
          <w:bCs w:val="0"/>
          <w:color w:val="000000"/>
          <w:sz w:val="32"/>
          <w:szCs w:val="32"/>
          <w:lang w:val="en-US" w:eastAsia="zh-CN"/>
        </w:rPr>
        <w:t>万元的一次性资助，分三年拨付。</w:t>
      </w:r>
    </w:p>
    <w:p w14:paraId="310D38BA">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2.降低企业经营成本。</w:t>
      </w:r>
      <w:r>
        <w:rPr>
          <w:rFonts w:hint="eastAsia" w:ascii="Times New Roman" w:hAnsi="Times New Roman" w:eastAsia="方正仿宋简体" w:cs="方正仿宋简体"/>
          <w:b w:val="0"/>
          <w:bCs w:val="0"/>
          <w:color w:val="000000"/>
          <w:sz w:val="32"/>
          <w:szCs w:val="32"/>
          <w:lang w:val="en-US" w:eastAsia="zh-CN"/>
        </w:rPr>
        <w:t>对新引进或新设立的相关领域企业，租赁办公场地自用的，经认定，可给予每年最高不超过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万元的资助，年限不超过三年。对新引进或新设立的相关领域企业新购置自用办公用房的，可按新购房款实际发生金额的</w:t>
      </w:r>
      <w:r>
        <w:rPr>
          <w:rFonts w:hint="default" w:ascii="Times New Roman" w:hAnsi="Times New Roman" w:eastAsia="方正仿宋简体" w:cs="Times New Roman"/>
          <w:b w:val="0"/>
          <w:bCs w:val="0"/>
          <w:color w:val="000000"/>
          <w:sz w:val="32"/>
          <w:szCs w:val="32"/>
          <w:lang w:val="en-US" w:eastAsia="zh-CN"/>
        </w:rPr>
        <w:t>2%</w:t>
      </w:r>
      <w:r>
        <w:rPr>
          <w:rFonts w:hint="eastAsia" w:ascii="Times New Roman" w:hAnsi="Times New Roman" w:eastAsia="方正仿宋简体" w:cs="方正仿宋简体"/>
          <w:b w:val="0"/>
          <w:bCs w:val="0"/>
          <w:color w:val="000000"/>
          <w:sz w:val="32"/>
          <w:szCs w:val="32"/>
          <w:lang w:val="en-US" w:eastAsia="zh-CN"/>
        </w:rPr>
        <w:t>以内比例，给予总额最高不超过</w:t>
      </w:r>
      <w:r>
        <w:rPr>
          <w:rFonts w:hint="default"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万元的一次性资助，分三年拨付。租房和购房资助不重复享受。</w:t>
      </w:r>
    </w:p>
    <w:p w14:paraId="3963B5E1">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3.鼓励“以企引企”。</w:t>
      </w:r>
      <w:r>
        <w:rPr>
          <w:rFonts w:hint="eastAsia" w:ascii="Times New Roman" w:hAnsi="Times New Roman" w:eastAsia="方正仿宋简体" w:cs="方正仿宋简体"/>
          <w:b w:val="0"/>
          <w:bCs w:val="0"/>
          <w:color w:val="000000"/>
          <w:sz w:val="32"/>
          <w:szCs w:val="32"/>
          <w:lang w:val="en-US" w:eastAsia="zh-CN"/>
        </w:rPr>
        <w:t>对集成电路企业采用参股方式新设或迁移引进产业链上下游关联企业，且企业注册一年内参股资本超</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万元的，经认定，可按其实际投入金额的</w:t>
      </w:r>
      <w:r>
        <w:rPr>
          <w:rFonts w:hint="default"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万元的资助。</w:t>
      </w:r>
    </w:p>
    <w:p w14:paraId="13BB924A">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4.培育初创企业。</w:t>
      </w:r>
      <w:r>
        <w:rPr>
          <w:rFonts w:hint="eastAsia" w:ascii="Times New Roman" w:hAnsi="Times New Roman" w:eastAsia="方正仿宋简体" w:cs="方正仿宋简体"/>
          <w:b w:val="0"/>
          <w:bCs w:val="0"/>
          <w:color w:val="000000"/>
          <w:sz w:val="32"/>
          <w:szCs w:val="32"/>
          <w:lang w:val="en-US" w:eastAsia="zh-CN"/>
        </w:rPr>
        <w:t>对成立五年以内的集成电路设计企业，成功获得专业投资机构投资并在一年内提出申请的，可按投资金额最高的单个非政府性质的专业投资机构实际到位股权投资资金的10%以内比例，给予最高不超过</w:t>
      </w:r>
      <w:r>
        <w:rPr>
          <w:rFonts w:hint="default"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万元的一次性资助。本条款专项用于初创期优质企业扶持。</w:t>
      </w:r>
    </w:p>
    <w:p w14:paraId="75EDDCB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（二）产业创新发展</w:t>
      </w:r>
    </w:p>
    <w:p w14:paraId="6F226389">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5.支持</w:t>
      </w:r>
      <w:r>
        <w:rPr>
          <w:rFonts w:hint="default" w:ascii="Times New Roman" w:hAnsi="Times New Roman" w:eastAsia="方正仿宋简体" w:cs="Times New Roman"/>
          <w:b/>
          <w:bCs/>
          <w:color w:val="000000"/>
          <w:sz w:val="32"/>
          <w:szCs w:val="32"/>
          <w:lang w:val="en-US" w:eastAsia="zh-CN"/>
        </w:rPr>
        <w:t>EDA/IP</w:t>
      </w:r>
      <w:r>
        <w:rPr>
          <w:rFonts w:hint="eastAsia" w:ascii="Times New Roman" w:hAnsi="Times New Roman" w:eastAsia="方正仿宋简体" w:cs="方正仿宋简体"/>
          <w:b/>
          <w:bCs/>
          <w:color w:val="000000"/>
          <w:sz w:val="32"/>
          <w:szCs w:val="32"/>
          <w:lang w:val="en-US" w:eastAsia="zh-CN"/>
        </w:rPr>
        <w:t>购买。</w:t>
      </w:r>
      <w:r>
        <w:rPr>
          <w:rFonts w:hint="eastAsia" w:ascii="Times New Roman" w:hAnsi="Times New Roman" w:eastAsia="方正仿宋简体" w:cs="方正仿宋简体"/>
          <w:b w:val="0"/>
          <w:bCs w:val="0"/>
          <w:color w:val="000000"/>
          <w:sz w:val="32"/>
          <w:szCs w:val="32"/>
          <w:lang w:val="en-US" w:eastAsia="zh-CN"/>
        </w:rPr>
        <w:t>对购买符合条件的自主安全可控</w:t>
      </w:r>
      <w:r>
        <w:rPr>
          <w:rFonts w:hint="default" w:ascii="Times New Roman" w:hAnsi="Times New Roman" w:eastAsia="方正仿宋简体" w:cs="Times New Roman"/>
          <w:b w:val="0"/>
          <w:bCs w:val="0"/>
          <w:color w:val="000000"/>
          <w:sz w:val="32"/>
          <w:szCs w:val="32"/>
          <w:lang w:val="en-US" w:eastAsia="zh-CN"/>
        </w:rPr>
        <w:t>EDA</w:t>
      </w:r>
      <w:r>
        <w:rPr>
          <w:rFonts w:hint="eastAsia" w:ascii="Times New Roman" w:hAnsi="Times New Roman" w:eastAsia="方正仿宋简体" w:cs="方正仿宋简体"/>
          <w:b w:val="0"/>
          <w:bCs w:val="0"/>
          <w:color w:val="000000"/>
          <w:sz w:val="32"/>
          <w:szCs w:val="32"/>
          <w:lang w:val="en-US" w:eastAsia="zh-CN"/>
        </w:rPr>
        <w:t>设计工具软件、购买国产自研IP进行高端芯片研发的企业或平台，可按实际支付费用的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以内比例，给予每家企业或平台每年最高不超过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w:t>
      </w:r>
    </w:p>
    <w:p w14:paraId="40C8340D">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6.支持企业流片。</w:t>
      </w:r>
      <w:r>
        <w:rPr>
          <w:rFonts w:hint="eastAsia" w:ascii="Times New Roman" w:hAnsi="Times New Roman" w:eastAsia="方正仿宋简体" w:cs="方正仿宋简体"/>
          <w:b w:val="0"/>
          <w:bCs w:val="0"/>
          <w:color w:val="000000"/>
          <w:sz w:val="32"/>
          <w:szCs w:val="32"/>
          <w:lang w:val="en-US" w:eastAsia="zh-CN"/>
        </w:rPr>
        <w:t>对于使用多项目晶圆</w:t>
      </w:r>
      <w:r>
        <w:rPr>
          <w:rFonts w:hint="default" w:ascii="Times New Roman" w:hAnsi="Times New Roman" w:eastAsia="方正仿宋简体" w:cs="Times New Roman"/>
          <w:b w:val="0"/>
          <w:bCs w:val="0"/>
          <w:color w:val="000000"/>
          <w:sz w:val="32"/>
          <w:szCs w:val="32"/>
          <w:lang w:val="en-US" w:eastAsia="zh-CN"/>
        </w:rPr>
        <w:t>(MPW)</w:t>
      </w:r>
      <w:r>
        <w:rPr>
          <w:rFonts w:hint="eastAsia" w:ascii="Times New Roman" w:hAnsi="Times New Roman" w:eastAsia="方正仿宋简体" w:cs="方正仿宋简体"/>
          <w:b w:val="0"/>
          <w:bCs w:val="0"/>
          <w:color w:val="000000"/>
          <w:sz w:val="32"/>
          <w:szCs w:val="32"/>
          <w:lang w:val="en-US" w:eastAsia="zh-CN"/>
        </w:rPr>
        <w:t>流片进行研发的企业，可按</w:t>
      </w:r>
      <w:r>
        <w:rPr>
          <w:rFonts w:hint="default" w:ascii="Times New Roman" w:hAnsi="Times New Roman" w:eastAsia="方正仿宋简体" w:cs="Times New Roman"/>
          <w:b w:val="0"/>
          <w:bCs w:val="0"/>
          <w:color w:val="000000"/>
          <w:sz w:val="32"/>
          <w:szCs w:val="32"/>
          <w:lang w:val="en-US" w:eastAsia="zh-CN"/>
        </w:rPr>
        <w:t>MPW</w:t>
      </w:r>
      <w:r>
        <w:rPr>
          <w:rFonts w:hint="eastAsia" w:ascii="Times New Roman" w:hAnsi="Times New Roman" w:eastAsia="方正仿宋简体" w:cs="方正仿宋简体"/>
          <w:b w:val="0"/>
          <w:bCs w:val="0"/>
          <w:color w:val="000000"/>
          <w:sz w:val="32"/>
          <w:szCs w:val="32"/>
          <w:lang w:val="en-US" w:eastAsia="zh-CN"/>
        </w:rPr>
        <w:t>直接费用的</w:t>
      </w:r>
      <w:r>
        <w:rPr>
          <w:rFonts w:hint="default" w:ascii="Times New Roman" w:hAnsi="Times New Roman" w:eastAsia="方正仿宋简体" w:cs="Times New Roman"/>
          <w:b w:val="0"/>
          <w:bCs w:val="0"/>
          <w:color w:val="000000"/>
          <w:sz w:val="32"/>
          <w:szCs w:val="32"/>
          <w:lang w:val="en-US" w:eastAsia="zh-CN"/>
        </w:rPr>
        <w:t>40%</w:t>
      </w:r>
      <w:r>
        <w:rPr>
          <w:rFonts w:hint="eastAsia" w:ascii="Times New Roman" w:hAnsi="Times New Roman" w:eastAsia="方正仿宋简体" w:cs="方正仿宋简体"/>
          <w:b w:val="0"/>
          <w:bCs w:val="0"/>
          <w:color w:val="000000"/>
          <w:sz w:val="32"/>
          <w:szCs w:val="32"/>
          <w:lang w:val="en-US" w:eastAsia="zh-CN"/>
        </w:rPr>
        <w:t>以内比例，给予每家企业每年总额最高不超过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万元的资助;对于首次完成全掩膜</w:t>
      </w:r>
      <w:r>
        <w:rPr>
          <w:rFonts w:hint="default" w:ascii="Times New Roman" w:hAnsi="Times New Roman" w:eastAsia="方正仿宋简体" w:cs="Times New Roman"/>
          <w:b w:val="0"/>
          <w:bCs w:val="0"/>
          <w:color w:val="000000"/>
          <w:sz w:val="32"/>
          <w:szCs w:val="32"/>
          <w:lang w:val="en-US" w:eastAsia="zh-CN"/>
        </w:rPr>
        <w:t>(FullMask)</w:t>
      </w:r>
      <w:r>
        <w:rPr>
          <w:rFonts w:hint="eastAsia" w:ascii="Times New Roman" w:hAnsi="Times New Roman" w:eastAsia="方正仿宋简体" w:cs="方正仿宋简体"/>
          <w:b w:val="0"/>
          <w:bCs w:val="0"/>
          <w:color w:val="000000"/>
          <w:sz w:val="32"/>
          <w:szCs w:val="32"/>
          <w:lang w:val="en-US" w:eastAsia="zh-CN"/>
        </w:rPr>
        <w:t>工程产品流片的企业，可按流片费用的</w:t>
      </w:r>
      <w:r>
        <w:rPr>
          <w:rFonts w:hint="default" w:ascii="Times New Roman" w:hAnsi="Times New Roman" w:eastAsia="方正仿宋简体" w:cs="Times New Roman"/>
          <w:b w:val="0"/>
          <w:bCs w:val="0"/>
          <w:color w:val="000000"/>
          <w:sz w:val="32"/>
          <w:szCs w:val="32"/>
          <w:lang w:val="en-US" w:eastAsia="zh-CN"/>
        </w:rPr>
        <w:t>40%</w:t>
      </w:r>
      <w:r>
        <w:rPr>
          <w:rFonts w:hint="eastAsia" w:ascii="Times New Roman" w:hAnsi="Times New Roman" w:eastAsia="方正仿宋简体" w:cs="方正仿宋简体"/>
          <w:b w:val="0"/>
          <w:bCs w:val="0"/>
          <w:color w:val="000000"/>
          <w:sz w:val="32"/>
          <w:szCs w:val="32"/>
          <w:lang w:val="en-US" w:eastAsia="zh-CN"/>
        </w:rPr>
        <w:t>以内比例，给予每家企业每年总额最高不超过</w:t>
      </w:r>
      <w:r>
        <w:rPr>
          <w:rFonts w:hint="default"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万元的资助。</w:t>
      </w:r>
    </w:p>
    <w:p w14:paraId="567303AF">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7.支持开展工程样片测试验证。</w:t>
      </w:r>
      <w:r>
        <w:rPr>
          <w:rFonts w:hint="eastAsia" w:ascii="Times New Roman" w:hAnsi="Times New Roman" w:eastAsia="方正仿宋简体" w:cs="方正仿宋简体"/>
          <w:b w:val="0"/>
          <w:bCs w:val="0"/>
          <w:color w:val="000000"/>
          <w:sz w:val="32"/>
          <w:szCs w:val="32"/>
          <w:lang w:val="en-US" w:eastAsia="zh-CN"/>
        </w:rPr>
        <w:t>对开展工程样片的功能、性能、可靠性、兼容性、失效分析等方面的测试验证及相关认证的集成电路设计企业，可按实际发生费用的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以内比例，给予每年最高不超过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w:t>
      </w:r>
    </w:p>
    <w:p w14:paraId="5D2CC3A2">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8.支持开展车规认证。</w:t>
      </w:r>
      <w:r>
        <w:rPr>
          <w:rFonts w:hint="eastAsia" w:ascii="Times New Roman" w:hAnsi="Times New Roman" w:eastAsia="方正仿宋简体" w:cs="方正仿宋简体"/>
          <w:b w:val="0"/>
          <w:bCs w:val="0"/>
          <w:color w:val="000000"/>
          <w:sz w:val="32"/>
          <w:szCs w:val="32"/>
          <w:lang w:val="en-US" w:eastAsia="zh-CN"/>
        </w:rPr>
        <w:t>支持企业开展</w:t>
      </w:r>
      <w:r>
        <w:rPr>
          <w:rFonts w:hint="default" w:ascii="Times New Roman" w:hAnsi="Times New Roman" w:eastAsia="方正仿宋简体" w:cs="Times New Roman"/>
          <w:b w:val="0"/>
          <w:bCs w:val="0"/>
          <w:color w:val="000000"/>
          <w:sz w:val="32"/>
          <w:szCs w:val="32"/>
          <w:lang w:val="en-US" w:eastAsia="zh-CN"/>
        </w:rPr>
        <w:t>AEC-Q100(IC)</w:t>
      </w:r>
      <w:r>
        <w:rPr>
          <w:rFonts w:hint="eastAsia" w:ascii="Times New Roman" w:hAnsi="Times New Roman" w:eastAsia="方正仿宋简体" w:cs="方正仿宋简体"/>
          <w:b w:val="0"/>
          <w:bCs w:val="0"/>
          <w:color w:val="000000"/>
          <w:sz w:val="32"/>
          <w:szCs w:val="32"/>
          <w:lang w:val="en-US" w:eastAsia="zh-CN"/>
        </w:rPr>
        <w:t>、</w:t>
      </w:r>
      <w:r>
        <w:rPr>
          <w:rFonts w:hint="eastAsia" w:ascii="Times New Roman" w:hAnsi="Times New Roman" w:eastAsia="方正仿宋简体" w:cs="Times New Roman"/>
          <w:b w:val="0"/>
          <w:bCs w:val="0"/>
          <w:color w:val="000000"/>
          <w:sz w:val="32"/>
          <w:szCs w:val="32"/>
          <w:lang w:val="en-US" w:eastAsia="zh-CN"/>
        </w:rPr>
        <w:t>AEC-Q101</w:t>
      </w:r>
      <w:r>
        <w:rPr>
          <w:rFonts w:hint="eastAsia" w:ascii="Times New Roman" w:hAnsi="Times New Roman" w:eastAsia="方正仿宋简体" w:cs="方正仿宋简体"/>
          <w:b w:val="0"/>
          <w:bCs w:val="0"/>
          <w:color w:val="000000"/>
          <w:sz w:val="32"/>
          <w:szCs w:val="32"/>
          <w:lang w:val="en-US" w:eastAsia="zh-CN"/>
        </w:rPr>
        <w:t>(分立器件)、</w:t>
      </w:r>
      <w:r>
        <w:rPr>
          <w:rFonts w:hint="default" w:ascii="Times New Roman" w:hAnsi="Times New Roman" w:eastAsia="方正仿宋简体" w:cs="Times New Roman"/>
          <w:b w:val="0"/>
          <w:bCs w:val="0"/>
          <w:color w:val="000000"/>
          <w:sz w:val="32"/>
          <w:szCs w:val="32"/>
          <w:lang w:val="en-US" w:eastAsia="zh-CN"/>
        </w:rPr>
        <w:t>AEC-Q102</w:t>
      </w:r>
      <w:r>
        <w:rPr>
          <w:rFonts w:hint="eastAsia" w:ascii="Times New Roman" w:hAnsi="Times New Roman" w:eastAsia="方正仿宋简体" w:cs="方正仿宋简体"/>
          <w:b w:val="0"/>
          <w:bCs w:val="0"/>
          <w:color w:val="000000"/>
          <w:sz w:val="32"/>
          <w:szCs w:val="32"/>
          <w:lang w:val="en-US" w:eastAsia="zh-CN"/>
        </w:rPr>
        <w:t>(光电器件)、</w:t>
      </w:r>
      <w:r>
        <w:rPr>
          <w:rFonts w:hint="eastAsia" w:ascii="Times New Roman" w:hAnsi="Times New Roman" w:eastAsia="方正仿宋简体" w:cs="Times New Roman"/>
          <w:b w:val="0"/>
          <w:bCs w:val="0"/>
          <w:color w:val="000000"/>
          <w:sz w:val="32"/>
          <w:szCs w:val="32"/>
          <w:lang w:val="en-US" w:eastAsia="zh-CN"/>
        </w:rPr>
        <w:t>AEC-Q103</w:t>
      </w:r>
      <w:r>
        <w:rPr>
          <w:rFonts w:hint="eastAsia" w:ascii="Times New Roman" w:hAnsi="Times New Roman" w:eastAsia="方正仿宋简体" w:cs="方正仿宋简体"/>
          <w:b w:val="0"/>
          <w:bCs w:val="0"/>
          <w:color w:val="000000"/>
          <w:sz w:val="32"/>
          <w:szCs w:val="32"/>
          <w:lang w:val="en-US" w:eastAsia="zh-CN"/>
        </w:rPr>
        <w:t>(</w:t>
      </w:r>
      <w:r>
        <w:rPr>
          <w:rFonts w:hint="eastAsia" w:ascii="Times New Roman" w:hAnsi="Times New Roman" w:eastAsia="方正仿宋简体" w:cs="Times New Roman"/>
          <w:b w:val="0"/>
          <w:bCs w:val="0"/>
          <w:color w:val="000000"/>
          <w:sz w:val="32"/>
          <w:szCs w:val="32"/>
          <w:lang w:val="en-US" w:eastAsia="zh-CN"/>
        </w:rPr>
        <w:t>MEMS</w:t>
      </w:r>
      <w:r>
        <w:rPr>
          <w:rFonts w:hint="eastAsia" w:ascii="Times New Roman" w:hAnsi="Times New Roman" w:eastAsia="方正仿宋简体" w:cs="方正仿宋简体"/>
          <w:b w:val="0"/>
          <w:bCs w:val="0"/>
          <w:color w:val="000000"/>
          <w:sz w:val="32"/>
          <w:szCs w:val="32"/>
          <w:lang w:val="en-US" w:eastAsia="zh-CN"/>
        </w:rPr>
        <w:t>传感器)、</w:t>
      </w:r>
      <w:r>
        <w:rPr>
          <w:rFonts w:hint="eastAsia" w:ascii="Times New Roman" w:hAnsi="Times New Roman" w:eastAsia="方正仿宋简体" w:cs="Times New Roman"/>
          <w:b w:val="0"/>
          <w:bCs w:val="0"/>
          <w:color w:val="000000"/>
          <w:sz w:val="32"/>
          <w:szCs w:val="32"/>
          <w:lang w:val="en-US" w:eastAsia="zh-CN"/>
        </w:rPr>
        <w:t>AEC-Q104</w:t>
      </w:r>
      <w:r>
        <w:rPr>
          <w:rFonts w:hint="eastAsia" w:ascii="Times New Roman" w:hAnsi="Times New Roman" w:eastAsia="方正仿宋简体" w:cs="方正仿宋简体"/>
          <w:b w:val="0"/>
          <w:bCs w:val="0"/>
          <w:color w:val="000000"/>
          <w:sz w:val="32"/>
          <w:szCs w:val="32"/>
          <w:lang w:val="en-US" w:eastAsia="zh-CN"/>
        </w:rPr>
        <w:t>(多芯片模组)、</w:t>
      </w:r>
      <w:r>
        <w:rPr>
          <w:rFonts w:hint="eastAsia" w:ascii="Times New Roman" w:hAnsi="Times New Roman" w:eastAsia="方正仿宋简体" w:cs="Times New Roman"/>
          <w:b w:val="0"/>
          <w:bCs w:val="0"/>
          <w:color w:val="000000"/>
          <w:sz w:val="32"/>
          <w:szCs w:val="32"/>
          <w:lang w:val="en-US" w:eastAsia="zh-CN"/>
        </w:rPr>
        <w:t>AEC-Q200</w:t>
      </w:r>
      <w:r>
        <w:rPr>
          <w:rFonts w:hint="eastAsia" w:ascii="Times New Roman" w:hAnsi="Times New Roman" w:eastAsia="方正仿宋简体" w:cs="方正仿宋简体"/>
          <w:b w:val="0"/>
          <w:bCs w:val="0"/>
          <w:color w:val="000000"/>
          <w:sz w:val="32"/>
          <w:szCs w:val="32"/>
          <w:lang w:val="en-US" w:eastAsia="zh-CN"/>
        </w:rPr>
        <w:t>(被动组件)可靠度标准以及</w:t>
      </w:r>
      <w:r>
        <w:rPr>
          <w:rFonts w:hint="eastAsia" w:ascii="Times New Roman" w:hAnsi="Times New Roman" w:eastAsia="方正仿宋简体" w:cs="Times New Roman"/>
          <w:b w:val="0"/>
          <w:bCs w:val="0"/>
          <w:color w:val="000000"/>
          <w:sz w:val="32"/>
          <w:szCs w:val="32"/>
          <w:lang w:val="en-US" w:eastAsia="zh-CN"/>
        </w:rPr>
        <w:t>ISO26262</w:t>
      </w:r>
      <w:r>
        <w:rPr>
          <w:rFonts w:hint="eastAsia" w:ascii="Times New Roman" w:hAnsi="Times New Roman" w:eastAsia="方正仿宋简体" w:cs="方正仿宋简体"/>
          <w:b w:val="0"/>
          <w:bCs w:val="0"/>
          <w:color w:val="000000"/>
          <w:sz w:val="32"/>
          <w:szCs w:val="32"/>
          <w:lang w:val="en-US" w:eastAsia="zh-CN"/>
        </w:rPr>
        <w:t>功能安全标准、</w:t>
      </w:r>
      <w:r>
        <w:rPr>
          <w:rFonts w:hint="eastAsia" w:ascii="Times New Roman" w:hAnsi="Times New Roman" w:eastAsia="方正仿宋简体" w:cs="Times New Roman"/>
          <w:b w:val="0"/>
          <w:bCs w:val="0"/>
          <w:color w:val="000000"/>
          <w:sz w:val="32"/>
          <w:szCs w:val="32"/>
          <w:lang w:val="en-US" w:eastAsia="zh-CN"/>
        </w:rPr>
        <w:t>IATF16949</w:t>
      </w:r>
      <w:r>
        <w:rPr>
          <w:rFonts w:hint="eastAsia" w:ascii="Times New Roman" w:hAnsi="Times New Roman" w:eastAsia="方正仿宋简体" w:cs="方正仿宋简体"/>
          <w:b w:val="0"/>
          <w:bCs w:val="0"/>
          <w:color w:val="000000"/>
          <w:sz w:val="32"/>
          <w:szCs w:val="32"/>
          <w:lang w:val="en-US" w:eastAsia="zh-CN"/>
        </w:rPr>
        <w:t>体系的培训与认证，可按培训和认证费实际发生金额的</w:t>
      </w:r>
      <w:r>
        <w:rPr>
          <w:rFonts w:hint="eastAsia"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以内比例，给予每年总额最高不超过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万元的资助，年限不超过两年。</w:t>
      </w:r>
    </w:p>
    <w:p w14:paraId="7412A0AE">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9.支持成果研发转化。</w:t>
      </w:r>
      <w:r>
        <w:rPr>
          <w:rFonts w:hint="eastAsia" w:ascii="Times New Roman" w:hAnsi="Times New Roman" w:eastAsia="方正仿宋简体" w:cs="方正仿宋简体"/>
          <w:b w:val="0"/>
          <w:bCs w:val="0"/>
          <w:color w:val="000000"/>
          <w:sz w:val="32"/>
          <w:szCs w:val="32"/>
          <w:lang w:val="en-US" w:eastAsia="zh-CN"/>
        </w:rPr>
        <w:t>鼓励企业或机构自主开展或联合上下游产业链企业、科研平台、院所高校等开展产学研合作并实施产业化项目，经认定，可按项目实际投入资金总额的</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default" w:ascii="Times New Roman" w:hAnsi="Times New Roman" w:eastAsia="方正仿宋简体" w:cs="Times New Roman"/>
          <w:b w:val="0"/>
          <w:bCs w:val="0"/>
          <w:color w:val="000000"/>
          <w:sz w:val="32"/>
          <w:szCs w:val="32"/>
          <w:lang w:val="en-US" w:eastAsia="zh-CN"/>
        </w:rPr>
        <w:t>300</w:t>
      </w:r>
      <w:r>
        <w:rPr>
          <w:rFonts w:hint="eastAsia" w:ascii="Times New Roman" w:hAnsi="Times New Roman" w:eastAsia="方正仿宋简体" w:cs="方正仿宋简体"/>
          <w:b w:val="0"/>
          <w:bCs w:val="0"/>
          <w:color w:val="000000"/>
          <w:sz w:val="32"/>
          <w:szCs w:val="32"/>
          <w:lang w:val="en-US" w:eastAsia="zh-CN"/>
        </w:rPr>
        <w:t>万元的资助。</w:t>
      </w:r>
    </w:p>
    <w:p w14:paraId="13D1D4D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(三)产业生态打造</w:t>
      </w:r>
    </w:p>
    <w:p w14:paraId="1E2DD0F7">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10.支持公共服务平台建设。</w:t>
      </w:r>
      <w:r>
        <w:rPr>
          <w:rFonts w:hint="eastAsia" w:ascii="Times New Roman" w:hAnsi="Times New Roman" w:eastAsia="方正仿宋简体" w:cs="方正仿宋简体"/>
          <w:b w:val="0"/>
          <w:bCs w:val="0"/>
          <w:color w:val="000000"/>
          <w:sz w:val="32"/>
          <w:szCs w:val="32"/>
          <w:lang w:val="en-US" w:eastAsia="zh-CN"/>
        </w:rPr>
        <w:t>对为集成电路企业提供技术研发、技术咨询、检验检测、测试认证、成果对接、技术交易等服务的公共服务平台，经认定，可按实际投资金额的</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万元的一次性资助。对公共服务平台服务集成电路企业的，经认定，可按服务合同实际完成金额的</w:t>
      </w:r>
      <w:r>
        <w:rPr>
          <w:rFonts w:hint="default"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以内比例，给予平台每年最高不超过</w:t>
      </w:r>
      <w:r>
        <w:rPr>
          <w:rFonts w:hint="default" w:ascii="Times New Roman" w:hAnsi="Times New Roman" w:eastAsia="方正仿宋简体" w:cs="Times New Roman"/>
          <w:b w:val="0"/>
          <w:bCs w:val="0"/>
          <w:color w:val="000000"/>
          <w:sz w:val="32"/>
          <w:szCs w:val="32"/>
          <w:lang w:val="en-US" w:eastAsia="zh-CN"/>
        </w:rPr>
        <w:t>100</w:t>
      </w:r>
      <w:r>
        <w:rPr>
          <w:rFonts w:hint="eastAsia" w:ascii="Times New Roman" w:hAnsi="Times New Roman" w:eastAsia="方正仿宋简体" w:cs="方正仿宋简体"/>
          <w:b w:val="0"/>
          <w:bCs w:val="0"/>
          <w:color w:val="000000"/>
          <w:sz w:val="32"/>
          <w:szCs w:val="32"/>
          <w:lang w:val="en-US" w:eastAsia="zh-CN"/>
        </w:rPr>
        <w:t>万元的资助。</w:t>
      </w:r>
    </w:p>
    <w:p w14:paraId="6D006053">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11.鼓励产业集聚发展。</w:t>
      </w:r>
      <w:r>
        <w:rPr>
          <w:rFonts w:hint="eastAsia" w:ascii="Times New Roman" w:hAnsi="Times New Roman" w:eastAsia="方正仿宋简体" w:cs="方正仿宋简体"/>
          <w:b w:val="0"/>
          <w:bCs w:val="0"/>
          <w:color w:val="000000"/>
          <w:sz w:val="32"/>
          <w:szCs w:val="32"/>
          <w:lang w:val="en-US" w:eastAsia="zh-CN"/>
        </w:rPr>
        <w:t>对下游应用端企业首购首用非关联集成电路设计企业的自主开发芯片或模组的，可按年度实际采购金额的</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以内比例，给予每家企业每年最高不超过</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万元的资助。对集成电路设计企业首购首用集成电路相关配套产业(包括智能软件等)非关联企业的产品和服务，可按年度实际采购金额的</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以内比例，给予每家企业每年最高不超过</w:t>
      </w:r>
      <w:r>
        <w:rPr>
          <w:rFonts w:hint="default" w:ascii="Times New Roman" w:hAnsi="Times New Roman" w:eastAsia="方正仿宋简体" w:cs="Times New Roman"/>
          <w:b w:val="0"/>
          <w:bCs w:val="0"/>
          <w:color w:val="000000"/>
          <w:sz w:val="32"/>
          <w:szCs w:val="32"/>
          <w:lang w:val="en-US" w:eastAsia="zh-CN"/>
        </w:rPr>
        <w:t>30</w:t>
      </w:r>
      <w:r>
        <w:rPr>
          <w:rFonts w:hint="eastAsia" w:ascii="Times New Roman" w:hAnsi="Times New Roman" w:eastAsia="方正仿宋简体" w:cs="方正仿宋简体"/>
          <w:b w:val="0"/>
          <w:bCs w:val="0"/>
          <w:color w:val="000000"/>
          <w:sz w:val="32"/>
          <w:szCs w:val="32"/>
          <w:lang w:val="en-US" w:eastAsia="zh-CN"/>
        </w:rPr>
        <w:t>万元的资助。</w:t>
      </w:r>
    </w:p>
    <w:p w14:paraId="73D974F5">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12.支持行业合作交流。</w:t>
      </w:r>
      <w:r>
        <w:rPr>
          <w:rFonts w:hint="eastAsia" w:ascii="Times New Roman" w:hAnsi="Times New Roman" w:eastAsia="方正仿宋简体" w:cs="方正仿宋简体"/>
          <w:b w:val="0"/>
          <w:bCs w:val="0"/>
          <w:color w:val="000000"/>
          <w:sz w:val="32"/>
          <w:szCs w:val="32"/>
          <w:lang w:val="en-US" w:eastAsia="zh-CN"/>
        </w:rPr>
        <w:t>对举办相关领域具有一定影响力的峰会、论坛、展览会、博览会等活动，组织相关领域具有一定影响力的联盟、协会等，具有示范带动效应且促进区域产业集聚的，经认定，可按实际投入资金总额的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以内比例，给予最高不超过</w:t>
      </w:r>
      <w:r>
        <w:rPr>
          <w:rFonts w:hint="default" w:ascii="Times New Roman" w:hAnsi="Times New Roman" w:eastAsia="方正仿宋简体" w:cs="Times New Roman"/>
          <w:b w:val="0"/>
          <w:bCs w:val="0"/>
          <w:color w:val="000000"/>
          <w:sz w:val="32"/>
          <w:szCs w:val="32"/>
          <w:lang w:val="en-US" w:eastAsia="zh-CN"/>
        </w:rPr>
        <w:t>200</w:t>
      </w:r>
      <w:r>
        <w:rPr>
          <w:rFonts w:hint="eastAsia" w:ascii="Times New Roman" w:hAnsi="Times New Roman" w:eastAsia="方正仿宋简体" w:cs="方正仿宋简体"/>
          <w:b w:val="0"/>
          <w:bCs w:val="0"/>
          <w:color w:val="000000"/>
          <w:sz w:val="32"/>
          <w:szCs w:val="32"/>
          <w:lang w:val="en-US" w:eastAsia="zh-CN"/>
        </w:rPr>
        <w:t>万元的资助。对参与具有影响力的相关产业峰会、论坛、展览会等活动，经认定，对参展单位可按活动实际发生的注册费、展位费、搭建费等费用的</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以内比例，给予总额最高不超过</w:t>
      </w:r>
      <w:r>
        <w:rPr>
          <w:rFonts w:hint="default" w:ascii="Times New Roman" w:hAnsi="Times New Roman" w:eastAsia="方正仿宋简体" w:cs="Times New Roman"/>
          <w:b w:val="0"/>
          <w:bCs w:val="0"/>
          <w:color w:val="000000"/>
          <w:sz w:val="32"/>
          <w:szCs w:val="32"/>
          <w:lang w:val="en-US" w:eastAsia="zh-CN"/>
        </w:rPr>
        <w:t>50</w:t>
      </w:r>
      <w:r>
        <w:rPr>
          <w:rFonts w:hint="eastAsia" w:ascii="Times New Roman" w:hAnsi="Times New Roman" w:eastAsia="方正仿宋简体" w:cs="方正仿宋简体"/>
          <w:b w:val="0"/>
          <w:bCs w:val="0"/>
          <w:color w:val="000000"/>
          <w:sz w:val="32"/>
          <w:szCs w:val="32"/>
          <w:lang w:val="en-US" w:eastAsia="zh-CN"/>
        </w:rPr>
        <w:t>万元的资助。</w:t>
      </w:r>
    </w:p>
    <w:p w14:paraId="3A955B4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(四)其他</w:t>
      </w:r>
    </w:p>
    <w:p w14:paraId="2D251C0C">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13.</w:t>
      </w:r>
      <w:r>
        <w:rPr>
          <w:rFonts w:hint="eastAsia" w:ascii="Times New Roman" w:hAnsi="Times New Roman" w:eastAsia="方正仿宋简体" w:cs="方正仿宋简体"/>
          <w:b w:val="0"/>
          <w:bCs w:val="0"/>
          <w:color w:val="000000"/>
          <w:sz w:val="32"/>
          <w:szCs w:val="32"/>
          <w:lang w:val="en-US" w:eastAsia="zh-CN"/>
        </w:rPr>
        <w:t>对国家、市级科技重大专项等科研计划项目所孵化的相关领域企业，及对行业有引领带动作用的重点企业，经认定，可给予一定资助。</w:t>
      </w:r>
    </w:p>
    <w:p w14:paraId="6F6F524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四、使用管理</w:t>
      </w:r>
    </w:p>
    <w:p w14:paraId="01E9C666">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(一)区科委根据本意见制定实施流程和细则，落实项目审核、跟踪、评估等工作。本政策条款若与上海市、普陀区制定的其他政策有重复交叉的，按照“从高不重复”原则予以支持。</w:t>
      </w:r>
    </w:p>
    <w:p w14:paraId="4E82657B">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(二)各重点地区投资促进中心负责受理扶持项目申请、进行形式审查，在政策实施部门完成项目审核后负责向申报单位答复，并配合实施部门做好项目管理服务工作。</w:t>
      </w:r>
    </w:p>
    <w:p w14:paraId="0CFC8EB8">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(三)区科委负责编制年度专项资金预算，并按程序向区财政局申请拨款，区财政局负责执行相关资金的拨付，在项目过程中会同审计部门对专项资金的使用管理情况进行监督管理。</w:t>
      </w:r>
    </w:p>
    <w:p w14:paraId="4C902EFD">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(四)本意见按照《普陀区产业政策绩效评估管理办法》，实行绩效评估管理。</w:t>
      </w:r>
    </w:p>
    <w:p w14:paraId="0268A70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五、附则</w:t>
      </w:r>
    </w:p>
    <w:p w14:paraId="4D86DC1A">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(一)扶持对象享受本区各类专项资金总和原则上参照研发投入、创新水平和规模增速等作为综合评估依据。</w:t>
      </w:r>
    </w:p>
    <w:p w14:paraId="5451D23A">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二)实行产业专项资金全过程信用管理。申请本政策扶持的企业或机构，将接受信用审查，过去三年内存在严重失信行为或违法行为的，取消申请资格。企业或机构在享受扶持过程中存在失信行为，经查实的，按照有关规定报送市、区公共信用信息服务平台。扶持对象存在弄虚作假、骗取专项资金等违法违规行为，经查实的，将立即取消一切资金拨付并追缴已拨付资金，依法追究相关责任。</w:t>
      </w:r>
    </w:p>
    <w:p w14:paraId="4A38D47F">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(三)本意见自</w:t>
      </w:r>
      <w:r>
        <w:rPr>
          <w:rFonts w:hint="default" w:ascii="Times New Roman" w:hAnsi="Times New Roman" w:eastAsia="方正仿宋简体" w:cs="Times New Roman"/>
          <w:b w:val="0"/>
          <w:bCs w:val="0"/>
          <w:color w:val="000000"/>
          <w:sz w:val="32"/>
          <w:szCs w:val="32"/>
          <w:lang w:val="en-US" w:eastAsia="zh-CN"/>
        </w:rPr>
        <w:t>2025</w:t>
      </w:r>
      <w:r>
        <w:rPr>
          <w:rFonts w:hint="eastAsia" w:ascii="Times New Roman" w:hAnsi="Times New Roman" w:eastAsia="方正仿宋简体" w:cs="方正仿宋简体"/>
          <w:b w:val="0"/>
          <w:bCs w:val="0"/>
          <w:color w:val="000000"/>
          <w:sz w:val="32"/>
          <w:szCs w:val="32"/>
          <w:lang w:val="en-US" w:eastAsia="zh-CN"/>
        </w:rPr>
        <w:t>年</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月</w:t>
      </w:r>
      <w:r>
        <w:rPr>
          <w:rFonts w:hint="default" w:ascii="Times New Roman" w:hAnsi="Times New Roman" w:eastAsia="方正仿宋简体" w:cs="Times New Roman"/>
          <w:b w:val="0"/>
          <w:bCs w:val="0"/>
          <w:color w:val="000000"/>
          <w:sz w:val="32"/>
          <w:szCs w:val="32"/>
          <w:lang w:val="en-US" w:eastAsia="zh-CN"/>
        </w:rPr>
        <w:t>1</w:t>
      </w:r>
      <w:r>
        <w:rPr>
          <w:rFonts w:hint="eastAsia" w:ascii="Times New Roman" w:hAnsi="Times New Roman" w:eastAsia="方正仿宋简体" w:cs="方正仿宋简体"/>
          <w:b w:val="0"/>
          <w:bCs w:val="0"/>
          <w:color w:val="000000"/>
          <w:sz w:val="32"/>
          <w:szCs w:val="32"/>
          <w:lang w:val="en-US" w:eastAsia="zh-CN"/>
        </w:rPr>
        <w:t>日起施行，有效期至</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月</w:t>
      </w:r>
      <w:r>
        <w:rPr>
          <w:rFonts w:hint="default" w:ascii="Times New Roman" w:hAnsi="Times New Roman" w:eastAsia="方正仿宋简体" w:cs="Times New Roman"/>
          <w:b w:val="0"/>
          <w:bCs w:val="0"/>
          <w:color w:val="000000"/>
          <w:sz w:val="32"/>
          <w:szCs w:val="32"/>
          <w:lang w:val="en-US" w:eastAsia="zh-CN"/>
        </w:rPr>
        <w:t>31</w:t>
      </w:r>
      <w:r>
        <w:rPr>
          <w:rFonts w:hint="eastAsia" w:ascii="Times New Roman" w:hAnsi="Times New Roman" w:eastAsia="方正仿宋简体" w:cs="方正仿宋简体"/>
          <w:b w:val="0"/>
          <w:bCs w:val="0"/>
          <w:color w:val="000000"/>
          <w:sz w:val="32"/>
          <w:szCs w:val="32"/>
          <w:lang w:val="en-US" w:eastAsia="zh-CN"/>
        </w:rPr>
        <w:t>日。区科委</w:t>
      </w:r>
      <w:r>
        <w:rPr>
          <w:rFonts w:hint="default" w:ascii="Times New Roman" w:hAnsi="Times New Roman" w:eastAsia="方正仿宋简体" w:cs="Times New Roman"/>
          <w:b w:val="0"/>
          <w:bCs w:val="0"/>
          <w:color w:val="000000"/>
          <w:sz w:val="32"/>
          <w:szCs w:val="32"/>
          <w:lang w:val="en-US" w:eastAsia="zh-CN"/>
        </w:rPr>
        <w:t>2023</w:t>
      </w:r>
      <w:r>
        <w:rPr>
          <w:rFonts w:hint="eastAsia" w:ascii="Times New Roman" w:hAnsi="Times New Roman"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10</w:t>
      </w:r>
      <w:r>
        <w:rPr>
          <w:rFonts w:hint="eastAsia" w:ascii="Times New Roman" w:hAnsi="Times New Roman"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13</w:t>
      </w:r>
      <w:r>
        <w:rPr>
          <w:rFonts w:hint="eastAsia" w:ascii="Times New Roman" w:hAnsi="Times New Roman" w:eastAsia="方正仿宋简体" w:cs="方正仿宋简体"/>
          <w:b w:val="0"/>
          <w:bCs w:val="0"/>
          <w:color w:val="000000"/>
          <w:sz w:val="32"/>
          <w:szCs w:val="32"/>
          <w:lang w:val="en-US" w:eastAsia="zh-CN"/>
        </w:rPr>
        <w:t>日印发的《普陀区加快发展集成电路产业实施意见(试行)》(普科合规</w:t>
      </w:r>
      <w:r>
        <w:rPr>
          <w:rFonts w:hint="eastAsia" w:ascii="Times New Roman" w:hAnsi="Times New Roman" w:eastAsia="方正仿宋简体" w:cs="Times New Roman"/>
          <w:b w:val="0"/>
          <w:bCs w:val="0"/>
          <w:color w:val="000000"/>
          <w:sz w:val="32"/>
          <w:szCs w:val="32"/>
          <w:lang w:val="en-US" w:eastAsia="zh-CN"/>
        </w:rPr>
        <w:t>〔2023〕2</w:t>
      </w:r>
      <w:r>
        <w:rPr>
          <w:rFonts w:hint="eastAsia" w:ascii="Times New Roman" w:hAnsi="Times New Roman" w:eastAsia="方正仿宋简体" w:cs="方正仿宋简体"/>
          <w:b w:val="0"/>
          <w:bCs w:val="0"/>
          <w:color w:val="000000"/>
          <w:sz w:val="32"/>
          <w:szCs w:val="32"/>
          <w:lang w:val="en-US" w:eastAsia="zh-CN"/>
        </w:rPr>
        <w:t>号)同时废止。</w:t>
      </w:r>
    </w:p>
    <w:p w14:paraId="30568FC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_GB2312" w:cs="方正仿宋_GB2312"/>
          <w:b w:val="0"/>
          <w:bCs w:val="0"/>
          <w:color w:val="000000"/>
          <w:kern w:val="2"/>
          <w:sz w:val="32"/>
          <w:szCs w:val="32"/>
          <w:lang w:val="en-US" w:eastAsia="zh-CN" w:bidi="ar-SA"/>
        </w:rPr>
      </w:pPr>
    </w:p>
    <w:p w14:paraId="7945143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关于印发《浦东新区人形机器人产业高质量发展三年行动计划（2024-2026年）》的通知</w:t>
      </w:r>
    </w:p>
    <w:p w14:paraId="13599D3A">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3691E12F">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各相关单位：</w:t>
      </w:r>
    </w:p>
    <w:p w14:paraId="21D48C58">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《浦东新区人形机器人产业高质量发展三年行动计划（</w:t>
      </w:r>
      <w:r>
        <w:rPr>
          <w:rFonts w:hint="default" w:ascii="Times New Roman" w:hAnsi="Times New Roman" w:eastAsia="方正仿宋简体" w:cs="Times New Roman"/>
          <w:b w:val="0"/>
          <w:bCs w:val="0"/>
          <w:color w:val="000000"/>
          <w:sz w:val="32"/>
          <w:szCs w:val="32"/>
        </w:rPr>
        <w:t>2024-2026</w:t>
      </w:r>
      <w:r>
        <w:rPr>
          <w:rFonts w:hint="default" w:ascii="Times New Roman" w:hAnsi="Times New Roman" w:eastAsia="方正仿宋简体" w:cs="方正仿宋简体"/>
          <w:b w:val="0"/>
          <w:bCs w:val="0"/>
          <w:color w:val="000000"/>
          <w:sz w:val="32"/>
          <w:szCs w:val="32"/>
        </w:rPr>
        <w:t>年）》已经区政府同意，现印发给你们，请认真推进落实。</w:t>
      </w:r>
    </w:p>
    <w:p w14:paraId="6FD452C7">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rPr>
        <w:t>特此通知。</w:t>
      </w:r>
    </w:p>
    <w:p w14:paraId="4E61AB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560" w:lineRule="atLeast"/>
        <w:ind w:left="0" w:right="0" w:firstLine="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kern w:val="2"/>
          <w:sz w:val="32"/>
          <w:szCs w:val="32"/>
          <w:lang w:val="en-US" w:eastAsia="zh-CN" w:bidi="ar-SA"/>
        </w:rPr>
        <w:t>上海市浦东新区科技和经济委员会</w:t>
      </w:r>
    </w:p>
    <w:p w14:paraId="089845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560" w:lineRule="atLeast"/>
        <w:ind w:left="0" w:right="0" w:firstLine="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Times New Roman"/>
          <w:b w:val="0"/>
          <w:bCs w:val="0"/>
          <w:color w:val="000000"/>
          <w:kern w:val="2"/>
          <w:sz w:val="32"/>
          <w:szCs w:val="32"/>
          <w:lang w:val="en-US" w:eastAsia="zh-CN" w:bidi="ar-SA"/>
        </w:rPr>
        <w:t>2024</w:t>
      </w:r>
      <w:r>
        <w:rPr>
          <w:rFonts w:hint="default" w:ascii="Times New Roman" w:hAnsi="Times New Roman" w:eastAsia="方正仿宋简体" w:cs="方正仿宋简体"/>
          <w:b w:val="0"/>
          <w:bCs w:val="0"/>
          <w:color w:val="000000"/>
          <w:kern w:val="2"/>
          <w:sz w:val="32"/>
          <w:szCs w:val="32"/>
          <w:lang w:val="en-US" w:eastAsia="zh-CN" w:bidi="ar-SA"/>
        </w:rPr>
        <w:t>年</w:t>
      </w:r>
      <w:r>
        <w:rPr>
          <w:rFonts w:hint="default" w:ascii="Times New Roman" w:hAnsi="Times New Roman" w:eastAsia="方正仿宋简体" w:cs="Times New Roman"/>
          <w:b w:val="0"/>
          <w:bCs w:val="0"/>
          <w:color w:val="000000"/>
          <w:kern w:val="2"/>
          <w:sz w:val="32"/>
          <w:szCs w:val="32"/>
          <w:lang w:val="en-US" w:eastAsia="zh-CN" w:bidi="ar-SA"/>
        </w:rPr>
        <w:t>9</w:t>
      </w:r>
      <w:r>
        <w:rPr>
          <w:rFonts w:hint="default" w:ascii="Times New Roman" w:hAnsi="Times New Roman" w:eastAsia="方正仿宋简体" w:cs="方正仿宋简体"/>
          <w:b w:val="0"/>
          <w:bCs w:val="0"/>
          <w:color w:val="000000"/>
          <w:kern w:val="2"/>
          <w:sz w:val="32"/>
          <w:szCs w:val="32"/>
          <w:lang w:val="en-US" w:eastAsia="zh-CN" w:bidi="ar-SA"/>
        </w:rPr>
        <w:t>月</w:t>
      </w:r>
      <w:r>
        <w:rPr>
          <w:rFonts w:hint="default" w:ascii="Times New Roman" w:hAnsi="Times New Roman" w:eastAsia="方正仿宋简体" w:cs="Times New Roman"/>
          <w:b w:val="0"/>
          <w:bCs w:val="0"/>
          <w:color w:val="000000"/>
          <w:kern w:val="2"/>
          <w:sz w:val="32"/>
          <w:szCs w:val="32"/>
          <w:lang w:val="en-US" w:eastAsia="zh-CN" w:bidi="ar-SA"/>
        </w:rPr>
        <w:t>29</w:t>
      </w:r>
      <w:r>
        <w:rPr>
          <w:rFonts w:hint="default" w:ascii="Times New Roman" w:hAnsi="Times New Roman" w:eastAsia="方正仿宋简体" w:cs="方正仿宋简体"/>
          <w:b w:val="0"/>
          <w:bCs w:val="0"/>
          <w:color w:val="000000"/>
          <w:kern w:val="2"/>
          <w:sz w:val="32"/>
          <w:szCs w:val="32"/>
          <w:lang w:val="en-US" w:eastAsia="zh-CN" w:bidi="ar-SA"/>
        </w:rPr>
        <w:t>日</w:t>
      </w:r>
    </w:p>
    <w:p w14:paraId="7430BC7E">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64318E33">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60789C0D">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2BDD51CF">
      <w:pPr>
        <w:tabs>
          <w:tab w:val="left" w:pos="3355"/>
        </w:tabs>
        <w:bidi w:val="0"/>
        <w:jc w:val="left"/>
        <w:rPr>
          <w:rFonts w:hint="eastAsia" w:ascii="Times New Roman" w:hAnsi="Times New Roman" w:eastAsia="方正仿宋简体" w:cs="方正仿宋简体"/>
          <w:b w:val="0"/>
          <w:bCs w:val="0"/>
          <w:color w:val="000000"/>
          <w:sz w:val="32"/>
          <w:szCs w:val="32"/>
          <w:lang w:eastAsia="zh-CN"/>
        </w:rPr>
      </w:pPr>
    </w:p>
    <w:p w14:paraId="0ECF4FB4">
      <w:pPr>
        <w:tabs>
          <w:tab w:val="left" w:pos="2348"/>
        </w:tabs>
        <w:bidi w:val="0"/>
        <w:ind w:firstLine="640" w:firstLineChars="200"/>
        <w:jc w:val="left"/>
        <w:rPr>
          <w:rFonts w:hint="default" w:ascii="Times New Roman" w:hAnsi="Times New Roman" w:eastAsia="方正仿宋简体" w:cs="方正仿宋简体"/>
          <w:b w:val="0"/>
          <w:bCs w:val="0"/>
          <w:color w:val="000000"/>
          <w:sz w:val="32"/>
          <w:szCs w:val="32"/>
        </w:rPr>
      </w:pPr>
    </w:p>
    <w:p w14:paraId="36E204C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default" w:ascii="Times New Roman" w:hAnsi="Times New Roman" w:eastAsia="方正小标宋简体" w:cs="方正小标宋简体"/>
          <w:sz w:val="44"/>
          <w:szCs w:val="44"/>
        </w:rPr>
      </w:pPr>
      <w:r>
        <w:rPr>
          <w:rFonts w:hint="default" w:ascii="Times New Roman" w:hAnsi="Times New Roman" w:eastAsia="方正小标宋简体" w:cs="方正小标宋简体"/>
          <w:sz w:val="44"/>
          <w:szCs w:val="44"/>
        </w:rPr>
        <w:t>浦东新区人形机器人产业高质量发展</w:t>
      </w:r>
    </w:p>
    <w:p w14:paraId="0AA5269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default" w:ascii="Times New Roman" w:hAnsi="Times New Roman" w:eastAsia="方正小标宋简体" w:cs="方正小标宋简体"/>
          <w:sz w:val="44"/>
          <w:szCs w:val="44"/>
        </w:rPr>
      </w:pPr>
      <w:r>
        <w:rPr>
          <w:rFonts w:hint="default" w:ascii="Times New Roman" w:hAnsi="Times New Roman" w:eastAsia="方正小标宋简体" w:cs="方正小标宋简体"/>
          <w:sz w:val="44"/>
          <w:szCs w:val="44"/>
        </w:rPr>
        <w:t>三年行动计划（2024-2026年）</w:t>
      </w:r>
    </w:p>
    <w:p w14:paraId="39446C6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p>
    <w:p w14:paraId="7AA4EB6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为深入贯彻党的二十大精神，全面落实中央支持浦东新区高水平改革开放打造社会主义现代化建设引领区意见决定，以及《人形机器人创新发展指导意见》《上海市促进智能机器人产业高质量创新发展行动方案（</w:t>
      </w:r>
      <w:r>
        <w:rPr>
          <w:rFonts w:hint="default" w:ascii="Times New Roman" w:hAnsi="Times New Roman" w:eastAsia="方正仿宋简体" w:cs="Times New Roman"/>
          <w:b w:val="0"/>
          <w:bCs w:val="0"/>
          <w:color w:val="000000"/>
          <w:sz w:val="32"/>
          <w:szCs w:val="32"/>
          <w:lang w:val="en-US" w:eastAsia="zh-CN"/>
        </w:rPr>
        <w:t>2023-2025</w:t>
      </w:r>
      <w:r>
        <w:rPr>
          <w:rFonts w:hint="eastAsia" w:ascii="Times New Roman" w:hAnsi="Times New Roman" w:eastAsia="方正仿宋简体" w:cs="方正仿宋简体"/>
          <w:b w:val="0"/>
          <w:bCs w:val="0"/>
          <w:color w:val="000000"/>
          <w:sz w:val="32"/>
          <w:szCs w:val="32"/>
          <w:lang w:val="en-US" w:eastAsia="zh-CN"/>
        </w:rPr>
        <w:t>年）》等文件，加快推进浦东人形机器人产业高质量发展，打造以人形机器人为引领的具身智能发展高地，推进人形机器人成为新质生产力，制定本行动计划。</w:t>
      </w:r>
    </w:p>
    <w:p w14:paraId="131489B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一、行动目标</w:t>
      </w:r>
    </w:p>
    <w:p w14:paraId="22908DE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2026</w:t>
      </w:r>
      <w:r>
        <w:rPr>
          <w:rFonts w:hint="eastAsia" w:ascii="Times New Roman" w:hAnsi="Times New Roman" w:eastAsia="方正仿宋简体" w:cs="方正仿宋简体"/>
          <w:b w:val="0"/>
          <w:bCs w:val="0"/>
          <w:color w:val="000000"/>
          <w:sz w:val="32"/>
          <w:szCs w:val="32"/>
          <w:lang w:val="en-US" w:eastAsia="zh-CN"/>
        </w:rPr>
        <w:t>年，推动浦东人形机器人产业能级大幅跃升、产业集聚效应显著、产业创新活力强劲、产业生态体系完备，成为上海乃至全国人形机器人产业核心引领区。</w:t>
      </w:r>
    </w:p>
    <w:p w14:paraId="5F0957C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产业集聚方面，培育</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家具有全球影响力的生态型企业、</w:t>
      </w:r>
      <w:r>
        <w:rPr>
          <w:rFonts w:hint="default" w:ascii="Times New Roman" w:hAnsi="Times New Roman" w:eastAsia="方正仿宋简体" w:cs="Times New Roman"/>
          <w:b w:val="0"/>
          <w:bCs w:val="0"/>
          <w:color w:val="000000"/>
          <w:sz w:val="32"/>
          <w:szCs w:val="32"/>
          <w:lang w:val="en-US" w:eastAsia="zh-CN"/>
        </w:rPr>
        <w:t>20</w:t>
      </w:r>
      <w:r>
        <w:rPr>
          <w:rFonts w:hint="eastAsia" w:ascii="Times New Roman" w:hAnsi="Times New Roman" w:eastAsia="方正仿宋简体" w:cs="方正仿宋简体"/>
          <w:b w:val="0"/>
          <w:bCs w:val="0"/>
          <w:color w:val="000000"/>
          <w:sz w:val="32"/>
          <w:szCs w:val="32"/>
          <w:lang w:val="en-US" w:eastAsia="zh-CN"/>
        </w:rPr>
        <w:t>家产业细分领域技术领先企业，浦东人形机器人产业链企业数量达到近百家。空间布局方面，打造“一核引领、一园协同”的产业空间格局，形成以人形机器人开源社区为核心引领的具身智能创新策源地，构建具有国际影响力的人形机器人产业集聚区。功能平台方面，加快实施开放性创新驱动战略，搭建开源研发训练、快速制造开发等功能服务平台，形成人形机器人链式科创生态。创新生态方面，推动人形机器人在智能制造、民生服务、特种作业等领域应用，形成一批人形机器人示范应用，打造</w:t>
      </w:r>
      <w:r>
        <w:rPr>
          <w:rFonts w:hint="default" w:ascii="Times New Roman" w:hAnsi="Times New Roman" w:eastAsia="方正仿宋简体" w:cs="Times New Roman"/>
          <w:b w:val="0"/>
          <w:bCs w:val="0"/>
          <w:color w:val="000000"/>
          <w:sz w:val="32"/>
          <w:szCs w:val="32"/>
          <w:lang w:val="en-US" w:eastAsia="zh-CN"/>
        </w:rPr>
        <w:t>1-2</w:t>
      </w:r>
      <w:r>
        <w:rPr>
          <w:rFonts w:hint="eastAsia" w:ascii="Times New Roman" w:hAnsi="Times New Roman" w:eastAsia="方正仿宋简体" w:cs="方正仿宋简体"/>
          <w:b w:val="0"/>
          <w:bCs w:val="0"/>
          <w:color w:val="000000"/>
          <w:sz w:val="32"/>
          <w:szCs w:val="32"/>
          <w:lang w:val="en-US" w:eastAsia="zh-CN"/>
        </w:rPr>
        <w:t>个百台级以上规模的超级场景。</w:t>
      </w:r>
    </w:p>
    <w:p w14:paraId="5EF8AB6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二、重点任务</w:t>
      </w:r>
    </w:p>
    <w:p w14:paraId="69B283D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通过实施整机带动、场景牵引、数智赋能、空间示范、生态开放等五大专项工程，强化浦东人形机器人产业高端引领功能，推动浦东人形机器人产业高质量发展。</w:t>
      </w:r>
    </w:p>
    <w:p w14:paraId="3B21AE6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（一）整机带动工程：以整机落地为驱动，带动关键零部件、产业链高价值环节加速发展</w:t>
      </w:r>
    </w:p>
    <w:p w14:paraId="3D2BBA0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加大整机及关键零部件产业链培育和招商引资力度，推动产业链上下游专业化协同分工，通过整机固链、精准补链、拓新强链推动人形机器人产业链水平全面提升、产业链高价值环节加速发展。</w:t>
      </w:r>
    </w:p>
    <w:p w14:paraId="13904C9F">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1.</w:t>
      </w:r>
      <w:r>
        <w:rPr>
          <w:rFonts w:hint="eastAsia" w:ascii="Times New Roman" w:hAnsi="Times New Roman" w:eastAsia="方正仿宋简体" w:cs="方正仿宋简体"/>
          <w:b/>
          <w:bCs/>
          <w:color w:val="000000"/>
          <w:sz w:val="32"/>
          <w:szCs w:val="32"/>
          <w:lang w:val="en-US" w:eastAsia="zh-CN"/>
        </w:rPr>
        <w:t>强化整机固链。</w:t>
      </w:r>
      <w:r>
        <w:rPr>
          <w:rFonts w:hint="eastAsia" w:ascii="Times New Roman" w:hAnsi="Times New Roman" w:eastAsia="方正仿宋简体" w:cs="方正仿宋简体"/>
          <w:b w:val="0"/>
          <w:bCs w:val="0"/>
          <w:color w:val="000000"/>
          <w:sz w:val="32"/>
          <w:szCs w:val="32"/>
          <w:lang w:val="en-US" w:eastAsia="zh-CN"/>
        </w:rPr>
        <w:t>建立产业招商项目库，推动国内外优质人形机器人龙头企业整机及相关设计、研发、生产、服务环节集聚发展；积极引进国内外优秀人形机器人初创企业或创新苗圃，进行总部本土化培育，壮大人形机器人整机实力。加大对现有人形机器人整机企业培育扶持，支持企业做大做强；推动头部整机企业产业链上下游企业落地，完善人形机器人供应链。</w:t>
      </w:r>
    </w:p>
    <w:p w14:paraId="0A059D88">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2.开展精准补链。</w:t>
      </w:r>
      <w:r>
        <w:rPr>
          <w:rFonts w:hint="eastAsia" w:ascii="Times New Roman" w:hAnsi="Times New Roman" w:eastAsia="方正仿宋简体" w:cs="方正仿宋简体"/>
          <w:b w:val="0"/>
          <w:bCs w:val="0"/>
          <w:color w:val="000000"/>
          <w:sz w:val="32"/>
          <w:szCs w:val="32"/>
          <w:lang w:val="en-US" w:eastAsia="zh-CN"/>
        </w:rPr>
        <w:t>面向大模型、感知系统、交互系统、运动控制系统等大小脑关键核心技术领域，鼓励人形机器人整机企业联合产学研多方力量协同攻关，加速高附加值软件技术突破。围绕关节执行器、灵巧手，以及高性能电机、高端传感器、电子皮肤等关键零部件领域，加快引进或培育国内外相关领域高精尖技术企业。</w:t>
      </w:r>
    </w:p>
    <w:p w14:paraId="03652A00">
      <w:p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3.推动拓新强链。</w:t>
      </w:r>
      <w:r>
        <w:rPr>
          <w:rFonts w:hint="eastAsia" w:ascii="Times New Roman" w:hAnsi="Times New Roman" w:eastAsia="方正仿宋简体" w:cs="方正仿宋简体"/>
          <w:b w:val="0"/>
          <w:bCs w:val="0"/>
          <w:color w:val="000000"/>
          <w:sz w:val="32"/>
          <w:szCs w:val="32"/>
          <w:lang w:val="en-US" w:eastAsia="zh-CN"/>
        </w:rPr>
        <w:t>支持人工智能大模型企业向机器人领域拓展，加速具身智能大模型等关键技术研发与突破；鼓励智能芯片企业向机器人专用芯片领域拓展，探索开发匹配于人形机器人发展的高性能、低功耗芯片；支持传统工业机器人龙头企业发挥技术积淀优势，加快向人形机器人减速器、控制系统等关键零部件研发突破和规模化生产。</w:t>
      </w:r>
    </w:p>
    <w:p w14:paraId="0103803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（二）场景牵引工程：以场景拓展为牵引，加快人形机器人研发和技术成果转化</w:t>
      </w:r>
    </w:p>
    <w:p w14:paraId="5D77337C">
      <w:p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分级分类分阶段有序推进浦东人形机器人在L1-L4级别的场景应用，以场景为牵引带动产业化发展，推动新技术迭代升级，加快创新成果向现实生产力转化。</w:t>
      </w:r>
    </w:p>
    <w:p w14:paraId="7CF4D622">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1.</w:t>
      </w:r>
      <w:r>
        <w:rPr>
          <w:rFonts w:hint="eastAsia" w:ascii="Times New Roman" w:hAnsi="Times New Roman" w:eastAsia="方正仿宋简体" w:cs="方正仿宋简体"/>
          <w:b/>
          <w:bCs/>
          <w:color w:val="000000"/>
          <w:sz w:val="32"/>
          <w:szCs w:val="32"/>
          <w:lang w:val="en-US" w:eastAsia="zh-CN"/>
        </w:rPr>
        <w:t>推动智能制造、民生服务、特种作业等领域场景建设。</w:t>
      </w:r>
      <w:r>
        <w:rPr>
          <w:rFonts w:hint="eastAsia" w:ascii="Times New Roman" w:hAnsi="Times New Roman" w:eastAsia="方正仿宋简体" w:cs="方正仿宋简体"/>
          <w:b w:val="0"/>
          <w:bCs w:val="0"/>
          <w:color w:val="000000"/>
          <w:sz w:val="32"/>
          <w:szCs w:val="32"/>
          <w:lang w:val="en-US" w:eastAsia="zh-CN"/>
        </w:rPr>
        <w:t>在汽车、航天等制造领域打造一批人形机器人零部件装配、转运、检测等典型应用场景；在康养、教育、商业等民生领域打造一批人形机器人康复陪伴、科研教学、迎宾接待等典型应用场景；在民爆、核电等特种作业领域打造一批人形机器人危化品分拣、安防巡检等典型应用场景。推动人形机器人在张江科学之门等区域的应用示范，重点布局一批智能导引、安保巡检等人形机器人，普及人形机器人文化，扩大机器人应用体验，打造具有前瞻影响力的超级示范场景。</w:t>
      </w:r>
    </w:p>
    <w:p w14:paraId="0C232CE8">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2.实施关键场景技术“揭榜挂帅”行动。</w:t>
      </w:r>
      <w:r>
        <w:rPr>
          <w:rFonts w:hint="eastAsia" w:ascii="Times New Roman" w:hAnsi="Times New Roman" w:eastAsia="方正仿宋简体" w:cs="方正仿宋简体"/>
          <w:b w:val="0"/>
          <w:bCs w:val="0"/>
          <w:color w:val="000000"/>
          <w:sz w:val="32"/>
          <w:szCs w:val="32"/>
          <w:lang w:val="en-US" w:eastAsia="zh-CN"/>
        </w:rPr>
        <w:t>以场景为牵引，针对不同应用场景普遍存在的人形机器人共性技术问题，以及重大特殊场景中急需解决的重要设备、重点产品所需的关键技术、核心零部件、重要材料及工艺等攻关需求，开展“揭榜挂帅”，形成一批具有自主知识产权的创新成果。</w:t>
      </w:r>
    </w:p>
    <w:p w14:paraId="6FE5A21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（三）数智赋能工程：以数智基建为支撑，推动人形机器人与现有数字产业同频共振发展</w:t>
      </w:r>
    </w:p>
    <w:p w14:paraId="33E25C49">
      <w:pPr>
        <w:numPr>
          <w:ilvl w:val="0"/>
          <w:numId w:val="0"/>
        </w:num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完善数智基础设施，加大算力布局、数据基础等支撑能力，持续推动与大模型、大数据等相关产业协同发展，打造完善的人形机器人创新生态环境。</w:t>
      </w:r>
    </w:p>
    <w:p w14:paraId="6E1CDC75">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1.加强数智基础设施建设。</w:t>
      </w:r>
      <w:r>
        <w:rPr>
          <w:rFonts w:hint="eastAsia" w:ascii="Times New Roman" w:hAnsi="Times New Roman" w:eastAsia="方正仿宋简体" w:cs="方正仿宋简体"/>
          <w:b w:val="0"/>
          <w:bCs w:val="0"/>
          <w:color w:val="000000"/>
          <w:sz w:val="32"/>
          <w:szCs w:val="32"/>
          <w:lang w:val="en-US" w:eastAsia="zh-CN"/>
        </w:rPr>
        <w:t>聚焦人形机器人算力、数据等配套需求，强化智能基础设施支撑能力，推动机器人公共算力中心、机器人训练数据集等项目建设。</w:t>
      </w:r>
    </w:p>
    <w:p w14:paraId="65506E57">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2.加快人形机器人与大模型协同创新发展。</w:t>
      </w:r>
      <w:r>
        <w:rPr>
          <w:rFonts w:hint="eastAsia" w:ascii="Times New Roman" w:hAnsi="Times New Roman" w:eastAsia="方正仿宋简体" w:cs="方正仿宋简体"/>
          <w:b w:val="0"/>
          <w:bCs w:val="0"/>
          <w:color w:val="000000"/>
          <w:sz w:val="32"/>
          <w:szCs w:val="32"/>
          <w:lang w:val="en-US" w:eastAsia="zh-CN"/>
        </w:rPr>
        <w:t>积极引进和培育国内外领先人工智能大模型研发机构和企业，推动大模型与人形机器人企业在数据处理、算法优化、应用场景等方面开展深度合作，提升机器人智能化水平，共同打造协同创新的产业生态。</w:t>
      </w:r>
    </w:p>
    <w:p w14:paraId="5A36EE81">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3.积极拓展人形机器人内容衍生产业。</w:t>
      </w:r>
      <w:r>
        <w:rPr>
          <w:rFonts w:hint="eastAsia" w:ascii="Times New Roman" w:hAnsi="Times New Roman" w:eastAsia="方正仿宋简体" w:cs="方正仿宋简体"/>
          <w:b w:val="0"/>
          <w:bCs w:val="0"/>
          <w:color w:val="000000"/>
          <w:sz w:val="32"/>
          <w:szCs w:val="32"/>
          <w:lang w:val="en-US" w:eastAsia="zh-CN"/>
        </w:rPr>
        <w:t>鼓励重点人形机器人企业建设机器人训练语料库，强化人形机器人发展支撑。充分利用人形机器人作为超级感知载体终端广泛的数据收集能力，探索在应用场景创新、数据要素市场培育及应用软件开发等方面产业发展新业态。</w:t>
      </w:r>
    </w:p>
    <w:p w14:paraId="4C980E7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（四）空间示范工程：以特色产业空间为示范，推动人形机器人产业集聚发展</w:t>
      </w:r>
    </w:p>
    <w:p w14:paraId="13313660">
      <w:pPr>
        <w:numPr>
          <w:ilvl w:val="0"/>
          <w:numId w:val="0"/>
        </w:num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发挥人形机器人开源社区创新引领作用，带动张江机器人谷产业链高端化发展，打造“一核引领、一园协同”的人形机器人产业空间格局。</w:t>
      </w:r>
    </w:p>
    <w:p w14:paraId="6FCB6993">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1.构建以开源社区为核心引领的创新空间。</w:t>
      </w:r>
      <w:r>
        <w:rPr>
          <w:rFonts w:hint="default" w:ascii="Times New Roman" w:hAnsi="Times New Roman" w:eastAsia="方正仿宋简体" w:cs="方正仿宋简体"/>
          <w:b w:val="0"/>
          <w:bCs w:val="0"/>
          <w:color w:val="000000"/>
          <w:sz w:val="32"/>
          <w:szCs w:val="32"/>
          <w:lang w:val="en-US" w:eastAsia="zh-CN"/>
        </w:rPr>
        <w:t>围绕人形机器人开源社区，形成集开源研发、功能训练、创新孵化、场景应用等功能于一体的开源社区空间；集聚一批“大脑、小脑、肢体”技术领先企业和整机企业总部，构建以具身智能为核心要素的人形机器人创新策源地。</w:t>
      </w:r>
    </w:p>
    <w:p w14:paraId="54216C3E">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2.打造以张江机器人谷为智造协同的特色园区。</w:t>
      </w:r>
      <w:r>
        <w:rPr>
          <w:rFonts w:hint="default" w:ascii="Times New Roman" w:hAnsi="Times New Roman" w:eastAsia="方正仿宋简体" w:cs="方正仿宋简体"/>
          <w:b w:val="0"/>
          <w:bCs w:val="0"/>
          <w:color w:val="000000"/>
          <w:sz w:val="32"/>
          <w:szCs w:val="32"/>
          <w:lang w:val="en-US" w:eastAsia="zh-CN"/>
        </w:rPr>
        <w:t>依托张江机器人谷，打造以生产制造为主要功能的人形机器人产业园，重点承接开源社区技术成果落地量产、整机及关键零部件生产制造，形成集生产制造、中试服务、检验检测及应用示范等功能于一体的特色产业空间。</w:t>
      </w:r>
    </w:p>
    <w:p w14:paraId="73E8568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楷体简体" w:cs="方正楷体简体"/>
          <w:b/>
          <w:bCs/>
          <w:kern w:val="2"/>
          <w:sz w:val="32"/>
          <w:szCs w:val="32"/>
          <w:lang w:val="en-US" w:eastAsia="zh-CN" w:bidi="ar-SA"/>
        </w:rPr>
      </w:pPr>
      <w:r>
        <w:rPr>
          <w:rFonts w:hint="eastAsia" w:ascii="Times New Roman" w:hAnsi="Times New Roman" w:eastAsia="方正楷体简体" w:cs="方正楷体简体"/>
          <w:b/>
          <w:bCs/>
          <w:kern w:val="2"/>
          <w:sz w:val="32"/>
          <w:szCs w:val="32"/>
          <w:lang w:val="en-US" w:eastAsia="zh-CN" w:bidi="ar-SA"/>
        </w:rPr>
        <w:t>（五）生态开放工程：以开放发展为导向，构建人形软硬件开源生态体系</w:t>
      </w:r>
    </w:p>
    <w:p w14:paraId="739C9692">
      <w:pPr>
        <w:numPr>
          <w:ilvl w:val="0"/>
          <w:numId w:val="0"/>
        </w:num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推动人形机器人产业开放创新发展，打造技术开源、服务共享、要素合作的高价值生态开放体系，构建具有国际影响力的人形机器人产业生态。</w:t>
      </w:r>
    </w:p>
    <w:p w14:paraId="0FECDFBA">
      <w:pPr>
        <w:numPr>
          <w:ilvl w:val="0"/>
          <w:numId w:val="0"/>
        </w:numPr>
        <w:tabs>
          <w:tab w:val="left" w:pos="2348"/>
        </w:tabs>
        <w:bidi w:val="0"/>
        <w:ind w:firstLine="643" w:firstLineChars="200"/>
        <w:jc w:val="left"/>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w:t>
      </w:r>
      <w:r>
        <w:rPr>
          <w:rFonts w:hint="eastAsia" w:ascii="Times New Roman" w:hAnsi="Times New Roman" w:eastAsia="方正仿宋简体" w:cs="方正仿宋简体"/>
          <w:b/>
          <w:bCs/>
          <w:color w:val="000000"/>
          <w:sz w:val="32"/>
          <w:szCs w:val="32"/>
          <w:lang w:val="en-US" w:eastAsia="zh-CN"/>
        </w:rPr>
        <w:t>完善公共服务体系建设。</w:t>
      </w:r>
      <w:r>
        <w:rPr>
          <w:rFonts w:hint="default" w:ascii="Times New Roman" w:hAnsi="Times New Roman" w:eastAsia="方正仿宋简体" w:cs="方正仿宋简体"/>
          <w:b w:val="0"/>
          <w:bCs w:val="0"/>
          <w:color w:val="000000"/>
          <w:sz w:val="32"/>
          <w:szCs w:val="32"/>
          <w:lang w:val="en-US" w:eastAsia="zh-CN"/>
        </w:rPr>
        <w:t>打造集开源研发训练、快速制造开发、测试评估验证、开放场景运营等多功能服务于一体的公共服务平台体系。构建以公版机软硬件研发为核心内容的开源研发训练平台，形成以关键零部件快速定制化生产与服务功能为主的快速制造开发平台，建设以智能化、可靠性、安全性等关键指标体系为核心的人形机器人测试评估验证平台，打造以场景征集、供需对接等为核心内容的人形机器人场景运营服务平台。</w:t>
      </w:r>
    </w:p>
    <w:p w14:paraId="213B3626">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kern w:val="2"/>
          <w:sz w:val="32"/>
          <w:szCs w:val="32"/>
          <w:lang w:val="en-US" w:eastAsia="zh-CN" w:bidi="ar-SA"/>
        </w:rPr>
        <w:t>2.加快人形机器人创新创业载体建设。</w:t>
      </w:r>
      <w:r>
        <w:rPr>
          <w:rFonts w:hint="eastAsia" w:ascii="Times New Roman" w:hAnsi="Times New Roman" w:eastAsia="方正仿宋简体" w:cs="方正仿宋简体"/>
          <w:b w:val="0"/>
          <w:bCs w:val="0"/>
          <w:color w:val="000000"/>
          <w:sz w:val="32"/>
          <w:szCs w:val="32"/>
          <w:lang w:val="en-US" w:eastAsia="zh-CN"/>
        </w:rPr>
        <w:t>依托国地共建人形机器人创新中心，完善开源创新孵化功能；联动国内外创新资源，引进国际性人才、团队、项目开展概念验证服务，促进成果本土化落地培育及创新孵化；支持头部企业建立人形机器人共享制造平台等创新孵化载体，培育孵化本土企业，布局研究人形机器人伦理治理体系。</w:t>
      </w:r>
    </w:p>
    <w:p w14:paraId="7C7F7C16">
      <w:pPr>
        <w:numPr>
          <w:ilvl w:val="0"/>
          <w:numId w:val="0"/>
        </w:numPr>
        <w:tabs>
          <w:tab w:val="left" w:pos="2348"/>
        </w:tabs>
        <w:bidi w:val="0"/>
        <w:ind w:firstLine="643"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bCs/>
          <w:color w:val="000000"/>
          <w:sz w:val="32"/>
          <w:szCs w:val="32"/>
          <w:lang w:val="en-US" w:eastAsia="zh-CN"/>
        </w:rPr>
        <w:t>3.推动人形机器人国际交流合作。</w:t>
      </w:r>
      <w:r>
        <w:rPr>
          <w:rFonts w:hint="eastAsia" w:ascii="Times New Roman" w:hAnsi="Times New Roman" w:eastAsia="方正仿宋简体" w:cs="方正仿宋简体"/>
          <w:b w:val="0"/>
          <w:bCs w:val="0"/>
          <w:color w:val="000000"/>
          <w:sz w:val="32"/>
          <w:szCs w:val="32"/>
          <w:lang w:val="en-US" w:eastAsia="zh-CN"/>
        </w:rPr>
        <w:t>鼓励头部企业牵头成立人形机器人产业联盟，开展国际对外交流与合作，联动国内外优秀人才资源、技术资源、资金资源等创新要素，推动人形机器人向国际市场拓展。加强市区联动，举办张江人形机器人（全球）开发者大会，联动世界人工智能大会、世界顶尖科学家论坛等国际活动平台，加深企业与上下游供应商沟通协作，促进企业、技术、人才、资金等要素交流。</w:t>
      </w:r>
    </w:p>
    <w:p w14:paraId="07D813C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三、加强保障支撑</w:t>
      </w:r>
    </w:p>
    <w:p w14:paraId="06FF9182">
      <w:pPr>
        <w:numPr>
          <w:ilvl w:val="0"/>
          <w:numId w:val="0"/>
        </w:num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成立人形机器人工作专班，完善市区协同、上下对应工作机制，承接市级重点项目、重量级平台及重大活动等产业资源下沉，协调人形机器人重大项目落地、重点企业服务等相关工作推进；成立专业运营团队，负责产业服务、活动策划、招商推广等工作落实。</w:t>
      </w:r>
    </w:p>
    <w:p w14:paraId="6E05BE61">
      <w:pPr>
        <w:numPr>
          <w:ilvl w:val="0"/>
          <w:numId w:val="0"/>
        </w:numPr>
        <w:tabs>
          <w:tab w:val="left" w:pos="2348"/>
        </w:tabs>
        <w:bidi w:val="0"/>
        <w:ind w:firstLine="640" w:firstLineChars="200"/>
        <w:jc w:val="left"/>
        <w:rPr>
          <w:rFonts w:hint="eastAsia" w:ascii="Times New Roman" w:hAnsi="Times New Roman" w:eastAsia="方正仿宋简体" w:cs="方正仿宋简体"/>
          <w:b w:val="0"/>
          <w:bCs w:val="0"/>
          <w:color w:val="000000"/>
          <w:sz w:val="32"/>
          <w:szCs w:val="32"/>
          <w:lang w:val="en-US" w:eastAsia="zh-CN"/>
        </w:rPr>
      </w:pPr>
      <w:r>
        <w:rPr>
          <w:rFonts w:hint="eastAsia" w:ascii="Times New Roman" w:hAnsi="Times New Roman" w:eastAsia="方正仿宋简体" w:cs="方正仿宋简体"/>
          <w:b w:val="0"/>
          <w:bCs w:val="0"/>
          <w:color w:val="000000"/>
          <w:sz w:val="32"/>
          <w:szCs w:val="32"/>
          <w:lang w:val="en-US" w:eastAsia="zh-CN"/>
        </w:rPr>
        <w:t>强化政策支持，围绕人形机器人产业发展，制定产业发展政策，支持平台建设、应用场景建设、应用市场拓展等；成立浦东人形机器人产业基金，加大国有资本对产业发展的支持力度，重点支持整机企业、关键零部件产业链高价值端；围绕企业人才需求，支持引进高端人才和紧缺人才，通过人才计划、人才落户、人才安居等人才政策及引才平台，给予支持保障。</w:t>
      </w:r>
    </w:p>
    <w:p w14:paraId="5E11D877">
      <w:pPr>
        <w:numPr>
          <w:ilvl w:val="0"/>
          <w:numId w:val="0"/>
        </w:numPr>
        <w:tabs>
          <w:tab w:val="left" w:pos="2348"/>
        </w:tabs>
        <w:bidi w:val="0"/>
        <w:ind w:firstLine="640" w:firstLineChars="200"/>
        <w:jc w:val="left"/>
        <w:rPr>
          <w:rFonts w:hint="eastAsia" w:ascii="Times New Roman" w:hAnsi="Times New Roman" w:eastAsia="方正仿宋_GB2312" w:cs="方正仿宋_GB2312"/>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sz w:val="32"/>
          <w:szCs w:val="32"/>
          <w:lang w:val="en-US" w:eastAsia="zh-CN"/>
        </w:rPr>
        <w:t>营造良好的发展氛围，支持多维度搭平台、建机制、办活动、聚资源、强服务、优生态。通过市场化机制、专业化服务和资本化途径，有序推动人形机器人应用场景建设。</w:t>
      </w:r>
    </w:p>
    <w:p w14:paraId="6F0FC1F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宝山区数字经济产业高质量发展行动方案（2024-2026年）（草案）</w:t>
      </w:r>
    </w:p>
    <w:p w14:paraId="3E3FBCC5">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sz w:val="44"/>
          <w:szCs w:val="44"/>
          <w:lang w:val="en-US" w:eastAsia="zh-CN"/>
        </w:rPr>
      </w:pPr>
    </w:p>
    <w:p w14:paraId="32726153">
      <w:pPr>
        <w:tabs>
          <w:tab w:val="left" w:pos="2348"/>
        </w:tabs>
        <w:bidi w:val="0"/>
        <w:ind w:firstLine="640" w:firstLineChars="20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default" w:ascii="Times New Roman" w:hAnsi="Times New Roman" w:eastAsia="方正仿宋简体" w:cs="方正仿宋简体"/>
          <w:b w:val="0"/>
          <w:bCs w:val="0"/>
          <w:color w:val="000000"/>
          <w:sz w:val="32"/>
          <w:szCs w:val="32"/>
        </w:rPr>
        <w:t>为深入贯彻落实上海市关于发展数字经济的工作要求，以数字驱动产业高质量发展，助推“北转型”战略，结合宝山区实际，特制定本行动计划。</w:t>
      </w:r>
    </w:p>
    <w:p w14:paraId="33396C6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一、总体要求</w:t>
      </w:r>
    </w:p>
    <w:p w14:paraId="74D8271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楷体简体" w:cs="方正楷体简体"/>
          <w:b/>
          <w:bCs/>
          <w:kern w:val="2"/>
          <w:sz w:val="32"/>
          <w:szCs w:val="32"/>
          <w:lang w:val="en-US" w:eastAsia="zh-CN" w:bidi="ar-SA"/>
        </w:rPr>
        <w:t>（一）指导思想</w:t>
      </w:r>
    </w:p>
    <w:p w14:paraId="19913C9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以习近平新时代中国特色社会主义思想为指导，深入贯彻落实党的二十大、上海市第十二次党代会精神。抢抓“北转型”战略发展机遇期，聚焦数字技术与实体经济深度融合，以数据为关键要素，以技术创新为核心，协同推进数字产业化、产业数字化和数据价值化，积极培育新产业新业态新模式，推动数字经济向更深层次、更宽领域发展。</w:t>
      </w:r>
    </w:p>
    <w:p w14:paraId="777580A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（二）主要目标</w:t>
      </w:r>
    </w:p>
    <w:p w14:paraId="454B628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rPr>
        <w:t>到</w:t>
      </w:r>
      <w:r>
        <w:rPr>
          <w:rFonts w:hint="default" w:ascii="Times New Roman" w:hAnsi="Times New Roman" w:eastAsia="方正仿宋简体" w:cs="Times New Roman"/>
          <w:b w:val="0"/>
          <w:bCs w:val="0"/>
          <w:color w:val="000000"/>
          <w:sz w:val="32"/>
          <w:szCs w:val="32"/>
        </w:rPr>
        <w:t>2026</w:t>
      </w:r>
      <w:r>
        <w:rPr>
          <w:rFonts w:hint="default" w:ascii="Times New Roman" w:hAnsi="Times New Roman" w:eastAsia="方正仿宋简体" w:cs="方正仿宋简体"/>
          <w:b w:val="0"/>
          <w:bCs w:val="0"/>
          <w:color w:val="000000"/>
          <w:sz w:val="32"/>
          <w:szCs w:val="32"/>
        </w:rPr>
        <w:t>年，</w:t>
      </w:r>
      <w:r>
        <w:rPr>
          <w:rFonts w:hint="default" w:ascii="Times New Roman" w:hAnsi="Times New Roman" w:eastAsia="方正仿宋简体" w:cs="方正仿宋简体"/>
          <w:b w:val="0"/>
          <w:bCs w:val="0"/>
          <w:color w:val="000000"/>
          <w:sz w:val="32"/>
          <w:szCs w:val="32"/>
          <w:lang w:val="en-US" w:eastAsia="zh-CN"/>
        </w:rPr>
        <w:t>我区数字经济发展水平显著提升，产业集聚度和显示度明显提高，高潜力数字新兴企业加快成长，基本形成若干高价值数字产业新赛道布局及产业数字化转型垂直深耕领域，数字经济与实体经济融合更加紧密。高水平建设“数字经济友好型城区”，为上海全面推进城市数字化转型、打造具有世界影响力的国际数字之都做出贡献。</w:t>
      </w:r>
    </w:p>
    <w:p w14:paraId="0295B8C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数字经济规模持续扩大。</w:t>
      </w:r>
      <w:r>
        <w:rPr>
          <w:rFonts w:hint="default" w:ascii="Times New Roman" w:hAnsi="Times New Roman" w:eastAsia="方正仿宋简体" w:cs="方正仿宋简体"/>
          <w:b w:val="0"/>
          <w:bCs w:val="0"/>
          <w:color w:val="000000"/>
          <w:sz w:val="32"/>
          <w:szCs w:val="32"/>
          <w:lang w:val="en-US" w:eastAsia="zh-CN"/>
        </w:rPr>
        <w:t>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年，形成千亿级数字产业集群。数字经济核心产业规模实现翻番至</w:t>
      </w:r>
      <w:r>
        <w:rPr>
          <w:rFonts w:hint="default" w:ascii="Times New Roman" w:hAnsi="Times New Roman" w:eastAsia="方正仿宋简体" w:cs="Times New Roman"/>
          <w:b w:val="0"/>
          <w:bCs w:val="0"/>
          <w:color w:val="000000"/>
          <w:sz w:val="32"/>
          <w:szCs w:val="32"/>
          <w:lang w:val="en-US" w:eastAsia="zh-CN"/>
        </w:rPr>
        <w:t>370</w:t>
      </w:r>
      <w:r>
        <w:rPr>
          <w:rFonts w:hint="default" w:ascii="Times New Roman" w:hAnsi="Times New Roman" w:eastAsia="方正仿宋简体" w:cs="方正仿宋简体"/>
          <w:b w:val="0"/>
          <w:bCs w:val="0"/>
          <w:color w:val="000000"/>
          <w:sz w:val="32"/>
          <w:szCs w:val="32"/>
          <w:lang w:val="en-US" w:eastAsia="zh-CN"/>
        </w:rPr>
        <w:t>亿元。软件与信息服务业收入达到</w:t>
      </w:r>
      <w:r>
        <w:rPr>
          <w:rFonts w:hint="default" w:ascii="Times New Roman" w:hAnsi="Times New Roman" w:eastAsia="方正仿宋简体" w:cs="Times New Roman"/>
          <w:b w:val="0"/>
          <w:bCs w:val="0"/>
          <w:color w:val="000000"/>
          <w:sz w:val="32"/>
          <w:szCs w:val="32"/>
          <w:lang w:val="en-US" w:eastAsia="zh-CN"/>
        </w:rPr>
        <w:t>200</w:t>
      </w:r>
      <w:r>
        <w:rPr>
          <w:rFonts w:hint="default" w:ascii="Times New Roman" w:hAnsi="Times New Roman" w:eastAsia="方正仿宋简体" w:cs="方正仿宋简体"/>
          <w:b w:val="0"/>
          <w:bCs w:val="0"/>
          <w:color w:val="000000"/>
          <w:sz w:val="32"/>
          <w:szCs w:val="32"/>
          <w:lang w:val="en-US" w:eastAsia="zh-CN"/>
        </w:rPr>
        <w:t>亿元，年均增速</w:t>
      </w:r>
      <w:r>
        <w:rPr>
          <w:rFonts w:hint="default" w:ascii="Times New Roman" w:hAnsi="Times New Roman" w:eastAsia="方正仿宋简体" w:cs="Times New Roman"/>
          <w:b w:val="0"/>
          <w:bCs w:val="0"/>
          <w:color w:val="000000"/>
          <w:sz w:val="32"/>
          <w:szCs w:val="32"/>
          <w:lang w:val="en-US" w:eastAsia="zh-CN"/>
        </w:rPr>
        <w:t>15%</w:t>
      </w:r>
      <w:r>
        <w:rPr>
          <w:rFonts w:hint="default" w:ascii="Times New Roman" w:hAnsi="Times New Roman" w:eastAsia="方正仿宋简体" w:cs="方正仿宋简体"/>
          <w:b w:val="0"/>
          <w:bCs w:val="0"/>
          <w:color w:val="000000"/>
          <w:sz w:val="32"/>
          <w:szCs w:val="32"/>
          <w:lang w:val="en-US" w:eastAsia="zh-CN"/>
        </w:rPr>
        <w:t>以上。规模以上制造业企业数字化转型比例达到</w:t>
      </w:r>
      <w:r>
        <w:rPr>
          <w:rFonts w:hint="default" w:ascii="Times New Roman" w:hAnsi="Times New Roman" w:eastAsia="方正仿宋简体" w:cs="Times New Roman"/>
          <w:b w:val="0"/>
          <w:bCs w:val="0"/>
          <w:color w:val="000000"/>
          <w:sz w:val="32"/>
          <w:szCs w:val="32"/>
          <w:lang w:val="en-US" w:eastAsia="zh-CN"/>
        </w:rPr>
        <w:t>80%</w:t>
      </w:r>
      <w:r>
        <w:rPr>
          <w:rFonts w:hint="default" w:ascii="Times New Roman" w:hAnsi="Times New Roman" w:eastAsia="方正仿宋简体" w:cs="方正仿宋简体"/>
          <w:b w:val="0"/>
          <w:bCs w:val="0"/>
          <w:color w:val="000000"/>
          <w:sz w:val="32"/>
          <w:szCs w:val="32"/>
          <w:lang w:val="en-US" w:eastAsia="zh-CN"/>
        </w:rPr>
        <w:t>。</w:t>
      </w:r>
    </w:p>
    <w:p w14:paraId="09B124E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产业集聚效应明显增强。</w:t>
      </w:r>
      <w:r>
        <w:rPr>
          <w:rFonts w:hint="default" w:ascii="Times New Roman" w:hAnsi="Times New Roman" w:eastAsia="方正仿宋简体" w:cs="方正仿宋简体"/>
          <w:b w:val="0"/>
          <w:bCs w:val="0"/>
          <w:color w:val="000000"/>
          <w:sz w:val="32"/>
          <w:szCs w:val="32"/>
          <w:lang w:val="en-US" w:eastAsia="zh-CN"/>
        </w:rPr>
        <w:t>引进和培育</w:t>
      </w:r>
      <w:r>
        <w:rPr>
          <w:rFonts w:hint="default" w:ascii="Times New Roman" w:hAnsi="Times New Roman" w:eastAsia="方正仿宋简体" w:cs="Times New Roman"/>
          <w:b w:val="0"/>
          <w:bCs w:val="0"/>
          <w:color w:val="000000"/>
          <w:sz w:val="32"/>
          <w:szCs w:val="32"/>
          <w:lang w:val="en-US" w:eastAsia="zh-CN"/>
        </w:rPr>
        <w:t>5</w:t>
      </w:r>
      <w:r>
        <w:rPr>
          <w:rFonts w:hint="default" w:ascii="Times New Roman" w:hAnsi="Times New Roman" w:eastAsia="方正仿宋简体" w:cs="方正仿宋简体"/>
          <w:b w:val="0"/>
          <w:bCs w:val="0"/>
          <w:color w:val="000000"/>
          <w:sz w:val="32"/>
          <w:szCs w:val="32"/>
          <w:lang w:val="en-US" w:eastAsia="zh-CN"/>
        </w:rPr>
        <w:t>家有全球影响力的数字经济龙头企业，</w:t>
      </w:r>
      <w:r>
        <w:rPr>
          <w:rFonts w:hint="default" w:ascii="Times New Roman" w:hAnsi="Times New Roman" w:eastAsia="方正仿宋简体" w:cs="Times New Roman"/>
          <w:b w:val="0"/>
          <w:bCs w:val="0"/>
          <w:color w:val="000000"/>
          <w:sz w:val="32"/>
          <w:szCs w:val="32"/>
          <w:lang w:val="en-US" w:eastAsia="zh-CN"/>
        </w:rPr>
        <w:t>15</w:t>
      </w:r>
      <w:r>
        <w:rPr>
          <w:rFonts w:hint="default" w:ascii="Times New Roman" w:hAnsi="Times New Roman" w:eastAsia="方正仿宋简体" w:cs="方正仿宋简体"/>
          <w:b w:val="0"/>
          <w:bCs w:val="0"/>
          <w:color w:val="000000"/>
          <w:sz w:val="32"/>
          <w:szCs w:val="32"/>
          <w:lang w:val="en-US" w:eastAsia="zh-CN"/>
        </w:rPr>
        <w:t>家以上数字经济领军企业，</w:t>
      </w:r>
      <w:r>
        <w:rPr>
          <w:rFonts w:hint="default" w:ascii="Times New Roman" w:hAnsi="Times New Roman" w:eastAsia="方正仿宋简体" w:cs="Times New Roman"/>
          <w:b w:val="0"/>
          <w:bCs w:val="0"/>
          <w:color w:val="000000"/>
          <w:sz w:val="32"/>
          <w:szCs w:val="32"/>
          <w:lang w:val="en-US" w:eastAsia="zh-CN"/>
        </w:rPr>
        <w:t>200</w:t>
      </w:r>
      <w:r>
        <w:rPr>
          <w:rFonts w:hint="default" w:ascii="Times New Roman" w:hAnsi="Times New Roman" w:eastAsia="方正仿宋简体" w:cs="方正仿宋简体"/>
          <w:b w:val="0"/>
          <w:bCs w:val="0"/>
          <w:color w:val="000000"/>
          <w:sz w:val="32"/>
          <w:szCs w:val="32"/>
          <w:lang w:val="en-US" w:eastAsia="zh-CN"/>
        </w:rPr>
        <w:t>家以上数字经济隐形冠军或高成长及潜力型企业，每年新增</w:t>
      </w:r>
      <w:r>
        <w:rPr>
          <w:rFonts w:hint="default" w:ascii="Times New Roman" w:hAnsi="Times New Roman" w:eastAsia="方正仿宋简体" w:cs="Times New Roman"/>
          <w:b w:val="0"/>
          <w:bCs w:val="0"/>
          <w:color w:val="000000"/>
          <w:sz w:val="32"/>
          <w:szCs w:val="32"/>
          <w:lang w:val="en-US" w:eastAsia="zh-CN"/>
        </w:rPr>
        <w:t>1000</w:t>
      </w:r>
      <w:r>
        <w:rPr>
          <w:rFonts w:hint="default" w:ascii="Times New Roman" w:hAnsi="Times New Roman" w:eastAsia="方正仿宋简体" w:cs="方正仿宋简体"/>
          <w:b w:val="0"/>
          <w:bCs w:val="0"/>
          <w:color w:val="000000"/>
          <w:sz w:val="32"/>
          <w:szCs w:val="32"/>
          <w:lang w:val="en-US" w:eastAsia="zh-CN"/>
        </w:rPr>
        <w:t>家以上数字经济企业主体，梯次型企业发展生态格局基本形成。</w:t>
      </w:r>
    </w:p>
    <w:p w14:paraId="410FDA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数字赛道能级持续提高。</w:t>
      </w:r>
      <w:r>
        <w:rPr>
          <w:rFonts w:hint="default" w:ascii="Times New Roman" w:hAnsi="Times New Roman" w:eastAsia="方正仿宋简体" w:cs="方正仿宋简体"/>
          <w:b w:val="0"/>
          <w:bCs w:val="0"/>
          <w:color w:val="000000"/>
          <w:sz w:val="32"/>
          <w:szCs w:val="32"/>
          <w:lang w:val="en-US" w:eastAsia="zh-CN"/>
        </w:rPr>
        <w:t>在人工智能与大模型、数据传输技术、大数据与云计算、区块链与物联网等重点领域集中布局一批突破关键技术、拥有重磅产品、具备市场前景的市场主体。</w:t>
      </w:r>
    </w:p>
    <w:p w14:paraId="6B7C329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bCs/>
          <w:color w:val="000000"/>
          <w:sz w:val="32"/>
          <w:szCs w:val="32"/>
          <w:lang w:val="en-US" w:eastAsia="zh-CN"/>
        </w:rPr>
        <w:t>生态支撑体系更加完善。</w:t>
      </w:r>
      <w:r>
        <w:rPr>
          <w:rFonts w:hint="default" w:ascii="Times New Roman" w:hAnsi="Times New Roman" w:eastAsia="方正仿宋简体" w:cs="方正仿宋简体"/>
          <w:b w:val="0"/>
          <w:bCs w:val="0"/>
          <w:color w:val="000000"/>
          <w:sz w:val="32"/>
          <w:szCs w:val="32"/>
          <w:lang w:val="en-US" w:eastAsia="zh-CN"/>
        </w:rPr>
        <w:t>在数字基础设施建设、数据要素流动、创新技术研发、数字产品供给、应用场景开放、交流平台搭建等方面取得显著成果，产业链融合发展水平显著提高，完成至少</w:t>
      </w:r>
      <w:r>
        <w:rPr>
          <w:rFonts w:hint="default" w:ascii="Times New Roman" w:hAnsi="Times New Roman" w:eastAsia="方正仿宋简体" w:cs="Times New Roman"/>
          <w:b w:val="0"/>
          <w:bCs w:val="0"/>
          <w:color w:val="000000"/>
          <w:sz w:val="32"/>
          <w:szCs w:val="32"/>
          <w:lang w:val="en-US" w:eastAsia="zh-CN"/>
        </w:rPr>
        <w:t>10</w:t>
      </w:r>
      <w:r>
        <w:rPr>
          <w:rFonts w:hint="default" w:ascii="Times New Roman" w:hAnsi="Times New Roman" w:eastAsia="方正仿宋简体" w:cs="方正仿宋简体"/>
          <w:b w:val="0"/>
          <w:bCs w:val="0"/>
          <w:color w:val="000000"/>
          <w:sz w:val="32"/>
          <w:szCs w:val="32"/>
          <w:lang w:val="en-US" w:eastAsia="zh-CN"/>
        </w:rPr>
        <w:t>个重点数字场景应用场景对接。</w:t>
      </w:r>
    </w:p>
    <w:p w14:paraId="322371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（三）空间布局</w:t>
      </w:r>
    </w:p>
    <w:p w14:paraId="09B6CC8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打造数字经济“一核多带”空间体系。以数智南大特色产业园为核，加快推动数字孪生城市建设，夯实城市治理数字化底座，打造高品质数字城区形象。加快软件服务和信创产业、人工智能和芯片设计、平台经济、数据资产、绿色低碳供应链以及量子科技等科创产业导入，形成高质量数字产业内核。推动产学研合作及创新策源平台搭建，树立高端权威的行业风向标。沿各条轨交线，充分发挥现有数字经济空间载体优势，积极创建一批特色信息服务产业基地。大力推动临港新业坊源创、智力产业园、宝山科技园、长江软件园等数字经济优势园区提标升级，“链珠成串”打造各具特色的数字经济产业带。</w:t>
      </w:r>
    </w:p>
    <w:p w14:paraId="1E19E9C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二、发展重点</w:t>
      </w:r>
    </w:p>
    <w:p w14:paraId="68F1B62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人工智能与大模型。积极推动“</w:t>
      </w:r>
      <w:r>
        <w:rPr>
          <w:rFonts w:hint="default" w:ascii="Times New Roman" w:hAnsi="Times New Roman" w:eastAsia="方正仿宋简体" w:cs="Times New Roman"/>
          <w:b w:val="0"/>
          <w:bCs w:val="0"/>
          <w:color w:val="000000"/>
          <w:sz w:val="32"/>
          <w:szCs w:val="32"/>
          <w:lang w:val="en-US" w:eastAsia="zh-CN"/>
        </w:rPr>
        <w:t>AI+</w:t>
      </w:r>
      <w:r>
        <w:rPr>
          <w:rFonts w:hint="default" w:ascii="Times New Roman" w:hAnsi="Times New Roman" w:eastAsia="方正仿宋简体" w:cs="方正仿宋简体"/>
          <w:b w:val="0"/>
          <w:bCs w:val="0"/>
          <w:color w:val="000000"/>
          <w:sz w:val="32"/>
          <w:szCs w:val="32"/>
          <w:lang w:val="en-US" w:eastAsia="zh-CN"/>
        </w:rPr>
        <w:t>”行业应用，重点推动人工智能在智能制造、医疗健康、交通运输、文化旅游等场景的融合应用。积极跟进通用大模型发展动态，重点发展大宗商品、绿色低碳等垂直领域大模型。</w:t>
      </w:r>
    </w:p>
    <w:p w14:paraId="4AB957A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高速数据传输技术。积极发展光纤通信、多通道等高速数据传输技术，在量子计算、量子通信、量子精密测量等领域开展前沿布局，加快量子科技产业应用。支持数字安全技术创新突破，做大数据安全产业。</w:t>
      </w:r>
    </w:p>
    <w:p w14:paraId="07B546D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大数据与云计算。加快推动“大数据+制造业”和“大数据+服务业”相互融合，催生大数据衍生创新。推动公有云、私有云、混合云等多种模式协同发展，支持</w:t>
      </w:r>
      <w:r>
        <w:rPr>
          <w:rFonts w:hint="default" w:ascii="Times New Roman" w:hAnsi="Times New Roman" w:eastAsia="方正仿宋简体" w:cs="Times New Roman"/>
          <w:b w:val="0"/>
          <w:bCs w:val="0"/>
          <w:color w:val="000000"/>
          <w:sz w:val="32"/>
          <w:szCs w:val="32"/>
          <w:lang w:val="en-US" w:eastAsia="zh-CN"/>
        </w:rPr>
        <w:t>IaaS</w:t>
      </w:r>
      <w:r>
        <w:rPr>
          <w:rFonts w:hint="default" w:ascii="Times New Roman" w:hAnsi="Times New Roman" w:eastAsia="方正仿宋简体" w:cs="方正仿宋简体"/>
          <w:b w:val="0"/>
          <w:bCs w:val="0"/>
          <w:color w:val="000000"/>
          <w:sz w:val="32"/>
          <w:szCs w:val="32"/>
          <w:lang w:val="en-US" w:eastAsia="zh-CN"/>
        </w:rPr>
        <w:t>（基础设施即服务）、</w:t>
      </w:r>
      <w:r>
        <w:rPr>
          <w:rFonts w:hint="default" w:ascii="Times New Roman" w:hAnsi="Times New Roman" w:eastAsia="方正仿宋简体" w:cs="Times New Roman"/>
          <w:b w:val="0"/>
          <w:bCs w:val="0"/>
          <w:color w:val="000000"/>
          <w:sz w:val="32"/>
          <w:szCs w:val="32"/>
          <w:lang w:val="en-US" w:eastAsia="zh-CN"/>
        </w:rPr>
        <w:t>PaaS</w:t>
      </w:r>
      <w:r>
        <w:rPr>
          <w:rFonts w:hint="default" w:ascii="Times New Roman" w:hAnsi="Times New Roman" w:eastAsia="方正仿宋简体" w:cs="方正仿宋简体"/>
          <w:b w:val="0"/>
          <w:bCs w:val="0"/>
          <w:color w:val="000000"/>
          <w:sz w:val="32"/>
          <w:szCs w:val="32"/>
          <w:lang w:val="en-US" w:eastAsia="zh-CN"/>
        </w:rPr>
        <w:t>（平台即服务）、</w:t>
      </w:r>
      <w:r>
        <w:rPr>
          <w:rFonts w:hint="default" w:ascii="Times New Roman" w:hAnsi="Times New Roman" w:eastAsia="方正仿宋简体" w:cs="Times New Roman"/>
          <w:b w:val="0"/>
          <w:bCs w:val="0"/>
          <w:color w:val="000000"/>
          <w:sz w:val="32"/>
          <w:szCs w:val="32"/>
          <w:lang w:val="en-US" w:eastAsia="zh-CN"/>
        </w:rPr>
        <w:t>SaaS</w:t>
      </w:r>
      <w:r>
        <w:rPr>
          <w:rFonts w:hint="default" w:ascii="Times New Roman" w:hAnsi="Times New Roman" w:eastAsia="方正仿宋简体" w:cs="方正仿宋简体"/>
          <w:b w:val="0"/>
          <w:bCs w:val="0"/>
          <w:color w:val="000000"/>
          <w:sz w:val="32"/>
          <w:szCs w:val="32"/>
          <w:lang w:val="en-US" w:eastAsia="zh-CN"/>
        </w:rPr>
        <w:t>（软件即服务）等领域的快速发展。</w:t>
      </w:r>
    </w:p>
    <w:p w14:paraId="5F8FD6F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rPr>
      </w:pPr>
      <w:r>
        <w:rPr>
          <w:rFonts w:hint="default" w:ascii="Times New Roman" w:hAnsi="Times New Roman" w:eastAsia="方正仿宋简体" w:cs="方正仿宋简体"/>
          <w:b w:val="0"/>
          <w:bCs w:val="0"/>
          <w:color w:val="000000"/>
          <w:sz w:val="32"/>
          <w:szCs w:val="32"/>
          <w:lang w:val="en-US" w:eastAsia="zh-CN"/>
        </w:rPr>
        <w:t>区块链与物联网。支持区块链与生产性服务业深化融合，推进区块链技术在数字金融、供应链管理、资产交易等场景的应用落地。支持物联网技术在智能仓库、智能物流、智能医疗、定位导航等多种场景下的应用。</w:t>
      </w:r>
    </w:p>
    <w:p w14:paraId="360E199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黑体简体" w:cs="方正黑体简体"/>
          <w:b w:val="0"/>
          <w:bCs/>
          <w:kern w:val="2"/>
          <w:sz w:val="32"/>
          <w:szCs w:val="32"/>
          <w:lang w:val="en-US" w:eastAsia="zh-CN" w:bidi="ar-SA"/>
        </w:rPr>
      </w:pPr>
      <w:r>
        <w:rPr>
          <w:rFonts w:hint="default" w:ascii="Times New Roman" w:hAnsi="Times New Roman" w:eastAsia="方正黑体简体" w:cs="方正黑体简体"/>
          <w:b w:val="0"/>
          <w:bCs/>
          <w:kern w:val="2"/>
          <w:sz w:val="32"/>
          <w:szCs w:val="32"/>
          <w:lang w:val="en-US" w:eastAsia="zh-CN" w:bidi="ar-SA"/>
        </w:rPr>
        <w:t>三、重点任务</w:t>
      </w:r>
    </w:p>
    <w:p w14:paraId="6527F4E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（一）创新引领数字产业化</w:t>
      </w:r>
    </w:p>
    <w:p w14:paraId="6F26EA9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1、加快数字技术策源。</w:t>
      </w:r>
      <w:r>
        <w:rPr>
          <w:rFonts w:hint="default" w:ascii="Times New Roman" w:hAnsi="Times New Roman" w:eastAsia="方正仿宋简体" w:cs="方正仿宋简体"/>
          <w:b w:val="0"/>
          <w:bCs w:val="0"/>
          <w:color w:val="000000"/>
          <w:sz w:val="32"/>
          <w:szCs w:val="32"/>
          <w:lang w:val="en-US" w:eastAsia="zh-CN"/>
        </w:rPr>
        <w:t>整合产业技术资源，开展行业共性技术联合攻关，打造</w:t>
      </w:r>
      <w:r>
        <w:rPr>
          <w:rFonts w:hint="default" w:ascii="Times New Roman" w:hAnsi="Times New Roman" w:eastAsia="方正仿宋简体" w:cs="Times New Roman"/>
          <w:b w:val="0"/>
          <w:bCs w:val="0"/>
          <w:color w:val="000000"/>
          <w:sz w:val="32"/>
          <w:szCs w:val="32"/>
          <w:lang w:val="en-US" w:eastAsia="zh-CN"/>
        </w:rPr>
        <w:t>1</w:t>
      </w:r>
      <w:r>
        <w:rPr>
          <w:rFonts w:hint="default" w:ascii="Times New Roman" w:hAnsi="Times New Roman" w:eastAsia="方正仿宋简体" w:cs="方正仿宋简体"/>
          <w:b w:val="0"/>
          <w:bCs w:val="0"/>
          <w:color w:val="000000"/>
          <w:sz w:val="32"/>
          <w:szCs w:val="32"/>
          <w:lang w:val="en-US" w:eastAsia="zh-CN"/>
        </w:rPr>
        <w:t>家以上数字经济领域创新联合体。进一步加强与高能级科研院所的合作，加快实现上大—临港数字经济研究院落地运营。到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年，将研究院打造成为具有全市影响力的数字经济产业孵化基地和人才培养基地。（责任单位：区科委、有关街镇（园区）、南大公司）</w:t>
      </w:r>
    </w:p>
    <w:p w14:paraId="4B3AB60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2、加强数字产业集聚。</w:t>
      </w:r>
      <w:r>
        <w:rPr>
          <w:rFonts w:hint="default" w:ascii="Times New Roman" w:hAnsi="Times New Roman" w:eastAsia="方正仿宋简体" w:cs="方正仿宋简体"/>
          <w:b w:val="0"/>
          <w:bCs w:val="0"/>
          <w:color w:val="000000"/>
          <w:sz w:val="32"/>
          <w:szCs w:val="32"/>
          <w:lang w:val="en-US" w:eastAsia="zh-CN"/>
        </w:rPr>
        <w:t>集聚壮大科技型领军企业、高新技术企业、专精特新企业、隐形冠军企业、科技和创新型中小企业等一批数字科技企业。到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年，在数字经济领域引进培育独角兽企业</w:t>
      </w:r>
      <w:r>
        <w:rPr>
          <w:rFonts w:hint="default" w:ascii="Times New Roman" w:hAnsi="Times New Roman" w:eastAsia="方正仿宋简体" w:cs="Times New Roman"/>
          <w:b w:val="0"/>
          <w:bCs w:val="0"/>
          <w:color w:val="000000"/>
          <w:sz w:val="32"/>
          <w:szCs w:val="32"/>
          <w:lang w:val="en-US" w:eastAsia="zh-CN"/>
        </w:rPr>
        <w:t>5</w:t>
      </w:r>
      <w:r>
        <w:rPr>
          <w:rFonts w:hint="default" w:ascii="Times New Roman" w:hAnsi="Times New Roman" w:eastAsia="方正仿宋简体" w:cs="方正仿宋简体"/>
          <w:b w:val="0"/>
          <w:bCs w:val="0"/>
          <w:color w:val="000000"/>
          <w:sz w:val="32"/>
          <w:szCs w:val="32"/>
          <w:lang w:val="en-US" w:eastAsia="zh-CN"/>
        </w:rPr>
        <w:t>家，累计培育</w:t>
      </w:r>
      <w:r>
        <w:rPr>
          <w:rFonts w:hint="default" w:ascii="Times New Roman" w:hAnsi="Times New Roman" w:eastAsia="方正仿宋简体" w:cs="Times New Roman"/>
          <w:b w:val="0"/>
          <w:bCs w:val="0"/>
          <w:color w:val="000000"/>
          <w:sz w:val="32"/>
          <w:szCs w:val="32"/>
          <w:lang w:val="en-US" w:eastAsia="zh-CN"/>
        </w:rPr>
        <w:t>20</w:t>
      </w:r>
      <w:r>
        <w:rPr>
          <w:rFonts w:hint="default" w:ascii="Times New Roman" w:hAnsi="Times New Roman" w:eastAsia="方正仿宋简体" w:cs="方正仿宋简体"/>
          <w:b w:val="0"/>
          <w:bCs w:val="0"/>
          <w:color w:val="000000"/>
          <w:sz w:val="32"/>
          <w:szCs w:val="32"/>
          <w:lang w:val="en-US" w:eastAsia="zh-CN"/>
        </w:rPr>
        <w:t>家国家级专精特新“小巨人”，新增</w:t>
      </w:r>
      <w:r>
        <w:rPr>
          <w:rFonts w:hint="default" w:ascii="Times New Roman" w:hAnsi="Times New Roman" w:eastAsia="方正仿宋简体" w:cs="Times New Roman"/>
          <w:b w:val="0"/>
          <w:bCs w:val="0"/>
          <w:color w:val="000000"/>
          <w:sz w:val="32"/>
          <w:szCs w:val="32"/>
          <w:lang w:val="en-US" w:eastAsia="zh-CN"/>
        </w:rPr>
        <w:t>100</w:t>
      </w:r>
      <w:r>
        <w:rPr>
          <w:rFonts w:hint="default" w:ascii="Times New Roman" w:hAnsi="Times New Roman" w:eastAsia="方正仿宋简体" w:cs="方正仿宋简体"/>
          <w:b w:val="0"/>
          <w:bCs w:val="0"/>
          <w:color w:val="000000"/>
          <w:sz w:val="32"/>
          <w:szCs w:val="32"/>
          <w:lang w:val="en-US" w:eastAsia="zh-CN"/>
        </w:rPr>
        <w:t>家市级“专精特新”企业，</w:t>
      </w:r>
      <w:r>
        <w:rPr>
          <w:rFonts w:hint="default" w:ascii="Times New Roman" w:hAnsi="Times New Roman" w:eastAsia="方正仿宋简体" w:cs="Times New Roman"/>
          <w:b w:val="0"/>
          <w:bCs w:val="0"/>
          <w:color w:val="000000"/>
          <w:sz w:val="32"/>
          <w:szCs w:val="32"/>
          <w:lang w:val="en-US" w:eastAsia="zh-CN"/>
        </w:rPr>
        <w:t>100</w:t>
      </w:r>
      <w:r>
        <w:rPr>
          <w:rFonts w:hint="default" w:ascii="Times New Roman" w:hAnsi="Times New Roman" w:eastAsia="方正仿宋简体" w:cs="方正仿宋简体"/>
          <w:b w:val="0"/>
          <w:bCs w:val="0"/>
          <w:color w:val="000000"/>
          <w:sz w:val="32"/>
          <w:szCs w:val="32"/>
          <w:lang w:val="en-US" w:eastAsia="zh-CN"/>
        </w:rPr>
        <w:t>家高新技术企业。（责任单位：区科创委、区经委、区科委、有关街镇（园区））</w:t>
      </w:r>
    </w:p>
    <w:p w14:paraId="6E98B9EC">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3、激活数据要素价值。</w:t>
      </w:r>
      <w:r>
        <w:rPr>
          <w:rFonts w:hint="default" w:ascii="Times New Roman" w:hAnsi="Times New Roman" w:eastAsia="方正仿宋简体" w:cs="方正仿宋简体"/>
          <w:b w:val="0"/>
          <w:bCs w:val="0"/>
          <w:color w:val="000000"/>
          <w:sz w:val="32"/>
          <w:szCs w:val="32"/>
          <w:lang w:val="en-US" w:eastAsia="zh-CN"/>
        </w:rPr>
        <w:t>积极布局数据资产赛道，鼓励开展资产管理领域数字化监管、数字资产管理等业务，充分挖掘数据要素价值。鼓励企业在上海市数据交易所挂牌数据产品，积极参与数据交易。到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年，培育不少于</w:t>
      </w:r>
      <w:r>
        <w:rPr>
          <w:rFonts w:hint="default" w:ascii="Times New Roman" w:hAnsi="Times New Roman" w:eastAsia="方正仿宋简体" w:cs="Times New Roman"/>
          <w:b w:val="0"/>
          <w:bCs w:val="0"/>
          <w:color w:val="000000"/>
          <w:sz w:val="32"/>
          <w:szCs w:val="32"/>
          <w:lang w:val="en-US" w:eastAsia="zh-CN"/>
        </w:rPr>
        <w:t>5</w:t>
      </w:r>
      <w:r>
        <w:rPr>
          <w:rFonts w:hint="default" w:ascii="Times New Roman" w:hAnsi="Times New Roman" w:eastAsia="方正仿宋简体" w:cs="方正仿宋简体"/>
          <w:b w:val="0"/>
          <w:bCs w:val="0"/>
          <w:color w:val="000000"/>
          <w:sz w:val="32"/>
          <w:szCs w:val="32"/>
          <w:lang w:val="en-US" w:eastAsia="zh-CN"/>
        </w:rPr>
        <w:t>家优秀数商企业，累计推动</w:t>
      </w:r>
      <w:r>
        <w:rPr>
          <w:rFonts w:hint="default" w:ascii="Times New Roman" w:hAnsi="Times New Roman" w:eastAsia="方正仿宋简体" w:cs="Times New Roman"/>
          <w:b w:val="0"/>
          <w:bCs w:val="0"/>
          <w:color w:val="000000"/>
          <w:sz w:val="32"/>
          <w:szCs w:val="32"/>
          <w:lang w:val="en-US" w:eastAsia="zh-CN"/>
        </w:rPr>
        <w:t>15</w:t>
      </w:r>
      <w:r>
        <w:rPr>
          <w:rFonts w:hint="default" w:ascii="Times New Roman" w:hAnsi="Times New Roman" w:eastAsia="方正仿宋简体" w:cs="方正仿宋简体"/>
          <w:b w:val="0"/>
          <w:bCs w:val="0"/>
          <w:color w:val="000000"/>
          <w:sz w:val="32"/>
          <w:szCs w:val="32"/>
          <w:lang w:val="en-US" w:eastAsia="zh-CN"/>
        </w:rPr>
        <w:t>个数据产品在上海市数据交易所成功挂牌。（责任单位：区经委、有关街镇（园区））</w:t>
      </w:r>
    </w:p>
    <w:p w14:paraId="240F580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仿宋简体" w:cs="方正仿宋简体"/>
          <w:b/>
          <w:bCs/>
          <w:color w:val="000000"/>
          <w:sz w:val="32"/>
          <w:szCs w:val="32"/>
          <w:lang w:val="en-US" w:eastAsia="zh-CN"/>
        </w:rPr>
        <w:t>4、完善数字领域标准。</w:t>
      </w:r>
      <w:r>
        <w:rPr>
          <w:rFonts w:hint="default" w:ascii="Times New Roman" w:hAnsi="Times New Roman" w:eastAsia="方正仿宋简体" w:cs="方正仿宋简体"/>
          <w:b w:val="0"/>
          <w:bCs w:val="0"/>
          <w:color w:val="000000"/>
          <w:sz w:val="32"/>
          <w:szCs w:val="32"/>
          <w:lang w:val="en-US" w:eastAsia="zh-CN"/>
        </w:rPr>
        <w:t>聚焦数字经济重点领域和技术前沿，加强对数字技术重点领域国际、国家和行业标准研制，支持企业积极参与国内外重要标准化活动，提高我区数字产业的竞争力和影响力。到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年，新增数字领域相关标准</w:t>
      </w:r>
      <w:r>
        <w:rPr>
          <w:rFonts w:hint="default" w:ascii="Times New Roman" w:hAnsi="Times New Roman" w:eastAsia="方正仿宋简体" w:cs="Times New Roman"/>
          <w:b w:val="0"/>
          <w:bCs w:val="0"/>
          <w:color w:val="000000"/>
          <w:sz w:val="32"/>
          <w:szCs w:val="32"/>
          <w:lang w:val="en-US" w:eastAsia="zh-CN"/>
        </w:rPr>
        <w:t>10</w:t>
      </w:r>
      <w:r>
        <w:rPr>
          <w:rFonts w:hint="default" w:ascii="Times New Roman" w:hAnsi="Times New Roman" w:eastAsia="方正仿宋简体" w:cs="方正仿宋简体"/>
          <w:b w:val="0"/>
          <w:bCs w:val="0"/>
          <w:color w:val="000000"/>
          <w:sz w:val="32"/>
          <w:szCs w:val="32"/>
          <w:lang w:val="en-US" w:eastAsia="zh-CN"/>
        </w:rPr>
        <w:t>项以上。（责任单位：区市场监督管理局、区科委、区经委）</w:t>
      </w:r>
    </w:p>
    <w:p w14:paraId="1E54E13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（二）深入推进产业数字化</w:t>
      </w:r>
    </w:p>
    <w:p w14:paraId="55B92B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5、数字×邮轮旅游。</w:t>
      </w:r>
      <w:r>
        <w:rPr>
          <w:rFonts w:hint="default" w:ascii="Times New Roman" w:hAnsi="Times New Roman" w:eastAsia="方正仿宋简体" w:cs="方正仿宋简体"/>
          <w:b w:val="0"/>
          <w:bCs w:val="0"/>
          <w:color w:val="000000"/>
          <w:sz w:val="32"/>
          <w:szCs w:val="32"/>
          <w:lang w:val="en-US" w:eastAsia="zh-CN"/>
        </w:rPr>
        <w:t>以华夏邮轮落户为牵引，进一步围绕邮轮设计制造、供应链管理、运营服务等环节提高数字化水平。推进邮轮数据挖掘应用，深化邮轮行业大数据建设，加快邮轮信息标准化建设，探索构建中国邮轮行业数字基座。打造高品质数字国际邮轮旅游度假区，完善吴淞口国际邮轮港智能基础设施，形成一批数字化文旅产品，进一步集聚数字文旅功能要素。（责任单位：区滨江委、有关街镇（园区））</w:t>
      </w:r>
    </w:p>
    <w:p w14:paraId="59055F9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6、数字×绿色低碳。</w:t>
      </w:r>
      <w:r>
        <w:rPr>
          <w:rFonts w:hint="default" w:ascii="Times New Roman" w:hAnsi="Times New Roman" w:eastAsia="方正仿宋简体" w:cs="方正仿宋简体"/>
          <w:b w:val="0"/>
          <w:bCs w:val="0"/>
          <w:color w:val="000000"/>
          <w:sz w:val="32"/>
          <w:szCs w:val="32"/>
          <w:lang w:val="en-US" w:eastAsia="zh-CN"/>
        </w:rPr>
        <w:t>进一步丰富集成产品碳足迹核算标准的计算模型库。建立高质量低碳供应链数据库，提升碳足迹评价量化能力，促进碳足迹数据流通。围绕能源、交通、建筑等领域，开放并建成一批数字应用场景。大力推进宝武（上海）碳中和市级特色园区建设，打造绿色低碳企业集聚、绿色低碳技术策源、绿色低碳产业链完整的碳中和产业园。大力推进南大智慧城碳达峰碳中和试点示范创建，推进碳减排技术研发、碳足迹认证以及碳资产管理等产业发展。支持公共机构、大型公共建筑实施智能改造，落实节能降碳指标，深入实施以数字化推动绿色化行动方案。（责任单位：区发改委、有关街镇（园区）、南大公司）</w:t>
      </w:r>
    </w:p>
    <w:p w14:paraId="75EAB37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7、数字×生物医药。</w:t>
      </w:r>
      <w:r>
        <w:rPr>
          <w:rFonts w:hint="default" w:ascii="Times New Roman" w:hAnsi="Times New Roman" w:eastAsia="方正仿宋简体" w:cs="方正仿宋简体"/>
          <w:b w:val="0"/>
          <w:bCs w:val="0"/>
          <w:color w:val="000000"/>
          <w:sz w:val="32"/>
          <w:szCs w:val="32"/>
          <w:lang w:val="en-US" w:eastAsia="zh-CN"/>
        </w:rPr>
        <w:t>鼓励“</w:t>
      </w:r>
      <w:r>
        <w:rPr>
          <w:rFonts w:hint="default" w:ascii="Times New Roman" w:hAnsi="Times New Roman" w:eastAsia="方正仿宋简体" w:cs="Times New Roman"/>
          <w:b w:val="0"/>
          <w:bCs w:val="0"/>
          <w:color w:val="000000"/>
          <w:sz w:val="32"/>
          <w:szCs w:val="32"/>
          <w:lang w:val="en-US" w:eastAsia="zh-CN"/>
        </w:rPr>
        <w:t>AI+</w:t>
      </w:r>
      <w:r>
        <w:rPr>
          <w:rFonts w:hint="default" w:ascii="Times New Roman" w:hAnsi="Times New Roman" w:eastAsia="方正仿宋简体" w:cs="方正仿宋简体"/>
          <w:b w:val="0"/>
          <w:bCs w:val="0"/>
          <w:color w:val="000000"/>
          <w:sz w:val="32"/>
          <w:szCs w:val="32"/>
          <w:lang w:val="en-US" w:eastAsia="zh-CN"/>
        </w:rPr>
        <w:t>”等创新模式推动创新药物、合成生物等领域研发，实现</w:t>
      </w:r>
      <w:r>
        <w:rPr>
          <w:rFonts w:hint="default" w:ascii="Times New Roman" w:hAnsi="Times New Roman" w:eastAsia="方正仿宋简体" w:cs="Times New Roman"/>
          <w:b w:val="0"/>
          <w:bCs w:val="0"/>
          <w:color w:val="000000"/>
          <w:sz w:val="32"/>
          <w:szCs w:val="32"/>
          <w:lang w:val="en-US" w:eastAsia="zh-CN"/>
        </w:rPr>
        <w:t>BT-IT</w:t>
      </w:r>
      <w:r>
        <w:rPr>
          <w:rFonts w:hint="default" w:ascii="Times New Roman" w:hAnsi="Times New Roman" w:eastAsia="方正仿宋简体" w:cs="方正仿宋简体"/>
          <w:b w:val="0"/>
          <w:bCs w:val="0"/>
          <w:color w:val="000000"/>
          <w:sz w:val="32"/>
          <w:szCs w:val="32"/>
          <w:lang w:val="en-US" w:eastAsia="zh-CN"/>
        </w:rPr>
        <w:t>深度融合。推动数字技术在手术机器人、脑机接口、高端医学影像设备等数字化医疗产品的研发应用。提升生产端智能化程度。鼓励实验室管理系统（</w:t>
      </w:r>
      <w:r>
        <w:rPr>
          <w:rFonts w:hint="default" w:ascii="Times New Roman" w:hAnsi="Times New Roman" w:eastAsia="方正仿宋简体" w:cs="Times New Roman"/>
          <w:b w:val="0"/>
          <w:bCs w:val="0"/>
          <w:color w:val="000000"/>
          <w:sz w:val="32"/>
          <w:szCs w:val="32"/>
          <w:lang w:val="en-US" w:eastAsia="zh-CN"/>
        </w:rPr>
        <w:t>LIMS</w:t>
      </w:r>
      <w:r>
        <w:rPr>
          <w:rFonts w:hint="default" w:ascii="Times New Roman" w:hAnsi="Times New Roman" w:eastAsia="方正仿宋简体" w:cs="方正仿宋简体"/>
          <w:b w:val="0"/>
          <w:bCs w:val="0"/>
          <w:color w:val="000000"/>
          <w:sz w:val="32"/>
          <w:szCs w:val="32"/>
          <w:lang w:val="en-US" w:eastAsia="zh-CN"/>
        </w:rPr>
        <w:t>）、制造执行系统（</w:t>
      </w:r>
      <w:r>
        <w:rPr>
          <w:rFonts w:hint="default" w:ascii="Times New Roman" w:hAnsi="Times New Roman" w:eastAsia="方正仿宋简体" w:cs="Times New Roman"/>
          <w:b w:val="0"/>
          <w:bCs w:val="0"/>
          <w:color w:val="000000"/>
          <w:sz w:val="32"/>
          <w:szCs w:val="32"/>
          <w:lang w:val="en-US" w:eastAsia="zh-CN"/>
        </w:rPr>
        <w:t>MES</w:t>
      </w:r>
      <w:r>
        <w:rPr>
          <w:rFonts w:hint="default" w:ascii="Times New Roman" w:hAnsi="Times New Roman" w:eastAsia="方正仿宋简体" w:cs="方正仿宋简体"/>
          <w:b w:val="0"/>
          <w:bCs w:val="0"/>
          <w:color w:val="000000"/>
          <w:sz w:val="32"/>
          <w:szCs w:val="32"/>
          <w:lang w:val="en-US" w:eastAsia="zh-CN"/>
        </w:rPr>
        <w:t>）等数字化系统的应用，推进生物医药小试、中试及商业化生产等关键环节的智能化升级。（责任单位：区经委、区科委、有关街镇（园区））</w:t>
      </w:r>
    </w:p>
    <w:p w14:paraId="6F5C6D2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Times New Roman"/>
          <w:b/>
          <w:bCs/>
          <w:color w:val="000000"/>
          <w:sz w:val="32"/>
          <w:szCs w:val="32"/>
          <w:lang w:val="en-US" w:eastAsia="zh-CN"/>
        </w:rPr>
        <w:t>8、数字×机器人。</w:t>
      </w:r>
      <w:r>
        <w:rPr>
          <w:rFonts w:hint="default" w:ascii="Times New Roman" w:hAnsi="Times New Roman" w:eastAsia="方正仿宋简体" w:cs="方正仿宋简体"/>
          <w:b w:val="0"/>
          <w:bCs w:val="0"/>
          <w:color w:val="000000"/>
          <w:sz w:val="32"/>
          <w:szCs w:val="32"/>
          <w:lang w:val="en-US" w:eastAsia="zh-CN"/>
        </w:rPr>
        <w:t>支持应用大模型、具身智能等人工智能技术开展人形机器人关键技术攻关。支持</w:t>
      </w:r>
      <w:r>
        <w:rPr>
          <w:rFonts w:hint="default" w:ascii="Times New Roman" w:hAnsi="Times New Roman" w:eastAsia="方正仿宋简体" w:cs="Times New Roman"/>
          <w:b w:val="0"/>
          <w:bCs w:val="0"/>
          <w:color w:val="000000"/>
          <w:sz w:val="32"/>
          <w:szCs w:val="32"/>
          <w:lang w:val="en-US" w:eastAsia="zh-CN"/>
        </w:rPr>
        <w:t>5G</w:t>
      </w:r>
      <w:r>
        <w:rPr>
          <w:rFonts w:hint="default" w:ascii="Times New Roman" w:hAnsi="Times New Roman" w:eastAsia="方正仿宋简体" w:cs="方正仿宋简体"/>
          <w:b w:val="0"/>
          <w:bCs w:val="0"/>
          <w:color w:val="000000"/>
          <w:sz w:val="32"/>
          <w:szCs w:val="32"/>
          <w:lang w:val="en-US" w:eastAsia="zh-CN"/>
        </w:rPr>
        <w:t>、边缘计算等数字技术在手术机器人、康复人形机器人、辅助服务机器人等赛道中的应用。以实现柔性生产为方向，加快推动工业机器人创新协同应用。到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年，累计打造</w:t>
      </w:r>
      <w:r>
        <w:rPr>
          <w:rFonts w:hint="default" w:ascii="Times New Roman" w:hAnsi="Times New Roman" w:eastAsia="方正仿宋简体" w:cs="Times New Roman"/>
          <w:b w:val="0"/>
          <w:bCs w:val="0"/>
          <w:color w:val="000000"/>
          <w:sz w:val="32"/>
          <w:szCs w:val="32"/>
          <w:lang w:val="en-US" w:eastAsia="zh-CN"/>
        </w:rPr>
        <w:t>10</w:t>
      </w:r>
      <w:r>
        <w:rPr>
          <w:rFonts w:hint="default" w:ascii="Times New Roman" w:hAnsi="Times New Roman" w:eastAsia="方正仿宋简体" w:cs="方正仿宋简体"/>
          <w:b w:val="0"/>
          <w:bCs w:val="0"/>
          <w:color w:val="000000"/>
          <w:sz w:val="32"/>
          <w:szCs w:val="32"/>
          <w:lang w:val="en-US" w:eastAsia="zh-CN"/>
        </w:rPr>
        <w:t>家上海市智能工厂，创建</w:t>
      </w:r>
      <w:r>
        <w:rPr>
          <w:rFonts w:hint="default" w:ascii="Times New Roman" w:hAnsi="Times New Roman" w:eastAsia="方正仿宋简体" w:cs="Times New Roman"/>
          <w:b w:val="0"/>
          <w:bCs w:val="0"/>
          <w:color w:val="000000"/>
          <w:sz w:val="32"/>
          <w:szCs w:val="32"/>
          <w:lang w:val="en-US" w:eastAsia="zh-CN"/>
        </w:rPr>
        <w:t>100</w:t>
      </w:r>
      <w:r>
        <w:rPr>
          <w:rFonts w:hint="default" w:ascii="Times New Roman" w:hAnsi="Times New Roman" w:eastAsia="方正仿宋简体" w:cs="方正仿宋简体"/>
          <w:b w:val="0"/>
          <w:bCs w:val="0"/>
          <w:color w:val="000000"/>
          <w:sz w:val="32"/>
          <w:szCs w:val="32"/>
          <w:lang w:val="en-US" w:eastAsia="zh-CN"/>
        </w:rPr>
        <w:t>个标杆数字化标杆场景。（责任单位：区经委、有关街镇（园区））</w:t>
      </w:r>
    </w:p>
    <w:p w14:paraId="39224BD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Times New Roman"/>
          <w:b/>
          <w:bCs/>
          <w:color w:val="000000"/>
          <w:sz w:val="32"/>
          <w:szCs w:val="32"/>
          <w:lang w:val="en-US" w:eastAsia="zh-CN"/>
        </w:rPr>
        <w:t>9、数字×新材料。</w:t>
      </w:r>
      <w:r>
        <w:rPr>
          <w:rFonts w:hint="default" w:ascii="Times New Roman" w:hAnsi="Times New Roman" w:eastAsia="方正仿宋简体" w:cs="方正仿宋简体"/>
          <w:b w:val="0"/>
          <w:bCs w:val="0"/>
          <w:color w:val="000000"/>
          <w:sz w:val="32"/>
          <w:szCs w:val="32"/>
          <w:lang w:val="en-US" w:eastAsia="zh-CN"/>
        </w:rPr>
        <w:t>依托吴淞材料实验室建设，进一步提升数字设计能力，加快推动虚拟仿真、</w:t>
      </w:r>
      <w:r>
        <w:rPr>
          <w:rFonts w:hint="default" w:ascii="Times New Roman" w:hAnsi="Times New Roman" w:eastAsia="方正仿宋简体" w:cs="Times New Roman"/>
          <w:b w:val="0"/>
          <w:bCs w:val="0"/>
          <w:color w:val="000000"/>
          <w:sz w:val="32"/>
          <w:szCs w:val="32"/>
          <w:lang w:val="en-US" w:eastAsia="zh-CN"/>
        </w:rPr>
        <w:t>CAD</w:t>
      </w:r>
      <w:r>
        <w:rPr>
          <w:rFonts w:hint="default" w:ascii="Times New Roman" w:hAnsi="Times New Roman" w:eastAsia="方正仿宋简体" w:cs="方正仿宋简体"/>
          <w:b w:val="0"/>
          <w:bCs w:val="0"/>
          <w:color w:val="000000"/>
          <w:sz w:val="32"/>
          <w:szCs w:val="32"/>
          <w:lang w:val="en-US" w:eastAsia="zh-CN"/>
        </w:rPr>
        <w:t>等数字技术在新材料研发中的应用。提升上海石墨烯产业技术功能平台能级，进一步集聚具有数字化背景的复合研发人才。鼓励新材料企业积极“上云上平台”，实现生产流程全流程、全要素、全生命周期数字化赋能。（责任单位：区科委、区经委、有关街镇（园区））</w:t>
      </w:r>
    </w:p>
    <w:p w14:paraId="00FDFC0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kern w:val="2"/>
          <w:sz w:val="32"/>
          <w:szCs w:val="32"/>
          <w:lang w:val="en-US" w:eastAsia="zh-CN" w:bidi="ar-SA"/>
        </w:rPr>
        <w:t>10、</w:t>
      </w:r>
      <w:r>
        <w:rPr>
          <w:rFonts w:hint="default" w:ascii="Times New Roman" w:hAnsi="Times New Roman" w:eastAsia="方正仿宋简体" w:cs="方正仿宋简体"/>
          <w:b/>
          <w:bCs/>
          <w:color w:val="000000"/>
          <w:sz w:val="32"/>
          <w:szCs w:val="32"/>
          <w:lang w:val="en-US" w:eastAsia="zh-CN"/>
        </w:rPr>
        <w:t>数字×文化创意。</w:t>
      </w:r>
      <w:r>
        <w:rPr>
          <w:rFonts w:hint="default" w:ascii="Times New Roman" w:hAnsi="Times New Roman" w:eastAsia="方正仿宋简体" w:cs="方正仿宋简体"/>
          <w:b w:val="0"/>
          <w:bCs w:val="0"/>
          <w:color w:val="000000"/>
          <w:sz w:val="32"/>
          <w:szCs w:val="32"/>
          <w:lang w:val="en-US" w:eastAsia="zh-CN"/>
        </w:rPr>
        <w:t>推动文化创意产业数字化转型，建设和推广数字图书馆、数字博物馆、文体设施智慧服务平台。支持数字内容原创研发，大力推动创意设计、影视动漫、电竞、数字出版等行业发展。加快建设国际元数创港，推动数字影视基地落地。（责任单位：区文旅局、有关街镇（园区））</w:t>
      </w:r>
    </w:p>
    <w:p w14:paraId="7B0E747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（三）优化数字经济关键要素供给</w:t>
      </w:r>
    </w:p>
    <w:p w14:paraId="1004A13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11、加快新型基础设施建设。</w:t>
      </w:r>
      <w:r>
        <w:rPr>
          <w:rFonts w:hint="default" w:ascii="Times New Roman" w:hAnsi="Times New Roman" w:eastAsia="方正仿宋简体" w:cs="方正仿宋简体"/>
          <w:b w:val="0"/>
          <w:bCs w:val="0"/>
          <w:color w:val="000000"/>
          <w:sz w:val="32"/>
          <w:szCs w:val="32"/>
          <w:lang w:val="en-US" w:eastAsia="zh-CN"/>
        </w:rPr>
        <w:t>围绕“新网络、新算力、新数据、新设施、新终端”，加快构建泛在互联的高水平网络基础设施，推动</w:t>
      </w:r>
      <w:r>
        <w:rPr>
          <w:rFonts w:hint="default" w:ascii="Times New Roman" w:hAnsi="Times New Roman" w:eastAsia="方正仿宋简体" w:cs="Times New Roman"/>
          <w:b w:val="0"/>
          <w:bCs w:val="0"/>
          <w:color w:val="000000"/>
          <w:sz w:val="32"/>
          <w:szCs w:val="32"/>
          <w:lang w:val="en-US" w:eastAsia="zh-CN"/>
        </w:rPr>
        <w:t>5G</w:t>
      </w:r>
      <w:r>
        <w:rPr>
          <w:rFonts w:hint="default" w:ascii="Times New Roman" w:hAnsi="Times New Roman" w:eastAsia="方正仿宋简体" w:cs="方正仿宋简体"/>
          <w:b w:val="0"/>
          <w:bCs w:val="0"/>
          <w:color w:val="000000"/>
          <w:sz w:val="32"/>
          <w:szCs w:val="32"/>
          <w:lang w:val="en-US" w:eastAsia="zh-CN"/>
        </w:rPr>
        <w:t>及下一代互联网基础设施建设。建设深度覆盖特色产业园区的工业互联网平台。加强绿色算力战略布局，鼓励算力中心采用源网荷储等技术，支持与风电、光伏等可再生能源融合开发、就近消纳，逐步提升算力设施绿电使用率，推动绿电绿证交易规模扩大，构建“算力</w:t>
      </w:r>
      <w:r>
        <w:rPr>
          <w:rFonts w:hint="default" w:ascii="Times New Roman" w:hAnsi="Times New Roman" w:eastAsia="方正仿宋简体" w:cs="Times New Roman"/>
          <w:b w:val="0"/>
          <w:bCs w:val="0"/>
          <w:color w:val="000000"/>
          <w:sz w:val="32"/>
          <w:szCs w:val="32"/>
          <w:lang w:val="en-US" w:eastAsia="zh-CN"/>
        </w:rPr>
        <w:t>+</w:t>
      </w:r>
      <w:r>
        <w:rPr>
          <w:rFonts w:hint="default" w:ascii="Times New Roman" w:hAnsi="Times New Roman" w:eastAsia="方正仿宋简体" w:cs="方正仿宋简体"/>
          <w:b w:val="0"/>
          <w:bCs w:val="0"/>
          <w:color w:val="000000"/>
          <w:sz w:val="32"/>
          <w:szCs w:val="32"/>
          <w:lang w:val="en-US" w:eastAsia="zh-CN"/>
        </w:rPr>
        <w:t>”绿色低碳生态体系。支持顾村镇加快智算中心建设，打造</w:t>
      </w:r>
      <w:r>
        <w:rPr>
          <w:rFonts w:hint="default" w:ascii="Times New Roman" w:hAnsi="Times New Roman" w:eastAsia="方正仿宋简体" w:cs="Times New Roman"/>
          <w:b w:val="0"/>
          <w:bCs w:val="0"/>
          <w:color w:val="000000"/>
          <w:sz w:val="32"/>
          <w:szCs w:val="32"/>
          <w:lang w:val="en-US" w:eastAsia="zh-CN"/>
        </w:rPr>
        <w:t>AI</w:t>
      </w:r>
      <w:r>
        <w:rPr>
          <w:rFonts w:hint="default" w:ascii="Times New Roman" w:hAnsi="Times New Roman" w:eastAsia="方正仿宋简体" w:cs="方正仿宋简体"/>
          <w:b w:val="0"/>
          <w:bCs w:val="0"/>
          <w:color w:val="000000"/>
          <w:sz w:val="32"/>
          <w:szCs w:val="32"/>
          <w:lang w:val="en-US" w:eastAsia="zh-CN"/>
        </w:rPr>
        <w:t>千卡集群。支持数据中心升级，打造智能数据底座。（责任单位：区信息委、区发改委、有关街镇（园区））</w:t>
      </w:r>
    </w:p>
    <w:p w14:paraId="0ABC82F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bCs/>
          <w:color w:val="000000"/>
          <w:sz w:val="32"/>
          <w:szCs w:val="32"/>
          <w:lang w:val="en-US" w:eastAsia="zh-CN"/>
        </w:rPr>
        <w:t>12、推动数字应用场景开放。</w:t>
      </w:r>
      <w:r>
        <w:rPr>
          <w:rFonts w:hint="default" w:ascii="Times New Roman" w:hAnsi="Times New Roman" w:eastAsia="方正仿宋简体" w:cs="方正仿宋简体"/>
          <w:b w:val="0"/>
          <w:bCs w:val="0"/>
          <w:color w:val="000000"/>
          <w:sz w:val="32"/>
          <w:szCs w:val="32"/>
          <w:lang w:val="en-US" w:eastAsia="zh-CN"/>
        </w:rPr>
        <w:t>大力建设“数字经济友好型城区”，以“揭榜挂帅”、“赛马”等形式，推动商贸流通、交通运输、金融服务、文化旅游、医疗健康、应急管理、气象服务、城市治理、绿色低碳等众多数字应用场景进一步开放。鼓励龙头企业开放一批重大应用场景需求，促进关键核心技术攻关和场景落地。培育一批具有专业化服务能力的数字化转型赋能商团队，建立本区数字化转型解决方案清单。到</w:t>
      </w:r>
      <w:r>
        <w:rPr>
          <w:rFonts w:hint="default" w:ascii="Times New Roman" w:hAnsi="Times New Roman" w:eastAsia="方正仿宋简体" w:cs="Times New Roman"/>
          <w:b w:val="0"/>
          <w:bCs w:val="0"/>
          <w:color w:val="000000"/>
          <w:sz w:val="32"/>
          <w:szCs w:val="32"/>
          <w:lang w:val="en-US" w:eastAsia="zh-CN"/>
        </w:rPr>
        <w:t>2026</w:t>
      </w:r>
      <w:r>
        <w:rPr>
          <w:rFonts w:hint="default" w:ascii="Times New Roman" w:hAnsi="Times New Roman" w:eastAsia="方正仿宋简体" w:cs="方正仿宋简体"/>
          <w:b w:val="0"/>
          <w:bCs w:val="0"/>
          <w:color w:val="000000"/>
          <w:sz w:val="32"/>
          <w:szCs w:val="32"/>
          <w:lang w:val="en-US" w:eastAsia="zh-CN"/>
        </w:rPr>
        <w:t>年，完成至少</w:t>
      </w:r>
      <w:r>
        <w:rPr>
          <w:rFonts w:hint="default" w:ascii="Times New Roman" w:hAnsi="Times New Roman" w:eastAsia="方正仿宋简体" w:cs="Times New Roman"/>
          <w:b w:val="0"/>
          <w:bCs w:val="0"/>
          <w:color w:val="000000"/>
          <w:sz w:val="32"/>
          <w:szCs w:val="32"/>
          <w:lang w:val="en-US" w:eastAsia="zh-CN"/>
        </w:rPr>
        <w:t>10</w:t>
      </w:r>
      <w:r>
        <w:rPr>
          <w:rFonts w:hint="default" w:ascii="Times New Roman" w:hAnsi="Times New Roman" w:eastAsia="方正仿宋简体" w:cs="方正仿宋简体"/>
          <w:b w:val="0"/>
          <w:bCs w:val="0"/>
          <w:color w:val="000000"/>
          <w:sz w:val="32"/>
          <w:szCs w:val="32"/>
          <w:lang w:val="en-US" w:eastAsia="zh-CN"/>
        </w:rPr>
        <w:t>个重点数字场景应用场景对接，成立不少于</w:t>
      </w:r>
      <w:r>
        <w:rPr>
          <w:rFonts w:hint="default" w:ascii="Times New Roman" w:hAnsi="Times New Roman" w:eastAsia="方正仿宋简体" w:cs="Times New Roman"/>
          <w:b w:val="0"/>
          <w:bCs w:val="0"/>
          <w:color w:val="000000"/>
          <w:sz w:val="32"/>
          <w:szCs w:val="32"/>
          <w:lang w:val="en-US" w:eastAsia="zh-CN"/>
        </w:rPr>
        <w:t>30</w:t>
      </w:r>
      <w:r>
        <w:rPr>
          <w:rFonts w:hint="default" w:ascii="Times New Roman" w:hAnsi="Times New Roman" w:eastAsia="方正仿宋简体" w:cs="方正仿宋简体"/>
          <w:b w:val="0"/>
          <w:bCs w:val="0"/>
          <w:color w:val="000000"/>
          <w:sz w:val="32"/>
          <w:szCs w:val="32"/>
          <w:lang w:val="en-US" w:eastAsia="zh-CN"/>
        </w:rPr>
        <w:t>个的数字化转型赋能商和解决方案资源池。（责任单位：区信息委、区经委、区商务委、区交通委、区发改委、区文旅局、区卫健委、区应急局、区气象局、区城市运行中心、有关街镇（园区））</w:t>
      </w:r>
    </w:p>
    <w:p w14:paraId="41AF38A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黑体简体" w:cs="方正黑体简体"/>
          <w:b w:val="0"/>
          <w:bCs/>
          <w:kern w:val="2"/>
          <w:sz w:val="32"/>
          <w:szCs w:val="32"/>
          <w:lang w:val="en-US" w:eastAsia="zh-CN" w:bidi="ar-SA"/>
        </w:rPr>
      </w:pPr>
      <w:r>
        <w:rPr>
          <w:rFonts w:hint="eastAsia" w:ascii="Times New Roman" w:hAnsi="Times New Roman" w:eastAsia="方正黑体简体" w:cs="方正黑体简体"/>
          <w:b w:val="0"/>
          <w:bCs/>
          <w:kern w:val="2"/>
          <w:sz w:val="32"/>
          <w:szCs w:val="32"/>
          <w:lang w:val="en-US" w:eastAsia="zh-CN" w:bidi="ar-SA"/>
        </w:rPr>
        <w:t>四、保障措施</w:t>
      </w:r>
    </w:p>
    <w:p w14:paraId="495BB33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13、成立数字经济推进专班</w:t>
      </w:r>
    </w:p>
    <w:p w14:paraId="1E724E5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成立由区领导主抓，区经委牵头，各有关责任部门协同推进的工作机制。完善本区域规划布局和空间载体建设，加强企业引育和产业项目招商引资，研究出台特色支持举措，形成全区“上下协同、比学赶超”的良好氛围。</w:t>
      </w:r>
    </w:p>
    <w:p w14:paraId="1194F68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14、加快数字经济人才培养</w:t>
      </w:r>
    </w:p>
    <w:p w14:paraId="7DFEB0B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发挥“产业菁英”高层次人才专项、区“人才新政25条”等相关政策作用，加大力度引进和培养数字经济领军和青年人才。支持和吸引基础软件、工业软件、新型技术软件、信息安全软件等企业研发设计人员。努力做好人员落户、子女入学、住房保障等服务。充分发挥本地高校、职业院校、科研院所带动作用，加快开设数字经济产业相关课程，积极与企业合作共建人才培养基地，建立校企人才对接机制。</w:t>
      </w:r>
    </w:p>
    <w:p w14:paraId="738FA1F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default" w:ascii="Times New Roman" w:hAnsi="Times New Roman" w:eastAsia="方正楷体简体" w:cs="方正楷体简体"/>
          <w:b/>
          <w:bCs/>
          <w:kern w:val="2"/>
          <w:sz w:val="32"/>
          <w:szCs w:val="32"/>
          <w:lang w:val="en-US" w:eastAsia="zh-CN" w:bidi="ar-SA"/>
        </w:rPr>
      </w:pPr>
      <w:r>
        <w:rPr>
          <w:rFonts w:hint="default" w:ascii="Times New Roman" w:hAnsi="Times New Roman" w:eastAsia="方正楷体简体" w:cs="方正楷体简体"/>
          <w:b/>
          <w:bCs/>
          <w:kern w:val="2"/>
          <w:sz w:val="32"/>
          <w:szCs w:val="32"/>
          <w:lang w:val="en-US" w:eastAsia="zh-CN" w:bidi="ar-SA"/>
        </w:rPr>
        <w:t>15、加大数字专项政策扶持</w:t>
      </w:r>
    </w:p>
    <w:p w14:paraId="1548BC4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r>
        <w:rPr>
          <w:rFonts w:hint="default" w:ascii="Times New Roman" w:hAnsi="Times New Roman" w:eastAsia="方正仿宋简体" w:cs="方正仿宋简体"/>
          <w:b w:val="0"/>
          <w:bCs w:val="0"/>
          <w:color w:val="000000"/>
          <w:sz w:val="32"/>
          <w:szCs w:val="32"/>
          <w:lang w:val="en-US" w:eastAsia="zh-CN"/>
        </w:rPr>
        <w:t>充分发挥科创</w:t>
      </w:r>
      <w:r>
        <w:rPr>
          <w:rFonts w:hint="default" w:ascii="Times New Roman" w:hAnsi="Times New Roman" w:eastAsia="方正楷体简体" w:cs="Times New Roman"/>
          <w:b w:val="0"/>
          <w:bCs w:val="0"/>
          <w:kern w:val="2"/>
          <w:sz w:val="32"/>
          <w:szCs w:val="32"/>
          <w:lang w:val="en-US" w:eastAsia="zh-CN" w:bidi="ar-SA"/>
        </w:rPr>
        <w:t>30</w:t>
      </w:r>
      <w:r>
        <w:rPr>
          <w:rFonts w:hint="default" w:ascii="Times New Roman" w:hAnsi="Times New Roman" w:eastAsia="方正仿宋简体" w:cs="方正仿宋简体"/>
          <w:b w:val="0"/>
          <w:bCs w:val="0"/>
          <w:color w:val="000000"/>
          <w:sz w:val="32"/>
          <w:szCs w:val="32"/>
          <w:lang w:val="en-US" w:eastAsia="zh-CN"/>
        </w:rPr>
        <w:t>条</w:t>
      </w:r>
      <w:r>
        <w:rPr>
          <w:rFonts w:hint="default" w:ascii="Times New Roman" w:hAnsi="Times New Roman" w:eastAsia="方正仿宋简体" w:cs="Times New Roman"/>
          <w:b w:val="0"/>
          <w:bCs w:val="0"/>
          <w:color w:val="000000"/>
          <w:sz w:val="32"/>
          <w:szCs w:val="32"/>
          <w:lang w:val="en-US" w:eastAsia="zh-CN"/>
        </w:rPr>
        <w:t>2.0</w:t>
      </w:r>
      <w:r>
        <w:rPr>
          <w:rFonts w:hint="default" w:ascii="Times New Roman" w:hAnsi="Times New Roman" w:eastAsia="方正仿宋简体" w:cs="方正仿宋简体"/>
          <w:b w:val="0"/>
          <w:bCs w:val="0"/>
          <w:color w:val="000000"/>
          <w:sz w:val="32"/>
          <w:szCs w:val="32"/>
          <w:lang w:val="en-US" w:eastAsia="zh-CN"/>
        </w:rPr>
        <w:t>等专项资金作用，支持数字关键核心技术研发和科技成果转化。以“先投后股”等方式,支持引育和壮大一批具有发展潜力的高成长型企业。进一步加大对重点企业、重点项目扶持力度，支持企业通过资本市场壮大发展，加快研究实施“算力券”、“智评券”等创新性支持措施。</w:t>
      </w:r>
    </w:p>
    <w:p w14:paraId="097BB32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p>
    <w:p w14:paraId="32762D4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default" w:ascii="Times New Roman" w:hAnsi="Times New Roman" w:eastAsia="方正仿宋简体" w:cs="方正仿宋简体"/>
          <w:b w:val="0"/>
          <w:bCs w:val="0"/>
          <w:color w:val="000000"/>
          <w:sz w:val="32"/>
          <w:szCs w:val="32"/>
          <w:lang w:val="en-US" w:eastAsia="zh-CN"/>
        </w:rPr>
      </w:pPr>
    </w:p>
    <w:p w14:paraId="47656D4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val="en-US" w:eastAsia="zh-CN"/>
        </w:rPr>
      </w:pPr>
      <w:r>
        <w:rPr>
          <w:rFonts w:hint="eastAsia" w:ascii="Times New Roman" w:hAnsi="Times New Roman" w:eastAsia="方正小标宋简体" w:cs="方正小标宋简体"/>
          <w:kern w:val="2"/>
          <w:sz w:val="44"/>
          <w:szCs w:val="44"/>
          <w:lang w:val="en-US" w:eastAsia="zh-CN"/>
        </w:rPr>
        <w:t>关于印发《关于促进高新技术产业开发区科技创新和产业高质量发展的若干措施》的通知</w:t>
      </w:r>
    </w:p>
    <w:p w14:paraId="44683E5D">
      <w:pPr>
        <w:widowControl w:val="0"/>
        <w:bidi w:val="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各市科技局、发展改革委、教育局、工业和信息化局、财政局、人力资源社会保障局、自然资源局，济南、青岛、临沂市委金融办，各高新区管委会：</w:t>
      </w:r>
    </w:p>
    <w:p w14:paraId="5F01E48C">
      <w:pPr>
        <w:widowControl w:val="0"/>
        <w:bidi w:val="0"/>
        <w:jc w:val="both"/>
        <w:rPr>
          <w:rFonts w:hint="eastAsia" w:ascii="Times New Roman" w:hAnsi="Times New Roman" w:eastAsia="方正仿宋简体" w:cs="方正仿宋简体"/>
          <w:b w:val="0"/>
          <w:bCs w:val="0"/>
          <w:color w:val="000000"/>
          <w:kern w:val="2"/>
          <w:sz w:val="32"/>
          <w:szCs w:val="32"/>
          <w:lang w:eastAsia="zh-CN"/>
        </w:rPr>
      </w:pPr>
    </w:p>
    <w:p w14:paraId="7396DAF4">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现将《关于促进高新技术产业开发区科技创新和产业高质量发展的若干措施》印发给你们，请认真贯彻执行。</w:t>
      </w:r>
    </w:p>
    <w:p w14:paraId="2E4F2D37">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p>
    <w:p w14:paraId="022DCD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山东省科学技术厅</w:t>
      </w:r>
    </w:p>
    <w:p w14:paraId="7967EF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中共山东省委金融委员会办公室</w:t>
      </w:r>
    </w:p>
    <w:p w14:paraId="317484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山东省发展和改革委员会</w:t>
      </w:r>
    </w:p>
    <w:p w14:paraId="247688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山东省教育厅</w:t>
      </w:r>
    </w:p>
    <w:p w14:paraId="5FBDA9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山东省工业和信息化厅</w:t>
      </w:r>
    </w:p>
    <w:p w14:paraId="57D15E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山东省财政厅</w:t>
      </w:r>
    </w:p>
    <w:p w14:paraId="3708D0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山东省人力资源和社会保障厅</w:t>
      </w:r>
    </w:p>
    <w:p w14:paraId="531D4B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山东省自然资源厅</w:t>
      </w:r>
    </w:p>
    <w:p w14:paraId="0C82CC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p>
    <w:p w14:paraId="265777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righ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2024年12月19日</w:t>
      </w:r>
    </w:p>
    <w:p w14:paraId="4531460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4E8D117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推动高新技术产业开发区高质量发展的若干措施</w:t>
      </w:r>
    </w:p>
    <w:p w14:paraId="1623B8A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深入贯彻《关于深化开发区管理制度改革推动开发区高质量发展的意见》（厅字〔2023〕6号）及《关于深化开发区管理制度改革推动开发区高质量发展的实施意见》（鲁发〔2023〕7号），进一步向高新技术产业开发区（以下简称高新区）集聚各类创新资源，营造高新区高质量发展最优生态，制定本措施。</w:t>
      </w:r>
    </w:p>
    <w:p w14:paraId="46D5DAE5">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一、集聚创新平台及项目资源</w:t>
      </w:r>
    </w:p>
    <w:p w14:paraId="6079BBB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优先在高新区布局建设省技术创新中心、新型研发机构等创新平台。鼓励高新区内的高校、科研院所及龙头企业认真梳理自身优势力量，以重点实验室重组为契机，积极申报省级重点实验室。将与规模以上工业企业、科技型企业深度合作情况纳入省级以上产业类创新平台、成果转化类平台绩效评价指标。每家技术创新中心原则上应在建设单位之外与3家以上企业结对，协助解决产业技术问题。优先支持高新区内创新主体申报省重大科技项目。</w:t>
      </w:r>
    </w:p>
    <w:p w14:paraId="47FD6ED4">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二、着力塑造产业特色优势</w:t>
      </w:r>
    </w:p>
    <w:p w14:paraId="5FC4612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围绕产业链和产业集群布局，深入实施科技型企业梯次培育计划，推动以高新技术企业为核心的科技型企业发展壮大。对高新区内的科技型中小企业开展的产学研合作项目，符合条件的给予省科技型中小企业创新能力提升工程项目支持。支持高新区发展绿色产业领域高新技术，支持高新区创建生态工业园区。加大惠企政策宣传力度，加快推进“小升高”等惠企政策落实，激发企业创新活力。</w:t>
      </w:r>
    </w:p>
    <w:p w14:paraId="1E3A207D">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三、发挥人才集聚平台作用</w:t>
      </w:r>
    </w:p>
    <w:p w14:paraId="4044D7A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对在高新区新上项目实际投资过10亿元的企业，符合条件的可优先推荐申报“泰山产业领军人才”。鼓励高新区内高校院所、骨干企业等开展科技人才评价改革，着力构建以创新价值、能力、贡献为导向的人才评价体系，进一步激发科技人才创新活力。抓好科技人才招引，鼓励各高新区瞄准前沿技术、产业刚需，建设梯次合理、覆盖完全、具有产业特色的“人才库”。争取全省高新区尽快建成人才引领型高新区。</w:t>
      </w:r>
    </w:p>
    <w:p w14:paraId="3F252A26">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四、主动服务重点项目</w:t>
      </w:r>
    </w:p>
    <w:p w14:paraId="4088A59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建立省、市、高新区重点项目服务联动机制，对新落户高新区技术含量高、符合我省“十强”产业要求的重点项目和年内计划投资5亿元以上的项目，纳入“高新区重大项目支持台账”，省、市、高新区优先提供平台、项目、人才、金融支持。条件成熟的新项目，以“一事一议”方式在项目开工的同时匹配科技项目，实现建设项目与科技项目“同开工”。</w:t>
      </w:r>
    </w:p>
    <w:p w14:paraId="4A2FB15F">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五、支持科技教育融合发展</w:t>
      </w:r>
    </w:p>
    <w:p w14:paraId="67AB2B1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支持高新区与省内外高校、科研院所通过举办科技合作交流活动、共建院士工作站、科技合作基地等多种方式开展高层次、多渠道、宽领域的科技创新合作，汇聚高端创新资源，融入全球创新网络。力争两年内全省高新区全部建成兼具人才培养、创新创业、促进产业经济高质量发展功能的产教联合体。</w:t>
      </w:r>
    </w:p>
    <w:p w14:paraId="091C0933">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六、加大科技金融支持力度</w:t>
      </w:r>
    </w:p>
    <w:p w14:paraId="00BE5FB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在高新区全面推广企业创新积分制，及时发掘、科学评价创新型企业。与金融机构深入合作，将企业创新积分制纳入企业征信重要指标，力争2023年在国家高新区实现科技支行全覆盖。加大科技成果转化贷款风险补偿、贷款贴息等科技金融政策在高新区的实施力度和范围。</w:t>
      </w:r>
    </w:p>
    <w:p w14:paraId="200E9421">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七、加速科技成果转移转化</w:t>
      </w:r>
    </w:p>
    <w:p w14:paraId="4ED1C8A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用好科技成果转化贷款等金融工具，支持高新区科技型项目建设。以省创新发展研究院、省技术成果交易中心为龙头，在全省高新区共（联）建山东科技大市场高新区服务网络，加快构建市场化、模式新、绩效优的科技成果转化服务平台，推动知识产权运用、公共技术服务、科技成果评价交易和金融服务等第三方运营支撑机构在高新区发挥作用。</w:t>
      </w:r>
    </w:p>
    <w:p w14:paraId="46909495">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八、积极开展跨区域产业合作</w:t>
      </w:r>
    </w:p>
    <w:p w14:paraId="7B43523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支持高新区之间、高新区与区位相邻的县（市、区）开展产业飞地、产业交换、园区托管、离岸孵化等方面合作，通过园区对接、产业链招商等模式，形成优势互补、分工协作、开放融合的格局。</w:t>
      </w:r>
    </w:p>
    <w:p w14:paraId="05A4D4A9">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九、优化省高新区建设布局</w:t>
      </w:r>
    </w:p>
    <w:p w14:paraId="4068B9B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指导高新区重新核定主导产业，开展管理体制改革。在全省经济基础条件好、科技创新资源集聚的县域，布局建设一批省高新区，2023年内新建省高新区5家以上。支持全省高新区根据发展需求进行调区扩区。</w:t>
      </w:r>
    </w:p>
    <w:p w14:paraId="6769342D">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十、推动实现高新区一体化管理</w:t>
      </w:r>
    </w:p>
    <w:p w14:paraId="1F0F164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建立高新区成果转化与“双招双引”资源库，将在某一高新区无法落地和承载的成果及项目向全省其他高新区推荐，提高科技成果转化率和人才项目落地率，实现资源在全省高新区共享共用。大力建设“山东省高新区智慧管理服务平台”系统，实现线上调研、数字OA、政策宣传、要素匹配、跨区合作等多项功能，为园区做优产业链条提供精准服务。</w:t>
      </w:r>
    </w:p>
    <w:p w14:paraId="076FE42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001740AC">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kern w:val="2"/>
          <w:sz w:val="44"/>
          <w:szCs w:val="44"/>
          <w:rtl w:val="0"/>
          <w:lang w:val="en-US" w:eastAsia="zh-CN"/>
        </w:rPr>
      </w:pPr>
    </w:p>
    <w:p w14:paraId="5AA7ECA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footerReference r:id="rId5" w:type="default"/>
          <w:pgSz w:w="11906" w:h="16838"/>
          <w:pgMar w:top="1120" w:right="1449" w:bottom="1960" w:left="1542" w:header="708" w:footer="1080" w:gutter="0"/>
          <w:pgNumType w:fmt="decimal"/>
          <w:cols w:space="720" w:num="1"/>
        </w:sectPr>
      </w:pPr>
    </w:p>
    <w:p w14:paraId="5F6D366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eastAsia="zh-CN"/>
        </w:rPr>
      </w:pPr>
      <w:r>
        <w:rPr>
          <w:rFonts w:hint="eastAsia" w:ascii="Times New Roman" w:hAnsi="Times New Roman" w:eastAsia="方正小标宋简体" w:cs="方正小标宋简体"/>
          <w:kern w:val="2"/>
          <w:sz w:val="44"/>
          <w:szCs w:val="44"/>
          <w:lang w:eastAsia="zh-CN"/>
        </w:rPr>
        <w:t>山东省科学技术厅等14部门关于印发《山东省低空经济产业科技创新行动计划（2025—2027年）》的通知</w:t>
      </w:r>
    </w:p>
    <w:p w14:paraId="7C3D19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各市人民政府，各县（市、区）人民政府，省政府各部门、各直属机构，各大企业，各高等院校：</w:t>
      </w:r>
    </w:p>
    <w:p w14:paraId="739A3B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经省政府同意，现将《山东省低空经济产业科技创新行动计划（2025—2027年）》印发给你们，请结合实际认真贯彻落实。</w:t>
      </w:r>
    </w:p>
    <w:p w14:paraId="47AF50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420"/>
        <w:jc w:val="left"/>
        <w:rPr>
          <w:rFonts w:hint="eastAsia" w:ascii="Times New Roman" w:hAnsi="Times New Roman" w:eastAsia="方正仿宋简体" w:cs="方正仿宋简体"/>
          <w:b w:val="0"/>
          <w:bCs w:val="0"/>
          <w:color w:val="000000"/>
          <w:kern w:val="2"/>
          <w:sz w:val="32"/>
          <w:szCs w:val="32"/>
          <w:lang w:val="en-US" w:eastAsia="zh-CN" w:bidi="ar-SA"/>
        </w:rPr>
      </w:pPr>
    </w:p>
    <w:p w14:paraId="4FFC998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2E31953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7B744D75">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中共山东省委金融委员会办公室</w:t>
      </w:r>
    </w:p>
    <w:p w14:paraId="12BF72C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中共山东省委军民融合委员会办公室</w:t>
      </w:r>
    </w:p>
    <w:p w14:paraId="42777C5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78DCC75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43D29B4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4CDF9DBA">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579D3BF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56ABADA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山东省交通运输厅</w:t>
      </w:r>
    </w:p>
    <w:p w14:paraId="58BBF01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7C60935B">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国家金融监督管理总局山东监管局</w:t>
      </w:r>
    </w:p>
    <w:p w14:paraId="2983287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中国民用航空山东安全监督管理局</w:t>
      </w:r>
    </w:p>
    <w:p w14:paraId="2319F03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中国民用航空青岛安全监督管理局</w:t>
      </w:r>
    </w:p>
    <w:p w14:paraId="39039AAA">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41C621C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2024年12月6日</w:t>
      </w:r>
    </w:p>
    <w:p w14:paraId="12DA645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E9092FD">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0FD15B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山东省低空经济产业科技创新行动计划</w:t>
      </w:r>
    </w:p>
    <w:p w14:paraId="7FAA714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226A5D5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为贯彻落实省委、省政府关于大力发展低空经济的决策部署，发挥科技创新对低空经济产业支撑引领作用，打造战略新兴产业和未来产业新增长引擎，因地制宜发展新质生产力，制定本行动计划。</w:t>
      </w:r>
    </w:p>
    <w:p w14:paraId="2065CBCE">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08D86AB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坚持以加快打造全国领先的低空经济科技创新策源地和成果转化主阵地为目标，以攻关关键核心技术为重点，以培优科技创新主体为抓手，以拓展多场景创新应用为牵引，加快构建协同高效的产业创新体系，扎实推动科技创新与产业创新深度融合，塑造低空经济产业发展新动能新优势。力争到2027年，全省低空经济产业科技创新能力显著增强，建成一批高能级科技创新平台，形成一批突破关键核心技术的标志性成果，推出一批具有全国乃至国际竞争力的高端产品，推动低空经济产业体系更加完善、应用场景更加多元，科技创新引领低空经济产业发展态势基本塑成。</w:t>
      </w:r>
    </w:p>
    <w:p w14:paraId="4594C63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高质量科技供给更富成效。新增3名以上顶尖人才、50名以上国家和省级高层次人才；布局建设15家以上国家和省级创新平台、4家以上低空领域检测试验平台；攻克60项以上关键核心技术，研制30项以上创新产品和核心装备，构建省内完备的低空产业链。</w:t>
      </w:r>
    </w:p>
    <w:p w14:paraId="74C6AA8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——企业创新主体地位更为突出。优化完善创新型企业梯次培育体系，培育1—2家低空制造领军企业，10家以上研发制造骨干企业，300家以上科技型中小企业、高新技术企业，企业科技创新影响力显著提升。</w:t>
      </w:r>
    </w:p>
    <w:p w14:paraId="389298B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创新示范应用效应更加显著。形成关键配套、整机制造、保障服务、场景应用全链条一体化协同发展格局，围绕精细农业、文体旅游、现代物流、应急救援等，打造10个以上可复制、可推广“低空+”科技创新应用样板。</w:t>
      </w:r>
    </w:p>
    <w:p w14:paraId="24B2C35E">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07A6F739">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（一）实施产业底座“固本强基”行动</w:t>
      </w:r>
    </w:p>
    <w:p w14:paraId="20AF107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1.新型飞行器设计。突破低空飞行器气动设计、振动抑制、多模态自适应飞行、飞行安全控制等关键技术，在飞行汽车、仿生飞行器、电动垂直起降飞行器等创新设计方面实现新突破。到2027年，形成10项以上原创性成果。</w:t>
      </w:r>
    </w:p>
    <w:p w14:paraId="6FC5EFF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2.新材料研制。研制轻质高强特种纤维及复合材料、轻质合金、高分子复合织物等关键材料，支撑飞行器主体结构减重25%以上；研制轻质软包电池用正负极材料、低成本高纯度高温合金、高性能柔性电磁屏蔽膜等材料，提升低空能源和飞控系统综合性能。到2027年，基本形成低空飞行器用超轻量化材料支撑体系。</w:t>
      </w:r>
    </w:p>
    <w:p w14:paraId="604907C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3.新动力突破。突破“双高”全固态锂电池器件、高性能耐低温膜电极、高活性催化剂与电堆轻量化、混合动力高效管控等关键技术，研制全固态锂电池、氢燃料电池、氢电/油电混合动力系统。到2027年，全固态锂电池能量密度达到400—450Wh/kg，氢燃料电池体积功率密度达到6.5kW/L以上，支撑绿色动力小型无人机的规模化发展。</w:t>
      </w:r>
    </w:p>
    <w:p w14:paraId="07FAF0A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4.关键零部件制造。突破轻量化机身舱段、耐高温涡轮叶片和低成本光纤陀螺等关键零部件研制的关键技术，加速提升航空零部件自主研发能力。到2027年，新增3型及以上关键零部件的批量化生产。</w:t>
      </w:r>
    </w:p>
    <w:p w14:paraId="034C652C">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（二）实施标志性产品“集智攻关”行动</w:t>
      </w:r>
    </w:p>
    <w:p w14:paraId="7498D2C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1.大载重长航时无人机。</w:t>
      </w:r>
      <w:r>
        <w:rPr>
          <w:rFonts w:hint="eastAsia" w:ascii="Times New Roman" w:hAnsi="Times New Roman" w:eastAsia="方正仿宋简体" w:cs="方正仿宋简体"/>
          <w:b w:val="0"/>
          <w:bCs w:val="0"/>
          <w:color w:val="000000"/>
          <w:kern w:val="2"/>
          <w:sz w:val="32"/>
          <w:szCs w:val="32"/>
          <w:rtl w:val="0"/>
          <w:lang w:val="en-US" w:eastAsia="zh-CN"/>
        </w:rPr>
        <w:t>突破气动—结构—能源—动力的一体化高效建模、无人机瞬态—全局高效动力平衡等关键技术，研制覆盖“干—支—末”端3型无人运输机，建设大载重长航时无人机集成测试平台。到2027年，实现300kg载重垂直起降无人机批量化生产，达成1000kg载重长航时无人机运营测试，具备2000kg货运无人机小批量试制能力，加快抢占“低空物流”新赛道。</w:t>
      </w:r>
    </w:p>
    <w:p w14:paraId="007DB2D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2.低空组网浮空器。</w:t>
      </w:r>
      <w:r>
        <w:rPr>
          <w:rFonts w:hint="eastAsia" w:ascii="Times New Roman" w:hAnsi="Times New Roman" w:eastAsia="方正仿宋简体" w:cs="方正仿宋简体"/>
          <w:b w:val="0"/>
          <w:bCs w:val="0"/>
          <w:color w:val="000000"/>
          <w:kern w:val="2"/>
          <w:sz w:val="32"/>
          <w:szCs w:val="32"/>
          <w:rtl w:val="0"/>
          <w:lang w:val="en-US" w:eastAsia="zh-CN"/>
        </w:rPr>
        <w:t>突破浮空器小型化设计、弱动力飞艇集群高精控制、动态环境抗扰柔性协调等关键技术，在国内率先研发小型化浮空器平台，具备载重不低于50kg、100—2000m高度和不少于2个月的灵活驻留能力。到2027年，形成10型以上低空浮空器系列产品。</w:t>
      </w:r>
    </w:p>
    <w:p w14:paraId="16FCE54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3.低空飞行器发动机。</w:t>
      </w:r>
      <w:r>
        <w:rPr>
          <w:rFonts w:hint="eastAsia" w:ascii="Times New Roman" w:hAnsi="Times New Roman" w:eastAsia="方正仿宋简体" w:cs="方正仿宋简体"/>
          <w:b w:val="0"/>
          <w:bCs w:val="0"/>
          <w:color w:val="000000"/>
          <w:kern w:val="2"/>
          <w:sz w:val="32"/>
          <w:szCs w:val="32"/>
          <w:rtl w:val="0"/>
          <w:lang w:val="en-US" w:eastAsia="zh-CN"/>
        </w:rPr>
        <w:t>突破中小功率发动机数据驱动建模、重油压缩点火系统智能设计、多源信息融合的健康管理等关键技术，新研100kg级高效费比小型涡扇发动机，填补国内空白；研制300kW级专用涡桨发动机、60kW级电喷重油活塞发动机，形成省内发动机生产测试和无人机配套能力。到2027年，完成3型发动机的试飞试验。</w:t>
      </w:r>
    </w:p>
    <w:p w14:paraId="4813C12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4.新型低空专用载荷。</w:t>
      </w:r>
      <w:r>
        <w:rPr>
          <w:rFonts w:hint="eastAsia" w:ascii="Times New Roman" w:hAnsi="Times New Roman" w:eastAsia="方正仿宋简体" w:cs="方正仿宋简体"/>
          <w:b w:val="0"/>
          <w:bCs w:val="0"/>
          <w:color w:val="000000"/>
          <w:kern w:val="2"/>
          <w:sz w:val="32"/>
          <w:szCs w:val="32"/>
          <w:rtl w:val="0"/>
          <w:lang w:val="en-US" w:eastAsia="zh-CN"/>
        </w:rPr>
        <w:t>突破多载荷协同成像、视轴稳定性动态保持等关键技术，研制多光谱成像、高光谱成像、红外热成像、激光雷达、毫米波雷达等5种谱系的低空专用载荷，提升低空飞行器应用能力。到2027年，全省低空载荷市场适应性和市场占有率大幅提升。</w:t>
      </w:r>
    </w:p>
    <w:p w14:paraId="7A03002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5.低空导航控制系统。</w:t>
      </w:r>
      <w:r>
        <w:rPr>
          <w:rFonts w:hint="eastAsia" w:ascii="Times New Roman" w:hAnsi="Times New Roman" w:eastAsia="方正仿宋简体" w:cs="方正仿宋简体"/>
          <w:b w:val="0"/>
          <w:bCs w:val="0"/>
          <w:color w:val="000000"/>
          <w:kern w:val="2"/>
          <w:sz w:val="32"/>
          <w:szCs w:val="32"/>
          <w:rtl w:val="0"/>
          <w:lang w:val="en-US" w:eastAsia="zh-CN"/>
        </w:rPr>
        <w:t>开展北斗、低轨卫星、惯性、5G、激光、视觉等多源融合导航控制研究，突破北斗/低轨融合5G的高精度定位、城市复杂环境低空无缝导航、多机协同自适应控制等关键技术，研发无人机定位导航与控制综合系统。到2027年，实现城市复杂环境中导航控制可用性大于95%，形成省内无人机配套服务能力。</w:t>
      </w:r>
    </w:p>
    <w:p w14:paraId="71954A58">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（三）实施数字天路“互联互通”行动</w:t>
      </w:r>
    </w:p>
    <w:p w14:paraId="7C454B9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1.低空互联网。</w:t>
      </w:r>
      <w:r>
        <w:rPr>
          <w:rFonts w:hint="eastAsia" w:ascii="Times New Roman" w:hAnsi="Times New Roman" w:eastAsia="方正仿宋简体" w:cs="方正仿宋简体"/>
          <w:b w:val="0"/>
          <w:bCs w:val="0"/>
          <w:color w:val="000000"/>
          <w:kern w:val="2"/>
          <w:sz w:val="32"/>
          <w:szCs w:val="32"/>
          <w:rtl w:val="0"/>
          <w:lang w:val="en-US" w:eastAsia="zh-CN"/>
        </w:rPr>
        <w:t>开展地面通信、卫星互联网、天通卫星、北斗短报文、ADS—B等空地一体化通信研究，突破复杂电磁环境低空通信组网、抗干扰与安全认证、通感算一体等关键技术，研制低空通感一体基站、多模通信模块与专用芯片、高性能智能云盒等新产品。到2027年，具备3000米高度以下通信有效覆盖能力，为低空飞行互联互通提供保障。</w:t>
      </w:r>
    </w:p>
    <w:p w14:paraId="3FC649E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2.飞行保障网。</w:t>
      </w:r>
      <w:r>
        <w:rPr>
          <w:rFonts w:hint="eastAsia" w:ascii="Times New Roman" w:hAnsi="Times New Roman" w:eastAsia="方正仿宋简体" w:cs="方正仿宋简体"/>
          <w:b w:val="0"/>
          <w:bCs w:val="0"/>
          <w:color w:val="000000"/>
          <w:kern w:val="2"/>
          <w:sz w:val="32"/>
          <w:szCs w:val="32"/>
          <w:rtl w:val="0"/>
          <w:lang w:val="en-US" w:eastAsia="zh-CN"/>
        </w:rPr>
        <w:t>突破空间格网剖分、低空导航规划、微气象短临预报等关键技术，构建低空飞行地图、立体数字空域、局部精细气象等综合数据库，研发低空数字孪生系统。到2027年，飞行地图分辨率优于10cm，局部天气预警准确率超过90%，在有条件的市试点建设低空数字孪生系统，为低空安全平稳飞行提供技术保障。</w:t>
      </w:r>
    </w:p>
    <w:p w14:paraId="0CBCE35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3.监视管控网。</w:t>
      </w:r>
      <w:r>
        <w:rPr>
          <w:rFonts w:hint="eastAsia" w:ascii="Times New Roman" w:hAnsi="Times New Roman" w:eastAsia="方正仿宋简体" w:cs="方正仿宋简体"/>
          <w:b w:val="0"/>
          <w:bCs w:val="0"/>
          <w:color w:val="000000"/>
          <w:kern w:val="2"/>
          <w:sz w:val="32"/>
          <w:szCs w:val="32"/>
          <w:rtl w:val="0"/>
          <w:lang w:val="en-US" w:eastAsia="zh-CN"/>
        </w:rPr>
        <w:t>针对低、慢、小等低空非合作目标，开展雷达、视觉、激光、电磁等融合探测研究，突破非合作目标精准识别、连续跟踪、警告与处置等关键技术，研制低空监视雷达、光电跟踪、无人机反制等专用装备，构建低空全域监视管控系统，在有条件的重点区域开展应用。到2027年，非合作目标识别准确率优于95%，探测距离优于5公里，具备重点区域全天候监视能力。</w:t>
      </w:r>
    </w:p>
    <w:p w14:paraId="7C7117B5">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（四）实施服务应用“提质增效”行动</w:t>
      </w:r>
    </w:p>
    <w:p w14:paraId="2A3C26C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1.智慧起降台。</w:t>
      </w:r>
      <w:r>
        <w:rPr>
          <w:rFonts w:hint="eastAsia" w:ascii="Times New Roman" w:hAnsi="Times New Roman" w:eastAsia="方正仿宋简体" w:cs="方正仿宋简体"/>
          <w:b w:val="0"/>
          <w:bCs w:val="0"/>
          <w:color w:val="000000"/>
          <w:kern w:val="2"/>
          <w:sz w:val="32"/>
          <w:szCs w:val="32"/>
          <w:rtl w:val="0"/>
          <w:lang w:val="en-US" w:eastAsia="zh-CN"/>
        </w:rPr>
        <w:t>开展基于人工智能和大数据的低空起降网分层分级设计，研制多场景应用的无人机起降平台，探索楼顶、地面、水上等灵活建设模式，鼓励有条件的市将无人机起降平台纳入城市规划，带动停机坪、能源站、通导基站等低空智慧设施建设。到2027年，建成400处以上低空智慧设施。</w:t>
      </w:r>
    </w:p>
    <w:p w14:paraId="2E5D023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2.试验保障。</w:t>
      </w:r>
      <w:r>
        <w:rPr>
          <w:rFonts w:hint="eastAsia" w:ascii="Times New Roman" w:hAnsi="Times New Roman" w:eastAsia="方正仿宋简体" w:cs="方正仿宋简体"/>
          <w:b w:val="0"/>
          <w:bCs w:val="0"/>
          <w:color w:val="000000"/>
          <w:kern w:val="2"/>
          <w:sz w:val="32"/>
          <w:szCs w:val="32"/>
          <w:rtl w:val="0"/>
          <w:lang w:val="en-US" w:eastAsia="zh-CN"/>
        </w:rPr>
        <w:t>突破低空飞行器健康管理与预测、无损检测与数智化试验等关键技术，建设低空飞行器、动力系统、专用载荷等设备试验平台，以及中大型民用无人驾驶航空器适航验证平台。到2027年，研发3型以上智能化检测软件，建成4家以上试验平台，初步具备低空经济全产业链试验和保障能力。</w:t>
      </w:r>
    </w:p>
    <w:p w14:paraId="28F3121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3.应用拓展。</w:t>
      </w:r>
      <w:r>
        <w:rPr>
          <w:rFonts w:hint="eastAsia" w:ascii="Times New Roman" w:hAnsi="Times New Roman" w:eastAsia="方正仿宋简体" w:cs="方正仿宋简体"/>
          <w:b w:val="0"/>
          <w:bCs w:val="0"/>
          <w:color w:val="000000"/>
          <w:kern w:val="2"/>
          <w:sz w:val="32"/>
          <w:szCs w:val="32"/>
          <w:rtl w:val="0"/>
          <w:lang w:val="en-US" w:eastAsia="zh-CN"/>
        </w:rPr>
        <w:t>围绕智慧物流、载人通航、城市管理、工业巡检、农林作业、应急救援等典型场景，重点突破精准投放与高效调度、大数据挖掘与模型优化、高精度识别与异常检测等关键技术，探索“低空+”降本增效新模式，在有条件的市开展应用。到2027年，打造10个以上可复制、可推广的“低空+”科技创新应用样板。</w:t>
      </w:r>
    </w:p>
    <w:p w14:paraId="20BE1E8F">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三、重点举措</w:t>
      </w:r>
    </w:p>
    <w:p w14:paraId="0B036DA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（一）强化创新平台建设。</w:t>
      </w:r>
      <w:r>
        <w:rPr>
          <w:rFonts w:hint="eastAsia" w:ascii="Times New Roman" w:hAnsi="Times New Roman" w:eastAsia="方正仿宋简体" w:cs="方正仿宋简体"/>
          <w:b w:val="0"/>
          <w:bCs w:val="0"/>
          <w:color w:val="000000"/>
          <w:kern w:val="2"/>
          <w:sz w:val="32"/>
          <w:szCs w:val="32"/>
          <w:rtl w:val="0"/>
          <w:lang w:val="en-US" w:eastAsia="zh-CN"/>
        </w:rPr>
        <w:t>推进“仲华”热物理试验装置等国家重大科技基础设施建设，支持空天动力结构服役安全大科学装置开展预先研究。高水平建设济南空天信息山东省实验室，提升低空监测网络技术、航空动力热物理、空地协同自主无人系统等省重点实验室建设水平，新布局建设5家左右省重点实验室，加强基础共性技术供给。加快打造全省工业级无人机制造业创新中心，建设一批技术创新中心、产业创新中心、企业技术中心等创新平台。引导企业建设概念验证中心、中试基地和公共试验服务平台，促进新技术转化，加速新业态涌现。（牵头单位：省科技厅，责任单位：省发展改革委、省工业和信息化厅）</w:t>
      </w:r>
    </w:p>
    <w:p w14:paraId="735E986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（二）强化创新人才引育。</w:t>
      </w:r>
      <w:r>
        <w:rPr>
          <w:rFonts w:hint="eastAsia" w:ascii="Times New Roman" w:hAnsi="Times New Roman" w:eastAsia="方正仿宋简体" w:cs="方正仿宋简体"/>
          <w:b w:val="0"/>
          <w:bCs w:val="0"/>
          <w:color w:val="000000"/>
          <w:kern w:val="2"/>
          <w:sz w:val="32"/>
          <w:szCs w:val="32"/>
          <w:rtl w:val="0"/>
          <w:lang w:val="en-US" w:eastAsia="zh-CN"/>
        </w:rPr>
        <w:t>优化完善引进顶尖人才“一事一议”机制，对有条件的顶尖人才采取“人才、平台、项目”一体落地方式予以支持。发挥泰山人才工程牵引作用，加快引育一批领军人才。深化“揭榜挂帅”核心技术攻关机制，定期更新企业技术需求榜单，定向引进急缺人才开展联合攻关。加快推进空天信息大学（筹）高水平建设，支持高校院所强化低空经济相关专业建设，引导相关机构建设飞行员、无人机操控员等实训基地，梯队培养前沿技术研发设计、适航审定、飞行管理、运营服务等专技人才。（牵头单位：省委组织部，责任单位：省教育厅、省科技厅、省人力资源社会保障厅）</w:t>
      </w:r>
    </w:p>
    <w:p w14:paraId="01A9F0E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（三）强化科技型企业培育。</w:t>
      </w:r>
      <w:r>
        <w:rPr>
          <w:rFonts w:hint="eastAsia" w:ascii="Times New Roman" w:hAnsi="Times New Roman" w:eastAsia="方正仿宋简体" w:cs="方正仿宋简体"/>
          <w:b w:val="0"/>
          <w:bCs w:val="0"/>
          <w:color w:val="000000"/>
          <w:kern w:val="2"/>
          <w:sz w:val="32"/>
          <w:szCs w:val="32"/>
          <w:rtl w:val="0"/>
          <w:lang w:val="en-US" w:eastAsia="zh-CN"/>
        </w:rPr>
        <w:t>鼓励企业牵头承担国家和省级科技任务。实施科技型中小企业创新能力提升工程，加速推动中小企业成长为高新技术企业、专精特新企业。支持高校院所建设高水平孵化平台，鼓励科研人员利用原创技术创办科技型企业。大力招引低空经济企业，鼓励eVTOL（电动垂直起降飞行器）、工业无人机等整机研发制造企业落户，支持省内企业加强同国内外低空经济企业科技合作交流，提升产业核心竞争力。（牵头单位：省科技厅，责任单位：省发展改革委、省教育厅、省工业和信息化厅、省商务厅）</w:t>
      </w:r>
    </w:p>
    <w:p w14:paraId="73B4E34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（四）强化创新要素保障。</w:t>
      </w:r>
      <w:r>
        <w:rPr>
          <w:rFonts w:hint="eastAsia" w:ascii="Times New Roman" w:hAnsi="Times New Roman" w:eastAsia="方正仿宋简体" w:cs="方正仿宋简体"/>
          <w:b w:val="0"/>
          <w:bCs w:val="0"/>
          <w:color w:val="000000"/>
          <w:kern w:val="2"/>
          <w:sz w:val="32"/>
          <w:szCs w:val="32"/>
          <w:rtl w:val="0"/>
          <w:lang w:val="en-US" w:eastAsia="zh-CN"/>
        </w:rPr>
        <w:t>发挥省级科技创新发展资金作用，从基础研究、技术创新、应用验证到产业推广，全链条部署低空经济技术攻关方向，谋划布局1—2项科技示范工程，每年实施不少于50项省级科技创新项目。发挥新旧动能转换基金作用，吸引社会资本投早、投小、投硬科技，支持符合条件的低空产业项目。鼓励金融机构丰富低空经济金融产品，在依法合规、风险可控前提下，开发低空经济保险产品。建强用好山东科技大市场，举办低空经济专题科技成果对接活动，加速成果转化落地。（省委金融办、省科技厅、省财政厅、山东金融监管局按职责分工负责）</w:t>
      </w:r>
    </w:p>
    <w:p w14:paraId="2256EAB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（五）强化低空空域管理改革。</w:t>
      </w:r>
      <w:r>
        <w:rPr>
          <w:rFonts w:hint="eastAsia" w:ascii="Times New Roman" w:hAnsi="Times New Roman" w:eastAsia="方正仿宋简体" w:cs="方正仿宋简体"/>
          <w:b w:val="0"/>
          <w:bCs w:val="0"/>
          <w:color w:val="000000"/>
          <w:kern w:val="2"/>
          <w:sz w:val="32"/>
          <w:szCs w:val="32"/>
          <w:rtl w:val="0"/>
          <w:lang w:val="en-US" w:eastAsia="zh-CN"/>
        </w:rPr>
        <w:t>健全优化低空空域协同管理机制，加快推进全省空域分类划设，编制全省低空数字空域图，构建低空数字孪生系统，提升空域容量与管控效率。支持有条件的市申报国家空中交通试点，探索发展城市空中交通应用新场景，培育空中交通新业态。（牵头单位：省交通运输厅，责任单位：省委军民融合办、民航山东监管局、民航青岛监管局）</w:t>
      </w:r>
    </w:p>
    <w:p w14:paraId="58625B3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10A531E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val="en-US" w:eastAsia="zh-CN"/>
        </w:rPr>
      </w:pPr>
      <w:r>
        <w:rPr>
          <w:rFonts w:hint="eastAsia" w:ascii="Times New Roman" w:hAnsi="Times New Roman" w:eastAsia="方正小标宋简体" w:cs="方正小标宋简体"/>
          <w:kern w:val="2"/>
          <w:sz w:val="44"/>
          <w:szCs w:val="44"/>
          <w:lang w:val="en-US" w:eastAsia="zh-CN"/>
        </w:rPr>
        <w:t>山东省科学技术厅等12部门关于印发《山东省海洋产业科技创新行动计划（2025—2027年）》的通知</w:t>
      </w:r>
    </w:p>
    <w:p w14:paraId="573F09A8">
      <w:pPr>
        <w:widowControl w:val="0"/>
        <w:bidi w:val="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各市人民政府，各县（市、区）人民政府，省政府各部门、各直属机构，各大企业，各高等院校：</w:t>
      </w:r>
    </w:p>
    <w:p w14:paraId="1E606B85">
      <w:pPr>
        <w:widowControl w:val="0"/>
        <w:bidi w:val="0"/>
        <w:jc w:val="both"/>
        <w:rPr>
          <w:rFonts w:hint="eastAsia" w:ascii="Times New Roman" w:hAnsi="Times New Roman" w:eastAsia="方正仿宋简体" w:cs="方正仿宋简体"/>
          <w:b w:val="0"/>
          <w:bCs w:val="0"/>
          <w:color w:val="000000"/>
          <w:kern w:val="2"/>
          <w:sz w:val="32"/>
          <w:szCs w:val="32"/>
          <w:lang w:eastAsia="zh-CN"/>
        </w:rPr>
      </w:pPr>
    </w:p>
    <w:p w14:paraId="0F9C5286">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经省政府同意，现将《山东省海洋产业科技创新行动计划（2025—2027年）》印发给你们，请结合实际认真贯彻落实。</w:t>
      </w:r>
    </w:p>
    <w:p w14:paraId="5AD5BD3A">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p>
    <w:p w14:paraId="3F0EB775">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6E467C6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5E629E1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6BBC881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52A60A8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41DAD80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17D8D37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山东省农业农村厅</w:t>
      </w:r>
    </w:p>
    <w:p w14:paraId="1BA24BD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754B08DE">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山东省市场监督管理局</w:t>
      </w:r>
    </w:p>
    <w:p w14:paraId="1257C4E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山东省海洋局</w:t>
      </w:r>
    </w:p>
    <w:p w14:paraId="11C3D99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国家税务总局山东省税务局</w:t>
      </w:r>
    </w:p>
    <w:p w14:paraId="49EADD0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中华人民共和国青岛海关</w:t>
      </w:r>
    </w:p>
    <w:p w14:paraId="6413628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3E6D863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2024年12月6日</w:t>
      </w:r>
    </w:p>
    <w:p w14:paraId="5564672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09D269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山东省海洋产业科技创新行动计划</w:t>
      </w:r>
    </w:p>
    <w:p w14:paraId="192CA57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33AB4A8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为深入贯彻落实习近平总书记对山东海洋工作的重要指示要求，发挥科技创新对海洋产业引领支撑作用，因地制宜发展新质生产力，特制定本行动计划。</w:t>
      </w:r>
    </w:p>
    <w:p w14:paraId="00CA8EEA">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380FBDB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整合全球海洋创新要素，强化关键核心技术攻关，推动科技与产业融合发展，全面提升山东海洋产业技术创新能力，加快构建具有国际竞争力的现代海洋产业体系，打造发展海洋新质生产力的全国样板，力争率先建成具有世界影响力的海洋科技创新高地、现代海洋经济发展高地，为建设海洋强国作出山东贡献。到2027年，海洋原始创新能力不断增强，助推我国海洋领域国际竞争力大幅提升，海洋科技创新策源地建设全面加速，成为全球海洋创新网络的核心节点。</w:t>
      </w:r>
    </w:p>
    <w:p w14:paraId="49C4178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——高水平科技供给能力显著增强。突破100项以上海洋领域关键核心技术，全省海洋产业生产总值达到2万亿，现代海洋产业体系日趋完善。</w:t>
      </w:r>
    </w:p>
    <w:p w14:paraId="7E69B84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——海洋产业科技创新体系日趋完善。新增20家省级以上重大创新平台，新布局2家以上省级海洋高新区，建成1家国家级农高区，高新技术企业超过2000家，技术创新体系整体效能大幅提升。</w:t>
      </w:r>
    </w:p>
    <w:p w14:paraId="36B6DAB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——海洋高层次人才持续汇聚。海洋领域人才体制机制更加完善，人才载体建设走在全国前列，吸引和汇聚50名左右省级以上高层次人才来鲁创新创业，人才支撑现代海洋产业发展能力明显增强。</w:t>
      </w:r>
    </w:p>
    <w:p w14:paraId="407650BD">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00EF58E1">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（一）实施前沿颠覆性技术创新行动</w:t>
      </w:r>
    </w:p>
    <w:p w14:paraId="43A557E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1.海洋人工智能。</w:t>
      </w:r>
      <w:r>
        <w:rPr>
          <w:rFonts w:hint="eastAsia" w:ascii="Times New Roman" w:hAnsi="Times New Roman" w:eastAsia="方正仿宋简体" w:cs="方正仿宋简体"/>
          <w:b w:val="0"/>
          <w:bCs w:val="0"/>
          <w:color w:val="000000"/>
          <w:kern w:val="2"/>
          <w:sz w:val="32"/>
          <w:szCs w:val="32"/>
          <w:rtl w:val="0"/>
          <w:lang w:val="en-US" w:eastAsia="zh-CN"/>
        </w:rPr>
        <w:t>前瞻开展海洋大模型技术研究，突破海洋数字孪生、多模态智能计算、人工海洋智能模拟等前沿交叉关键技术，发展人工智能海洋学。开展人工智能基础研究，推动人工智能技术在生物育种、深远海养殖、海洋环境预报、灾害预报、海洋药物筛选与设计、海洋资源勘探与开发等领域垂直应用。</w:t>
      </w:r>
    </w:p>
    <w:p w14:paraId="11C13BD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2.极地大洋。</w:t>
      </w:r>
      <w:r>
        <w:rPr>
          <w:rFonts w:hint="eastAsia" w:ascii="Times New Roman" w:hAnsi="Times New Roman" w:eastAsia="方正仿宋简体" w:cs="方正仿宋简体"/>
          <w:b w:val="0"/>
          <w:bCs w:val="0"/>
          <w:color w:val="000000"/>
          <w:kern w:val="2"/>
          <w:sz w:val="32"/>
          <w:szCs w:val="32"/>
          <w:rtl w:val="0"/>
          <w:lang w:val="en-US" w:eastAsia="zh-CN"/>
        </w:rPr>
        <w:t>突破新一代极地无人船、极区极端环境下移动平台装备、极地能源与生物资源开发关键技术。开展海洋多尺度相互作用过程与环境气候变化、海洋与极地环境变化对全球和区域气候影响、海平面上升及其影响、海洋系统多圈层综合交叉等研究。研究海滨砂矿、海底煤矿、金矿等近海矿产资源开发利用技术，提高海洋油气资源自主勘探能力。研究深海关键矿产资源成矿背景、成矿过程及富集机理，研发深海、极地大洋资源勘查评价和环境监测保护技术。</w:t>
      </w:r>
    </w:p>
    <w:p w14:paraId="5771E64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3.蓝色生命。</w:t>
      </w:r>
      <w:r>
        <w:rPr>
          <w:rFonts w:hint="eastAsia" w:ascii="Times New Roman" w:hAnsi="Times New Roman" w:eastAsia="方正仿宋简体" w:cs="方正仿宋简体"/>
          <w:b w:val="0"/>
          <w:bCs w:val="0"/>
          <w:color w:val="000000"/>
          <w:kern w:val="2"/>
          <w:sz w:val="32"/>
          <w:szCs w:val="32"/>
          <w:rtl w:val="0"/>
          <w:lang w:val="en-US" w:eastAsia="zh-CN"/>
        </w:rPr>
        <w:t>研究海洋生物基因组变异与环境适应的遗传基础、海洋生物生殖、胚胎发育和器官形成关键过程与调控机制、海洋典型和极端环境生命过程与环境适应机制。开展深海极地生物信息及基因组研究，研制原位化深海和极地生物资源开发装备，研发深海极地生物资源综合利用技术。</w:t>
      </w:r>
    </w:p>
    <w:p w14:paraId="2AEB3FB6">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（二）实施世界一流海洋港口创新行动</w:t>
      </w:r>
    </w:p>
    <w:p w14:paraId="092F8F7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1.绿色港口。</w:t>
      </w:r>
      <w:r>
        <w:rPr>
          <w:rFonts w:hint="eastAsia" w:ascii="Times New Roman" w:hAnsi="Times New Roman" w:eastAsia="方正仿宋简体" w:cs="方正仿宋简体"/>
          <w:b w:val="0"/>
          <w:bCs w:val="0"/>
          <w:color w:val="000000"/>
          <w:kern w:val="2"/>
          <w:sz w:val="32"/>
          <w:szCs w:val="32"/>
          <w:rtl w:val="0"/>
          <w:lang w:val="en-US" w:eastAsia="zh-CN"/>
        </w:rPr>
        <w:t>突破港口装备结构优化设计、材料选择、制造工艺改进等轻量化设计关键技术。攻克港口装备新能源应用、节能技术、排放控制技术等清洁用能技术，建成4个零碳码头、1个零碳港区，港口清洁能源占综合能源消耗比重不低于65%，港口领域提前实现碳中和。</w:t>
      </w:r>
    </w:p>
    <w:p w14:paraId="77CA76A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2.智慧港口。</w:t>
      </w:r>
      <w:r>
        <w:rPr>
          <w:rFonts w:hint="eastAsia" w:ascii="Times New Roman" w:hAnsi="Times New Roman" w:eastAsia="方正仿宋简体" w:cs="方正仿宋简体"/>
          <w:b w:val="0"/>
          <w:bCs w:val="0"/>
          <w:color w:val="000000"/>
          <w:kern w:val="2"/>
          <w:sz w:val="32"/>
          <w:szCs w:val="32"/>
          <w:rtl w:val="0"/>
          <w:lang w:val="en-US" w:eastAsia="zh-CN"/>
        </w:rPr>
        <w:t>攻克港口集装箱、件杂货、干散货、液体散货等货种自主作业关键技术，实现港口装卸设备关键部件及系统软件自主可控。围绕“人工智能+港口”，开展港口多场景数据集分析与挖掘、港口人工智能大模型与技术研究。突破智慧航运、自动驾驶与无人船舶、航道智能导引、码头泊稳与自动靠离泊关键技术，新兴技术应用示范场景增加30个，新增5个自动化泊位，实现船海港航一体化。</w:t>
      </w:r>
    </w:p>
    <w:p w14:paraId="2E1D391E">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（三）实施船舶与海工装备标志性产业链提升创新行动</w:t>
      </w:r>
    </w:p>
    <w:p w14:paraId="7DEA460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1.绿色船舶。</w:t>
      </w:r>
      <w:r>
        <w:rPr>
          <w:rFonts w:hint="eastAsia" w:ascii="Times New Roman" w:hAnsi="Times New Roman" w:eastAsia="方正仿宋简体" w:cs="方正仿宋简体"/>
          <w:b w:val="0"/>
          <w:bCs w:val="0"/>
          <w:color w:val="000000"/>
          <w:kern w:val="2"/>
          <w:sz w:val="32"/>
          <w:szCs w:val="32"/>
          <w:rtl w:val="0"/>
          <w:lang w:val="en-US" w:eastAsia="zh-CN"/>
        </w:rPr>
        <w:t>突破LNG、甲醇、氨、氢新燃料船舶、电动船舶、清洁能源混合动力船舶等绿色船舶制造技术。攻克大吨位智能航行罐箱船、大中型集装箱船、超大型油船、化学品船、高端客滚船、高冰级商船、大型散货船、高端游艇等船舶数字化设计与建造技术。研究极端海况船舶抗沉及减摇、智能船舶航线、智能驾控与接驳和第三代动力定位技术，突破船用磁悬浮节能装备、船舶涡轮增压器等技术，开发自主可控和具有国际竞争力的绿色特种船舶，推动高端船舶国际市场份额持续扩大。</w:t>
      </w:r>
    </w:p>
    <w:p w14:paraId="16A1810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2.高端海洋装备。</w:t>
      </w:r>
      <w:r>
        <w:rPr>
          <w:rFonts w:hint="eastAsia" w:ascii="Times New Roman" w:hAnsi="Times New Roman" w:eastAsia="方正仿宋简体" w:cs="方正仿宋简体"/>
          <w:b w:val="0"/>
          <w:bCs w:val="0"/>
          <w:color w:val="000000"/>
          <w:kern w:val="2"/>
          <w:sz w:val="32"/>
          <w:szCs w:val="32"/>
          <w:rtl w:val="0"/>
          <w:lang w:val="en-US" w:eastAsia="zh-CN"/>
        </w:rPr>
        <w:t>研发深水半潜式生产平台、浮式生产储卸油装置和万吨级大型结构物顶升装置、水下生产系统轻型介入系统和关键海洋工程长期安全监测装备。开展大型海上施工作业装备、深远海补给和运维保障关键技术研发。突破海底电缆、超高温高压海洋随钻测井装备、深水采油树、深海钻井机器人、深海立管、深水全电控防喷器、低噪声水下航行器及自主可控工业软件等技术，“山东海工”国际竞争力显著增强。</w:t>
      </w:r>
    </w:p>
    <w:p w14:paraId="66FB96AA">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（四）实施海洋资源高值化利用创新行动</w:t>
      </w:r>
    </w:p>
    <w:p w14:paraId="469B52B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1.海上牧场。</w:t>
      </w:r>
      <w:r>
        <w:rPr>
          <w:rFonts w:hint="eastAsia" w:ascii="Times New Roman" w:hAnsi="Times New Roman" w:eastAsia="方正仿宋简体" w:cs="方正仿宋简体"/>
          <w:b w:val="0"/>
          <w:bCs w:val="0"/>
          <w:color w:val="000000"/>
          <w:kern w:val="2"/>
          <w:sz w:val="32"/>
          <w:szCs w:val="32"/>
          <w:rtl w:val="0"/>
          <w:lang w:val="en-US" w:eastAsia="zh-CN"/>
        </w:rPr>
        <w:t>突破海洋渔业良种规模化生产、基因组育种关键技术，开发优质、高产、抗逆、抗病优良品种。开展适养品种筛选、病害监测、高效投饲、智慧营养、水下清洗机器人、聚鱼收获、灾害预警等技术和设施研发，开发养殖工船、深水网箱等装备。完善深远海养殖技术体系及规范标准，建成现代化海洋牧场，新增海洋水产新品种10个，推动智慧设施渔业快速发展。</w:t>
      </w:r>
    </w:p>
    <w:p w14:paraId="44243D5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2.海洋生物医药。</w:t>
      </w:r>
      <w:r>
        <w:rPr>
          <w:rFonts w:hint="eastAsia" w:ascii="Times New Roman" w:hAnsi="Times New Roman" w:eastAsia="方正仿宋简体" w:cs="方正仿宋简体"/>
          <w:b w:val="0"/>
          <w:bCs w:val="0"/>
          <w:color w:val="000000"/>
          <w:kern w:val="2"/>
          <w:sz w:val="32"/>
          <w:szCs w:val="32"/>
          <w:rtl w:val="0"/>
          <w:lang w:val="en-US" w:eastAsia="zh-CN"/>
        </w:rPr>
        <w:t>攻克海洋功效成分生物合成、干细胞培育鱼肉、浒苔资源化利用、海洋食品绿色生物加工等关键技术。开发海洋生物酶制剂、医用功能材料、功能性食品、生物农药、海藻肥料、海洋糖类、海洋活性蛋白、海藻水凝胶等高附加值海洋产品。加快“蓝色药库”建设，加速海洋抗肿瘤药物研产进程，新发现5个候选新药，建成全国最大的海洋化合物数据中心。</w:t>
      </w:r>
    </w:p>
    <w:p w14:paraId="509B584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3.海洋新材料。</w:t>
      </w:r>
      <w:r>
        <w:rPr>
          <w:rFonts w:hint="eastAsia" w:ascii="Times New Roman" w:hAnsi="Times New Roman" w:eastAsia="方正仿宋简体" w:cs="方正仿宋简体"/>
          <w:b w:val="0"/>
          <w:bCs w:val="0"/>
          <w:color w:val="000000"/>
          <w:kern w:val="2"/>
          <w:sz w:val="32"/>
          <w:szCs w:val="32"/>
          <w:rtl w:val="0"/>
          <w:lang w:val="en-US" w:eastAsia="zh-CN"/>
        </w:rPr>
        <w:t>突破反渗透膜、海水战略性元素提取、海水制氢催化剂等高值化利用技术。攻克海水化学资源和卤水资源综合开发利用关键技术。研发海洋工程、耐蚀防污损材料、无机功能材料、高分子材料、生物基材料、仿生材料、高品质海藻纤维制品等，重塑全省海洋新材料产业发展新优势。</w:t>
      </w:r>
    </w:p>
    <w:p w14:paraId="1DD3212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4.海洋新能源。</w:t>
      </w:r>
      <w:r>
        <w:rPr>
          <w:rFonts w:hint="eastAsia" w:ascii="Times New Roman" w:hAnsi="Times New Roman" w:eastAsia="方正仿宋简体" w:cs="方正仿宋简体"/>
          <w:b w:val="0"/>
          <w:bCs w:val="0"/>
          <w:color w:val="000000"/>
          <w:kern w:val="2"/>
          <w:sz w:val="32"/>
          <w:szCs w:val="32"/>
          <w:rtl w:val="0"/>
          <w:lang w:val="en-US" w:eastAsia="zh-CN"/>
        </w:rPr>
        <w:t>突破深远海漂浮式风电关键核心技术，优化柔性直流输电技术应用，打造风—光同场应用场景。研发新型波浪能俘获转换、海上大容量储能技术及海水制氢、制氨、制甲醇等关键技术。开展风电装备测试认证和技术研发、海水制氢等技术中试及工程推广，打造全国海洋新能源创新高地。</w:t>
      </w:r>
    </w:p>
    <w:p w14:paraId="2E099186">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（五）实施海洋未来产业培育创新行动</w:t>
      </w:r>
    </w:p>
    <w:p w14:paraId="0448088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1.海上发射。</w:t>
      </w:r>
      <w:r>
        <w:rPr>
          <w:rFonts w:hint="eastAsia" w:ascii="Times New Roman" w:hAnsi="Times New Roman" w:eastAsia="方正仿宋简体" w:cs="方正仿宋简体"/>
          <w:b w:val="0"/>
          <w:bCs w:val="0"/>
          <w:color w:val="000000"/>
          <w:kern w:val="2"/>
          <w:sz w:val="32"/>
          <w:szCs w:val="32"/>
          <w:rtl w:val="0"/>
          <w:lang w:val="en-US" w:eastAsia="zh-CN"/>
        </w:rPr>
        <w:t>攻克恶劣海况下固、液体运载火箭海上发射、深远海连续发射、运载火箭海上回收、火箭发射精细化环境预报保障等关键技术。制定海上商业发射场准入与放行标准体系，建设空天地海一体化试验验证平台，打造国内首个集海上发射、星箭产研、卫星应用、航天文旅一体化新兴产业集群。</w:t>
      </w:r>
    </w:p>
    <w:p w14:paraId="29DF1FB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2.海洋物联网。</w:t>
      </w:r>
      <w:r>
        <w:rPr>
          <w:rFonts w:hint="eastAsia" w:ascii="Times New Roman" w:hAnsi="Times New Roman" w:eastAsia="方正仿宋简体" w:cs="方正仿宋简体"/>
          <w:b w:val="0"/>
          <w:bCs w:val="0"/>
          <w:color w:val="000000"/>
          <w:kern w:val="2"/>
          <w:sz w:val="32"/>
          <w:szCs w:val="32"/>
          <w:rtl w:val="0"/>
          <w:lang w:val="en-US" w:eastAsia="zh-CN"/>
        </w:rPr>
        <w:t>突破低轨卫星互联网海洋应用、海洋核心观探测等关键技术，加快海洋大数据标准化建设。研发海洋遥感数据定量化、大范围海域无人装备有效供能技术。开展卫星重力探测与水下智能导航研究，突破声、光、磁、电、重、惯导、生化等海洋先进探测、通信、导航及传感器等技术，加速海洋核心传感器和高端仪器研发与产业化，打造10个重大应用标杆，开发20个海洋人工智能大模型产品和解决方案。</w:t>
      </w:r>
    </w:p>
    <w:p w14:paraId="5CAC1E2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3.深海开发。</w:t>
      </w:r>
      <w:r>
        <w:rPr>
          <w:rFonts w:hint="eastAsia" w:ascii="Times New Roman" w:hAnsi="Times New Roman" w:eastAsia="方正仿宋简体" w:cs="方正仿宋简体"/>
          <w:b w:val="0"/>
          <w:bCs w:val="0"/>
          <w:color w:val="000000"/>
          <w:kern w:val="2"/>
          <w:sz w:val="32"/>
          <w:szCs w:val="32"/>
          <w:rtl w:val="0"/>
          <w:lang w:val="en-US" w:eastAsia="zh-CN"/>
        </w:rPr>
        <w:t>突破多金属结核、富钴铁锰结壳、多金属硫化物、天然气水合物、深海稀土、深水深层油气等高效率高精度勘探技术。研发重载作业级深潜器与穿梭/着陆器关键技术、大水深智能勘探机器人、高性能绿色集矿机、海洋二氧化碳地质封存与监测、深海新型高精度传感器等关键装备，推动深海资源勘探开发技术达到国际领先水平。</w:t>
      </w:r>
    </w:p>
    <w:p w14:paraId="21D78DF8">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三、重点举措</w:t>
      </w:r>
    </w:p>
    <w:p w14:paraId="47584FF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（一）实施产业创新平台“提升计划”。</w:t>
      </w:r>
      <w:r>
        <w:rPr>
          <w:rFonts w:hint="eastAsia" w:ascii="Times New Roman" w:hAnsi="Times New Roman" w:eastAsia="方正仿宋简体" w:cs="方正仿宋简体"/>
          <w:b w:val="0"/>
          <w:bCs w:val="0"/>
          <w:color w:val="000000"/>
          <w:kern w:val="2"/>
          <w:sz w:val="32"/>
          <w:szCs w:val="32"/>
          <w:rtl w:val="0"/>
          <w:lang w:val="en-US" w:eastAsia="zh-CN"/>
        </w:rPr>
        <w:t>全要素保障崂山实验室实现高质量运行。高水平建设海洋领域全国重点实验室，创建海洋领域国家技术创新中心。集成政策支持崂山实验室、中科院海洋大科学研究中心打造人才效能提升重点平台。建设国家海洋综合试验场（威海）、国家深海基因库、国家深海大数据中心、国家深远海资源保藏与环境模拟研究中心、国家海洋渔业生物种质资源库、极端海洋全向流场水池等，争取超高速水洞装置等列入国家重大科技基础设施规划。建设山东省海洋科技大市场和成果转移转化中心，引育一批高水平技术经理人。（省科技厅牵头，省发展改革委、省教育厅、省农业农村厅、省市场监管局、省海洋局按职责分工负责）</w:t>
      </w:r>
    </w:p>
    <w:p w14:paraId="5183CE3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（二）实施产业创新人才“引聚计划”。</w:t>
      </w:r>
      <w:r>
        <w:rPr>
          <w:rFonts w:hint="eastAsia" w:ascii="Times New Roman" w:hAnsi="Times New Roman" w:eastAsia="方正仿宋简体" w:cs="方正仿宋简体"/>
          <w:b w:val="0"/>
          <w:bCs w:val="0"/>
          <w:color w:val="000000"/>
          <w:kern w:val="2"/>
          <w:sz w:val="32"/>
          <w:szCs w:val="32"/>
          <w:rtl w:val="0"/>
          <w:lang w:val="en-US" w:eastAsia="zh-CN"/>
        </w:rPr>
        <w:t>实施泰山产业领军人才蓝色人才专项，引育一批急需紧缺顶尖人才和领军人才。打破高校学科壁垒，建设现代海洋高等教育共同体，加快培养现代海洋人才。省部共建中国海洋国际人才港，启动海洋高层次人才引育计划，建成全球海洋产业人才大数据平台和智慧系统。发挥上海合作组织地方经贸合作示范区、国际科技合作基地作用，汇聚国际科技资源。（省教育厅、省科技厅牵头，省委组织部、省发展改革委、省商务厅、省海洋局按职责分工负责）</w:t>
      </w:r>
    </w:p>
    <w:p w14:paraId="620189C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（三）实施产业创新主体“培育计划”。</w:t>
      </w:r>
      <w:r>
        <w:rPr>
          <w:rFonts w:hint="eastAsia" w:ascii="Times New Roman" w:hAnsi="Times New Roman" w:eastAsia="方正仿宋简体" w:cs="方正仿宋简体"/>
          <w:b w:val="0"/>
          <w:bCs w:val="0"/>
          <w:color w:val="000000"/>
          <w:kern w:val="2"/>
          <w:sz w:val="32"/>
          <w:szCs w:val="32"/>
          <w:rtl w:val="0"/>
          <w:lang w:val="en-US" w:eastAsia="zh-CN"/>
        </w:rPr>
        <w:t>实施海洋科技型企业梯次培育工程、科技型中小企业创新能力提升工程，支持涉海“三高一核心”中小企业创新发展。支持有条件的企业牵头组建国家、省级科技创新平台，提升企业自主创新能力。省级科技计划通过“拨改投”“拨投结合”“先投后股”等方式，引导社会资本对涉海企业给予支持。（省科技厅、省工业和信息化厅牵头，省发展改革委、省财政厅、省市场监管局、省海洋局按职责分工负责）</w:t>
      </w:r>
    </w:p>
    <w:p w14:paraId="51E0C0C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（四）实施产业创新资源配置“改革计划”。</w:t>
      </w:r>
      <w:r>
        <w:rPr>
          <w:rFonts w:hint="eastAsia" w:ascii="Times New Roman" w:hAnsi="Times New Roman" w:eastAsia="方正仿宋简体" w:cs="方正仿宋简体"/>
          <w:b w:val="0"/>
          <w:bCs w:val="0"/>
          <w:color w:val="000000"/>
          <w:kern w:val="2"/>
          <w:sz w:val="32"/>
          <w:szCs w:val="32"/>
          <w:rtl w:val="0"/>
          <w:lang w:val="en-US" w:eastAsia="zh-CN"/>
        </w:rPr>
        <w:t>探索建立部省联动新机制，通过央地联合方式实施国家重大研发任务。争创海洋领域国家农业高新区，布局一批省级海洋高新区，培育20家左右海洋特色产业聚集区。省新旧动能转换基金投资于省内种子期、初创期的海洋科技型、创新型项目，引导基金可按规定让渡收益。落实启运港退税项目企业所得税优惠政策，减轻涉海企业负担。（省科技厅、省发展改革委牵头，省工业和信息化厅、省财政厅、省农业农村厅、省海洋局、省税务局、青岛海关按职责分工负责）</w:t>
      </w:r>
    </w:p>
    <w:p w14:paraId="50AE18E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（五）强化组织领导和要素保障。</w:t>
      </w:r>
      <w:r>
        <w:rPr>
          <w:rFonts w:hint="eastAsia" w:ascii="Times New Roman" w:hAnsi="Times New Roman" w:eastAsia="方正仿宋简体" w:cs="方正仿宋简体"/>
          <w:b w:val="0"/>
          <w:bCs w:val="0"/>
          <w:color w:val="000000"/>
          <w:kern w:val="2"/>
          <w:sz w:val="32"/>
          <w:szCs w:val="32"/>
          <w:rtl w:val="0"/>
          <w:lang w:val="en-US" w:eastAsia="zh-CN"/>
        </w:rPr>
        <w:t>在省委科技委领导下，强化海洋科技创新，优化省级科技创新发展资金配置，每年实施不少于50项省级科技项目，为行动计划实施提供资金保障。加强行动计划重大项目建设用地、用海要素保障。省有关部门和单位按职责分工协同推进。</w:t>
      </w:r>
    </w:p>
    <w:p w14:paraId="553552A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6CBAF3F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D8FF21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4B87B47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8F2432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D54F61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1612814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eastAsia="zh-CN"/>
        </w:rPr>
      </w:pPr>
      <w:r>
        <w:rPr>
          <w:rFonts w:hint="eastAsia" w:ascii="Times New Roman" w:hAnsi="Times New Roman" w:eastAsia="方正小标宋简体" w:cs="方正小标宋简体"/>
          <w:kern w:val="2"/>
          <w:sz w:val="44"/>
          <w:szCs w:val="44"/>
          <w:lang w:eastAsia="zh-CN"/>
        </w:rPr>
        <w:t>山东省科学技术厅等12部门关于印发《山东省新材料产业科技创新行动计划（2025—2027年）》的通知</w:t>
      </w:r>
    </w:p>
    <w:p w14:paraId="3A622F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各市人民政府，各县（市、区）人民政府，省政府各部门、各直属机构，各大企业，各高等院校：</w:t>
      </w:r>
    </w:p>
    <w:p w14:paraId="56D06E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p>
    <w:p w14:paraId="6FC81F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经省政府同意，现将《山东省新材料产业科技创新行动计划（2025—2027年）》印发给你们，请结合实际认真贯彻落实。</w:t>
      </w:r>
    </w:p>
    <w:p w14:paraId="194842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p>
    <w:p w14:paraId="5B2EDA7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0616561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0032CF5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55F8CEA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01CA150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109A6E23">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52F2594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6C96C71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0419666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山东省人民政府国有资产监督管理委员会</w:t>
      </w:r>
    </w:p>
    <w:p w14:paraId="6623BB1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山东省市场监督管理局</w:t>
      </w:r>
    </w:p>
    <w:p w14:paraId="1AAB042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中国人民银行山东省分行</w:t>
      </w:r>
    </w:p>
    <w:p w14:paraId="11D7663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国家税务总局山东省税务局</w:t>
      </w:r>
    </w:p>
    <w:p w14:paraId="0C367DC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7BBB2D8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2024年12月6日</w:t>
      </w:r>
    </w:p>
    <w:p w14:paraId="15165AA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E81C8B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山东省新材料产业科技创新行动计划</w:t>
      </w:r>
    </w:p>
    <w:p w14:paraId="258FF41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34E09B9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为深入贯彻落实省委、省政府关于建设先进制造业强省的战略部署，以科技创新引领新材料产业高质量发展，加快培育新质生产力，特制定本行动计划。</w:t>
      </w:r>
    </w:p>
    <w:p w14:paraId="0E8758D7">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7C9600E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坚持以实现新材料产业高质量发展为目标，以高端化、智能化、绿色化、集群化为方向，健全新材料产业发展体制机制，围绕先进基础材料、关键战略材料和未来前沿材料重点领域，全链条推进科学研究、成果转化和产业化，推动科技创新与产业创新深度融合发展，培育新材料产业发展新动能新优势。力争到2027年，新材料产业创新策源能力大幅提升，新材料产业加快迈向价值链高端，建成具有国际竞争力的新材料产业创新高地。</w:t>
      </w:r>
    </w:p>
    <w:p w14:paraId="6676DD8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——科技创新体系更加完善。新建成新材料领域国家和省级实验室、技术创新中心、制造业创新中心、新型研发机构等创新平台100家，新增省级以上高层次人才200人，加快打造一流的新材料科技创新高地。</w:t>
      </w:r>
    </w:p>
    <w:p w14:paraId="0611C4B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原创科研成果加速涌现。新材料对重点产业链保障能力大幅提升，先进金属、高性能纤维及复合材料等关键领域技术达到国际先进水平，取得重大原创性标志成果200项左右，制定新材料领域国家标准30项左右。</w:t>
      </w:r>
    </w:p>
    <w:p w14:paraId="7EB07C9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——产业创新生态加快形成。科技创新有力引领新材料产业创新，创新要素资源全面优化，新材料领域高新技术企业达到6000家左右，形成10个以上新材料领域具有国际影响力的优势细分产业集群。</w:t>
      </w:r>
    </w:p>
    <w:p w14:paraId="60161358">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7C45AA62">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（一）实施产业发展优势基础材料筑基行动</w:t>
      </w:r>
    </w:p>
    <w:p w14:paraId="274F45C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1.高性能金属及合金材料。</w:t>
      </w:r>
      <w:r>
        <w:rPr>
          <w:rFonts w:hint="eastAsia" w:ascii="Times New Roman" w:hAnsi="Times New Roman" w:eastAsia="方正仿宋简体" w:cs="方正仿宋简体"/>
          <w:b w:val="0"/>
          <w:bCs w:val="0"/>
          <w:color w:val="000000"/>
          <w:kern w:val="2"/>
          <w:sz w:val="32"/>
          <w:szCs w:val="32"/>
          <w:rtl w:val="0"/>
          <w:lang w:val="en-US" w:eastAsia="zh-CN"/>
        </w:rPr>
        <w:t>瞄准高端装备制造和重大工程自主化需求，突破绿色低碳冶炼、大线能量焊接等技术，发展高品质海工钢、清洁能源用钢、轨道交通用钢等优质钢材。突破合金材料精密成型、防护和循环再生等技术，发展航空航天、轻量化等高性能铝、钛等合金材料。</w:t>
      </w:r>
    </w:p>
    <w:p w14:paraId="0936D62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2.人工晶体。</w:t>
      </w:r>
      <w:r>
        <w:rPr>
          <w:rFonts w:hint="eastAsia" w:ascii="Times New Roman" w:hAnsi="Times New Roman" w:eastAsia="方正仿宋简体" w:cs="方正仿宋简体"/>
          <w:b w:val="0"/>
          <w:bCs w:val="0"/>
          <w:color w:val="000000"/>
          <w:kern w:val="2"/>
          <w:sz w:val="32"/>
          <w:szCs w:val="32"/>
          <w:rtl w:val="0"/>
          <w:lang w:val="en-US" w:eastAsia="zh-CN"/>
        </w:rPr>
        <w:t>创新大尺寸晶体生长、晶体缺陷抑制、器件设计等技术，实现原创理论突破和技术自主可控，重点发展激光与非线性光学晶体、压电/铁电晶体、激光自倍频晶体、电光晶体等，满足先进战略装备和国家重大工程需求。</w:t>
      </w:r>
    </w:p>
    <w:p w14:paraId="31FE417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3.先进陶瓷。</w:t>
      </w:r>
      <w:r>
        <w:rPr>
          <w:rFonts w:hint="eastAsia" w:ascii="Times New Roman" w:hAnsi="Times New Roman" w:eastAsia="方正仿宋简体" w:cs="方正仿宋简体"/>
          <w:b w:val="0"/>
          <w:bCs w:val="0"/>
          <w:color w:val="000000"/>
          <w:kern w:val="2"/>
          <w:sz w:val="32"/>
          <w:szCs w:val="32"/>
          <w:rtl w:val="0"/>
          <w:lang w:val="en-US" w:eastAsia="zh-CN"/>
        </w:rPr>
        <w:t>攻克陶瓷精密成形、增材制造、超精密加工、器件设计等行业关键核心和共性技术，重点发展极限场景下的新型结构和功能陶瓷材料，实现高端粉体、先进陶瓷制品、高端应用等融通发展，打造先进陶瓷创新高地和产业高地。</w:t>
      </w:r>
    </w:p>
    <w:p w14:paraId="62DCBE1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4.高性能纤维及复合材料。</w:t>
      </w:r>
      <w:r>
        <w:rPr>
          <w:rFonts w:hint="eastAsia" w:ascii="Times New Roman" w:hAnsi="Times New Roman" w:eastAsia="方正仿宋简体" w:cs="方正仿宋简体"/>
          <w:b w:val="0"/>
          <w:bCs w:val="0"/>
          <w:color w:val="000000"/>
          <w:kern w:val="2"/>
          <w:sz w:val="32"/>
          <w:szCs w:val="32"/>
          <w:rtl w:val="0"/>
          <w:lang w:val="en-US" w:eastAsia="zh-CN"/>
        </w:rPr>
        <w:t>开发高性能碳纤维、陶瓷和玻璃纤维、有机纤维与特种化学纤维等。发展多尺度、多组分、多功能材料复合新技术，攻克先进复合材料的优化设计、可控制备等关键技术，建设数字化生产车间，支撑重点产业创新发展。</w:t>
      </w:r>
    </w:p>
    <w:p w14:paraId="6A96E4A1">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（二）实施标志性产业链战略材料攻坚行动</w:t>
      </w:r>
    </w:p>
    <w:p w14:paraId="5DB9CDD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1.新一代电子信息材料。</w:t>
      </w:r>
      <w:r>
        <w:rPr>
          <w:rFonts w:hint="eastAsia" w:ascii="Times New Roman" w:hAnsi="Times New Roman" w:eastAsia="方正仿宋简体" w:cs="方正仿宋简体"/>
          <w:b w:val="0"/>
          <w:bCs w:val="0"/>
          <w:color w:val="000000"/>
          <w:kern w:val="2"/>
          <w:sz w:val="32"/>
          <w:szCs w:val="32"/>
          <w:rtl w:val="0"/>
          <w:lang w:val="en-US" w:eastAsia="zh-CN"/>
        </w:rPr>
        <w:t>研究大尺寸碳化硅、氮化镓等第三代半导体材料制备技术和装备，突破碳化硅、氮化镓衬底超精密高效加工核心技术。攻克超宽禁带金刚石单晶、氮化铝生长及器件技术，突破大口径高质硅单晶、高端光刻胶制备技术，满足面向集成电路、芯片产业领域的自主可控技术需求。</w:t>
      </w:r>
    </w:p>
    <w:p w14:paraId="066C036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2.新能源材料。</w:t>
      </w:r>
      <w:r>
        <w:rPr>
          <w:rFonts w:hint="eastAsia" w:ascii="Times New Roman" w:hAnsi="Times New Roman" w:eastAsia="方正仿宋简体" w:cs="方正仿宋简体"/>
          <w:b w:val="0"/>
          <w:bCs w:val="0"/>
          <w:color w:val="000000"/>
          <w:kern w:val="2"/>
          <w:sz w:val="32"/>
          <w:szCs w:val="32"/>
          <w:rtl w:val="0"/>
          <w:lang w:val="en-US" w:eastAsia="zh-CN"/>
        </w:rPr>
        <w:t>研发风电、光伏、氢能、电池、核能、生物质能等新能源领域关键材料，重点发展轻质风电叶片材料、高效钙钛矿光伏材料、绿氢材料、大容量长寿命电池电极与隔膜材料、高安全核电堆芯材料、低碳生物燃料等，推动新能源产业高质量发展。</w:t>
      </w:r>
    </w:p>
    <w:p w14:paraId="1414404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3.高端化工材料。</w:t>
      </w:r>
      <w:r>
        <w:rPr>
          <w:rFonts w:hint="eastAsia" w:ascii="Times New Roman" w:hAnsi="Times New Roman" w:eastAsia="方正仿宋简体" w:cs="方正仿宋简体"/>
          <w:b w:val="0"/>
          <w:bCs w:val="0"/>
          <w:color w:val="000000"/>
          <w:kern w:val="2"/>
          <w:sz w:val="32"/>
          <w:szCs w:val="32"/>
          <w:rtl w:val="0"/>
          <w:lang w:val="en-US" w:eastAsia="zh-CN"/>
        </w:rPr>
        <w:t>突破化工材料分子设计、绿色高效催化、合成工艺、加工成型、循环利用技术，开发新型聚烯烃弹性体、高性能树脂、特种橡胶、特种尼龙、氟硅新材料、高性能膜材料、功能涂料和关键催化材料等产品，推动传统化工产业向价值链高端攀升。</w:t>
      </w:r>
    </w:p>
    <w:p w14:paraId="6D13C5C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4.医用材料。</w:t>
      </w:r>
      <w:r>
        <w:rPr>
          <w:rFonts w:hint="eastAsia" w:ascii="Times New Roman" w:hAnsi="Times New Roman" w:eastAsia="方正仿宋简体" w:cs="方正仿宋简体"/>
          <w:b w:val="0"/>
          <w:bCs w:val="0"/>
          <w:color w:val="000000"/>
          <w:kern w:val="2"/>
          <w:sz w:val="32"/>
          <w:szCs w:val="32"/>
          <w:rtl w:val="0"/>
          <w:lang w:val="en-US" w:eastAsia="zh-CN"/>
        </w:rPr>
        <w:t>聚焦生物医用基础及装备关键材料，发展医疗植入、血液净化、生物靶向等材料，加快在高端医疗装备、人工器官、诊断检查等领域的应用，实现国产化自主可控，保障人民生命健康。</w:t>
      </w:r>
    </w:p>
    <w:p w14:paraId="332FDF2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5.新型轻工材料。</w:t>
      </w:r>
      <w:r>
        <w:rPr>
          <w:rFonts w:hint="eastAsia" w:ascii="Times New Roman" w:hAnsi="Times New Roman" w:eastAsia="方正仿宋简体" w:cs="方正仿宋简体"/>
          <w:b w:val="0"/>
          <w:bCs w:val="0"/>
          <w:color w:val="000000"/>
          <w:kern w:val="2"/>
          <w:sz w:val="32"/>
          <w:szCs w:val="32"/>
          <w:rtl w:val="0"/>
          <w:lang w:val="en-US" w:eastAsia="zh-CN"/>
        </w:rPr>
        <w:t>聚焦新一代生物发酵、催化、炼制以及生物基化学品等，攻关低成本、柔性化、规模化核心技术，发展生物基纤维、海洋生物以及生物质循环利用等材料，提高食品、造纸、日用化学品和家用电器等产业关键材料自给率。</w:t>
      </w:r>
    </w:p>
    <w:p w14:paraId="0A7F1AC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6.高端装备关键材料。</w:t>
      </w:r>
      <w:r>
        <w:rPr>
          <w:rFonts w:hint="eastAsia" w:ascii="Times New Roman" w:hAnsi="Times New Roman" w:eastAsia="方正仿宋简体" w:cs="方正仿宋简体"/>
          <w:b w:val="0"/>
          <w:bCs w:val="0"/>
          <w:color w:val="000000"/>
          <w:kern w:val="2"/>
          <w:sz w:val="32"/>
          <w:szCs w:val="32"/>
          <w:rtl w:val="0"/>
          <w:lang w:val="en-US" w:eastAsia="zh-CN"/>
        </w:rPr>
        <w:t>研发金属、复合材料和构件制备与成形、全流程高可靠制造等关键技术，发展结构材料快速成型、增材制造、梯度冶金、异材复合、先进粉末冶金等技术及智能化装备，满足工业母机、交通与动力装备、船舶和海工装备等领域需求，支撑材料和关重件的规模化高端高值应用。</w:t>
      </w:r>
    </w:p>
    <w:p w14:paraId="2E246592">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（三）实施未来产业发展前沿材料布局行动</w:t>
      </w:r>
    </w:p>
    <w:p w14:paraId="3AEC52B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1.低维材料。</w:t>
      </w:r>
      <w:r>
        <w:rPr>
          <w:rFonts w:hint="eastAsia" w:ascii="Times New Roman" w:hAnsi="Times New Roman" w:eastAsia="方正仿宋简体" w:cs="方正仿宋简体"/>
          <w:b w:val="0"/>
          <w:bCs w:val="0"/>
          <w:color w:val="000000"/>
          <w:kern w:val="2"/>
          <w:sz w:val="32"/>
          <w:szCs w:val="32"/>
          <w:rtl w:val="0"/>
          <w:lang w:val="en-US" w:eastAsia="zh-CN"/>
        </w:rPr>
        <w:t>攻坚低维材料规模化制备、批量无损转移等关键技术，重点发展二维半导体、二维量子材料、碳纳米管、石墨烯、石墨炔、金属纳米材料等前沿低维材料，促进在后摩尔时代集成电路、高速飞行器等领域的应用。</w:t>
      </w:r>
    </w:p>
    <w:p w14:paraId="69391A1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2.超导材料。</w:t>
      </w:r>
      <w:r>
        <w:rPr>
          <w:rFonts w:hint="eastAsia" w:ascii="Times New Roman" w:hAnsi="Times New Roman" w:eastAsia="方正仿宋简体" w:cs="方正仿宋简体"/>
          <w:b w:val="0"/>
          <w:bCs w:val="0"/>
          <w:color w:val="000000"/>
          <w:kern w:val="2"/>
          <w:sz w:val="32"/>
          <w:szCs w:val="32"/>
          <w:rtl w:val="0"/>
          <w:lang w:val="en-US" w:eastAsia="zh-CN"/>
        </w:rPr>
        <w:t>重点突破高温超导材料批量化制备关键技术，加强高温超导和大电流领域的计量科学研究，开发面向电力、能源、医疗和国防应用的超导电工装备，实现超导材料、超导强电和超导弱电产品的协同发展和规模化应用。</w:t>
      </w:r>
    </w:p>
    <w:p w14:paraId="566E203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3.仿生及超材料。</w:t>
      </w:r>
      <w:r>
        <w:rPr>
          <w:rFonts w:hint="eastAsia" w:ascii="Times New Roman" w:hAnsi="Times New Roman" w:eastAsia="方正仿宋简体" w:cs="方正仿宋简体"/>
          <w:b w:val="0"/>
          <w:bCs w:val="0"/>
          <w:color w:val="000000"/>
          <w:kern w:val="2"/>
          <w:sz w:val="32"/>
          <w:szCs w:val="32"/>
          <w:rtl w:val="0"/>
          <w:lang w:val="en-US" w:eastAsia="zh-CN"/>
        </w:rPr>
        <w:t>开展仿生与超材料等功能材料及相关器件的研发创新与产业化应用，建设仿生及超材料基础理论创新研究平台和工程应用测评中心，催生深海空天、生物医疗、通信网络、人工智能、节能环保等领域的变革性应用推广。</w:t>
      </w:r>
    </w:p>
    <w:p w14:paraId="66618B0C">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三、重点举措</w:t>
      </w:r>
    </w:p>
    <w:p w14:paraId="3C9FA199">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（一）提升新材料产业创新策源能力</w:t>
      </w:r>
    </w:p>
    <w:p w14:paraId="3F4E9A1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1.推动创新平台提质升级。在高端装备涂料、含氟功能膜材料、晶体材料等领域，全力创建4—6家全国重点实验室、国家技术创新中心和国家制造业创新中心等国家级重大创新平台。在铝材料、核装备材料等领域新建山东省实验室，优化先进材料与绿色制造、绿色化工与功能材料省实验室和先进聚合物国家工程技术研究中心等高能级平台，支持泉城实验室、青岛新能源省实验室打造人才效能提升重点平台，积极开展电子信息、新能源等材料研发。加快省重点实验室重组，在新材料领域建设50家左右省重点实验室。（牵头单位：省科技厅，责任单位：省发展改革委、省工业和信息化厅）</w:t>
      </w:r>
    </w:p>
    <w:p w14:paraId="3F865FC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2.打造高水平创新人才高地。</w:t>
      </w:r>
      <w:r>
        <w:rPr>
          <w:rFonts w:hint="eastAsia" w:ascii="Times New Roman" w:hAnsi="Times New Roman" w:eastAsia="方正仿宋简体" w:cs="方正仿宋简体"/>
          <w:b w:val="0"/>
          <w:bCs w:val="0"/>
          <w:color w:val="000000"/>
          <w:kern w:val="2"/>
          <w:sz w:val="32"/>
          <w:szCs w:val="32"/>
          <w:rtl w:val="0"/>
          <w:lang w:val="en-US" w:eastAsia="zh-CN"/>
        </w:rPr>
        <w:t>支持有条件的高校聚焦新材料产业发展需求，超前设置面向未来产业的关键材料学科专业。支持高校在新材料方向冲击国家“双一流”学科，建设一批国家级、省级一流专业。深入实施领军人才“筑峰计划”，力争培育一批新材料领域顶尖人才。加强泰山、齐鲁人才工程实施布局，在新材料领域新遴选100名左右高端人才。鼓励符合条件的新材料领域人才申报省政府非教育系统公派出国留学项目，遴选优秀中青年人才赴海外访学研修。深化“揭榜挂帅”攻关机制，面向全球引进、培养新材料领域战略科技人才、科技领军人才和创新团队，打造结构合理、国际领先的高水平创新人才队伍。（牵头单位：省委组织部、省教育厅，责任单位：省科技厅、省工业和信息化厅、省人力资源社会保障厅、省国资委）</w:t>
      </w:r>
    </w:p>
    <w:p w14:paraId="57DBA597">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（二）推动科技创新与新材料产业深度融合</w:t>
      </w:r>
    </w:p>
    <w:p w14:paraId="025C19A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1.强化高水平科技供给。</w:t>
      </w:r>
      <w:r>
        <w:rPr>
          <w:rFonts w:hint="eastAsia" w:ascii="Times New Roman" w:hAnsi="Times New Roman" w:eastAsia="方正仿宋简体" w:cs="方正仿宋简体"/>
          <w:b w:val="0"/>
          <w:bCs w:val="0"/>
          <w:color w:val="000000"/>
          <w:kern w:val="2"/>
          <w:sz w:val="32"/>
          <w:szCs w:val="32"/>
          <w:rtl w:val="0"/>
          <w:lang w:val="en-US" w:eastAsia="zh-CN"/>
        </w:rPr>
        <w:t>加大新材料领域技术攻关引导力度，每年实施不少于50项省级科技创新项目，攻关材料智能设计、材料研究新范式、绿色智能制造等。围绕支撑电子信息、高端装备、新能源等产业材料升级换代，加快工艺、技术、产品高效转化，完善原材料供给、技术攻关和下游应用配套体系。加快抢占产业前沿材料和颠覆性技术制高点，突破前沿材料规模化制备技术，加强专利储备和技术积累，开辟未来产业材料新赛道。（牵头单位：省科技厅，责任单位：省工业和信息化厅）</w:t>
      </w:r>
    </w:p>
    <w:p w14:paraId="6692FBB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2.突出企业创新主体地位。</w:t>
      </w:r>
      <w:r>
        <w:rPr>
          <w:rFonts w:hint="eastAsia" w:ascii="Times New Roman" w:hAnsi="Times New Roman" w:eastAsia="方正仿宋简体" w:cs="方正仿宋简体"/>
          <w:b w:val="0"/>
          <w:bCs w:val="0"/>
          <w:color w:val="000000"/>
          <w:kern w:val="2"/>
          <w:sz w:val="32"/>
          <w:szCs w:val="32"/>
          <w:rtl w:val="0"/>
          <w:lang w:val="en-US" w:eastAsia="zh-CN"/>
        </w:rPr>
        <w:t>加大高能级创新平台在新材料企业的布局力度，支持企业与高校院所共建实验室、研发中心等，全面提升新材料基础研究和应用研究能力。鼓励新材料领域省实验室围绕各市新材料产业基础优势，布局建设分中心。在新材料重点发展方向，布局建设一批公共研发服务平台、中试验证平台等，提升细分领域创新能力。培育1000家专精特新和“单项冠军”企业，在特定细分市场形成领先优势。（牵头单位：省科技厅、省工业和信息化厅，责任单位：省发展改革委）</w:t>
      </w:r>
    </w:p>
    <w:p w14:paraId="6B08597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3.促进科技成果转化应用。</w:t>
      </w:r>
      <w:r>
        <w:rPr>
          <w:rFonts w:hint="eastAsia" w:ascii="Times New Roman" w:hAnsi="Times New Roman" w:eastAsia="方正仿宋简体" w:cs="方正仿宋简体"/>
          <w:b w:val="0"/>
          <w:bCs w:val="0"/>
          <w:color w:val="000000"/>
          <w:kern w:val="2"/>
          <w:sz w:val="32"/>
          <w:szCs w:val="32"/>
          <w:rtl w:val="0"/>
          <w:lang w:val="en-US" w:eastAsia="zh-CN"/>
        </w:rPr>
        <w:t>发挥山东科技大市场供需对接和资源汇聚作用，每年开展3—5次“山东好成果”新材料领域专项路演，推介新材料领域科技成果。推进孵化载体链式建设，新建15家左右新材料领域专业孵化载体。瞄准功能及结构材料发展前沿，建设5家以上概念验证中心。面向创新型企业开展专利导航，实现专利导航重点领域全覆盖。（牵头单位：省科技厅，责任单位：省工业和信息化厅、省市场监管局）</w:t>
      </w:r>
    </w:p>
    <w:p w14:paraId="67628C38">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（三）培育高质量新材料产业集群</w:t>
      </w:r>
    </w:p>
    <w:p w14:paraId="4787526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1.强化重大场景应用。</w:t>
      </w:r>
      <w:r>
        <w:rPr>
          <w:rFonts w:hint="eastAsia" w:ascii="Times New Roman" w:hAnsi="Times New Roman" w:eastAsia="方正仿宋简体" w:cs="方正仿宋简体"/>
          <w:b w:val="0"/>
          <w:bCs w:val="0"/>
          <w:color w:val="000000"/>
          <w:kern w:val="2"/>
          <w:sz w:val="32"/>
          <w:szCs w:val="32"/>
          <w:rtl w:val="0"/>
          <w:lang w:val="en-US" w:eastAsia="zh-CN"/>
        </w:rPr>
        <w:t>组织实施“技术攻关+场景应用”科技示范工程，推动具有自主知识产权的新材料在产业链上下游的应用，以场景应用带动技术迭代、产品定型、市场培养。遴选新材料创新应用项目，每年发布创新应用典型案例和创新成果，引导各市开放应用场景。制定重点新材料首批次应用指导目录，促进新材料产用协同。（牵头单位：省科技厅、省工业和信息化厅，责任单位：省国资委）</w:t>
      </w:r>
    </w:p>
    <w:p w14:paraId="55262D9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2.发挥园区载体作用。</w:t>
      </w:r>
      <w:r>
        <w:rPr>
          <w:rFonts w:hint="eastAsia" w:ascii="Times New Roman" w:hAnsi="Times New Roman" w:eastAsia="方正仿宋简体" w:cs="方正仿宋简体"/>
          <w:b w:val="0"/>
          <w:bCs w:val="0"/>
          <w:color w:val="000000"/>
          <w:kern w:val="2"/>
          <w:sz w:val="32"/>
          <w:szCs w:val="32"/>
          <w:rtl w:val="0"/>
          <w:lang w:val="en-US" w:eastAsia="zh-CN"/>
        </w:rPr>
        <w:t>支持各市突出产业基础优势，引导新材料制造业向省级以上高新技术产业开发区、经济开发区、化工园区、新区和起步区等功能区集聚。依托现有开发区，采取“区中园”形式，在新材料产业基础条件好、科技要素集聚的区域，建设专业产业园区。在新一代光电信息材料、高端化工材料等领域，培育10家特色产业园区，提升新材料园区创新能力。（省发展改革委、省科技厅、省工业和信息化厅、省商务厅按职责分工负责）</w:t>
      </w:r>
    </w:p>
    <w:p w14:paraId="31F0B10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3.培育壮大产业集群。</w:t>
      </w:r>
      <w:r>
        <w:rPr>
          <w:rFonts w:hint="eastAsia" w:ascii="Times New Roman" w:hAnsi="Times New Roman" w:eastAsia="方正仿宋简体" w:cs="方正仿宋简体"/>
          <w:b w:val="0"/>
          <w:bCs w:val="0"/>
          <w:color w:val="000000"/>
          <w:kern w:val="2"/>
          <w:sz w:val="32"/>
          <w:szCs w:val="32"/>
          <w:rtl w:val="0"/>
          <w:lang w:val="en-US" w:eastAsia="zh-CN"/>
        </w:rPr>
        <w:t>瞄准产业链薄弱环节，引育100家以上链主、重点和配套企业，提升核心配套能力。支持烟台化工新材料集群争创国家先进制造业集群，推进济南碳化硅半导体、潍坊光电子、德州集成电路材料产业集群建设，支持烟台、滨州、聊城打造高端铝产业集聚区，支持淄博加快建设氟、硅新材料特色产业基地，推动青岛合成橡胶、威海高性能碳纤维及复合材料产业集聚发展，支持济南、日照、临沂、潍坊特种钢铁和济宁稀土磁性材料产业集群化发展，打造一批具有核心竞争力的产业集群。（牵头单位：省发展改革委、省工业和信息化厅，责任单位：省科技厅、省商务厅）</w:t>
      </w:r>
    </w:p>
    <w:p w14:paraId="32A99676">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（四）加强政策支持和要素保障</w:t>
      </w:r>
    </w:p>
    <w:p w14:paraId="335F35E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在省委科技委领导下，加强新材料产业科技创新，强化部门协作及省市联动，一体推进新材料技术突破、场景应用和产业化。优化省级科技创新发展资金配置，加大对新材料产业科研攻关的引导力度。发挥好各级财政科技资金、技改资金作用，落实好研发费用税前加计扣除、贷款贴息和设备奖补等各项政策。发挥新材料产业基金、天使投资、创业投资基金等作用，引导社会资本加大新材料产业投资力度。定期开展绩效评估，确保行动计划落地落实、见行见效。（牵头单位：省科技厅，责任单位：省发展改革委、省工业和信息化厅、省财政厅、中国人民银行山东省分行、省税务局）</w:t>
      </w:r>
    </w:p>
    <w:p w14:paraId="36CF2C9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3974257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F6893F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D6086CD">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8C1254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BF8675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793C7E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403AAC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8D9517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C440BB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BE7207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6EE45C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3D740AC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4DFC3A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498EBC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5B8936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A9DE90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113FEC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347E6E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476314D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363FB47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eastAsia="zh-CN"/>
        </w:rPr>
      </w:pPr>
      <w:r>
        <w:rPr>
          <w:rFonts w:hint="eastAsia" w:ascii="Times New Roman" w:hAnsi="Times New Roman" w:eastAsia="方正小标宋简体" w:cs="方正小标宋简体"/>
          <w:kern w:val="2"/>
          <w:sz w:val="44"/>
          <w:szCs w:val="44"/>
          <w:lang w:eastAsia="zh-CN"/>
        </w:rPr>
        <w:t>山东省科学技术厅等10部门关于印发《山东省生物医药产业科技创新行动计划（2025—2027年）》的通知</w:t>
      </w:r>
    </w:p>
    <w:p w14:paraId="508DCCD1">
      <w:pPr>
        <w:widowControl w:val="0"/>
        <w:bidi w:val="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各市人民政府，各县（市、区）人民政府，省政府各部门、各直属机构，各大企业，各高等院校：</w:t>
      </w:r>
    </w:p>
    <w:p w14:paraId="69FD5082">
      <w:pPr>
        <w:widowControl w:val="0"/>
        <w:bidi w:val="0"/>
        <w:jc w:val="both"/>
        <w:rPr>
          <w:rFonts w:hint="eastAsia" w:ascii="Times New Roman" w:hAnsi="Times New Roman" w:eastAsia="方正仿宋简体" w:cs="方正仿宋简体"/>
          <w:b w:val="0"/>
          <w:bCs w:val="0"/>
          <w:color w:val="000000"/>
          <w:kern w:val="2"/>
          <w:sz w:val="32"/>
          <w:szCs w:val="32"/>
          <w:lang w:eastAsia="zh-CN"/>
        </w:rPr>
      </w:pPr>
    </w:p>
    <w:p w14:paraId="4E4032A7">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经省政府同意，现将《山东省生物医药产业科技创新行动计划（2025—2027年）》印发给你们，请结合实际认真贯彻落实。</w:t>
      </w:r>
    </w:p>
    <w:p w14:paraId="04F458C8">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p>
    <w:p w14:paraId="3F7D3D3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18AB758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中共山东省委金融委员会办公室</w:t>
      </w:r>
    </w:p>
    <w:p w14:paraId="4284AC1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287466AB">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0443DFA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2EC68FC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3EA55D8A">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7B6968A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山东省卫生健康委员会</w:t>
      </w:r>
    </w:p>
    <w:p w14:paraId="1C224B13">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山东省医疗保障局</w:t>
      </w:r>
    </w:p>
    <w:p w14:paraId="593D951A">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山东省药品监督管理局</w:t>
      </w:r>
    </w:p>
    <w:p w14:paraId="7BDA245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3535D6B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2024年12月6日</w:t>
      </w:r>
    </w:p>
    <w:p w14:paraId="07CC1680">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kern w:val="2"/>
          <w:sz w:val="44"/>
          <w:szCs w:val="44"/>
          <w:rtl w:val="0"/>
          <w:lang w:val="en-US" w:eastAsia="zh-CN"/>
        </w:rPr>
      </w:pPr>
    </w:p>
    <w:p w14:paraId="1490758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山东省生物医药产业科技创新行动计划</w:t>
      </w:r>
    </w:p>
    <w:p w14:paraId="4067617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03D6A07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为全面贯彻习近平总书记视察山东重要讲话精神，深入落实省委、省政府关于医养健康产业高质量发展的决策部署，充分发挥科技创新引领作用，不断提升全省生物医药产业核心竞争力，特制定本行动计划。</w:t>
      </w:r>
    </w:p>
    <w:p w14:paraId="3635C8C9">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7284A73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聚焦生物医药产业创新链条系统化、主导产品高端化、产业发展集群化，加快基础研究、技术攻关和成果转化，催生一批新技术、新产品、新模式、新业态，因地制宜发展新质生产力。到2027年，力争突破100项以上重大关键技术；新获批上市1类新药6个左右，新获批临床试验1类新药数量30个左右，新增三类医疗器械300个左右；培育高新技术企业总数达到4000家；全省生物医药产业规模达到4000亿元以上，重塑生物医药产业高质量发展新优势，建成具有国内领先水平和国际竞争力的现代生物医药产业体系。</w:t>
      </w:r>
    </w:p>
    <w:p w14:paraId="3DEBA6DA">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333878E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（一）实施化学药“国际化”提质创新行动。</w:t>
      </w:r>
      <w:r>
        <w:rPr>
          <w:rFonts w:hint="eastAsia" w:ascii="Times New Roman" w:hAnsi="Times New Roman" w:eastAsia="方正仿宋简体" w:cs="方正仿宋简体"/>
          <w:b w:val="0"/>
          <w:bCs w:val="0"/>
          <w:color w:val="000000"/>
          <w:kern w:val="2"/>
          <w:sz w:val="32"/>
          <w:szCs w:val="32"/>
          <w:rtl w:val="0"/>
          <w:lang w:val="en-US" w:eastAsia="zh-CN"/>
        </w:rPr>
        <w:t>面向恶性肿瘤、心脑血管疾病、糖尿病、血液病、消化系统疾病、神经系统疾病等，构建化学类新药发现、概念验证、早期成药性评价等应用基础研究新技术和新方法。突破基于人工智能（AI）与生物模型驱动的高通量筛选和药物设计、高附加值化学原料药绿色合成、缓控释及靶向递送、海洋药物发现与制备等关键技术。开发基于新靶点、新分型、新机制化学类药物，研发制备脂质体、微球、纳米粒、白蛋白、多糖、胶束等技术。攻克大品种、临床急需、供应短缺类仿制药制备技术，加快国际注册进程。新取得2个化学1类药品生产批件，新获批10个化学1类药品临床试验批件，新药国际注册上市2个以上，获得候选化合物100个，推动全省化学类药品品质不断提高，国际化进程不断加快。</w:t>
      </w:r>
    </w:p>
    <w:p w14:paraId="1419555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（二）实施生物药“前沿化”提效创新行动。</w:t>
      </w:r>
      <w:r>
        <w:rPr>
          <w:rFonts w:hint="eastAsia" w:ascii="Times New Roman" w:hAnsi="Times New Roman" w:eastAsia="方正仿宋简体" w:cs="方正仿宋简体"/>
          <w:b w:val="0"/>
          <w:bCs w:val="0"/>
          <w:color w:val="000000"/>
          <w:kern w:val="2"/>
          <w:sz w:val="32"/>
          <w:szCs w:val="32"/>
          <w:rtl w:val="0"/>
          <w:lang w:val="en-US" w:eastAsia="zh-CN"/>
        </w:rPr>
        <w:t>面向阿尔兹海默症、感染性疾病、呼吸系统疾病、罕见病、精神疾病、恶性肿瘤等，突破生物大分子候选药物标准化、规模化制备技术，攻克原创性药物递送新载体、时空可控的药物递释新技术、高通量筛选新方法，研发结构新颖、疗效确切的核酸、抗体、多肽、寡糖、结构脂质、细胞、疫苗、偶联药物、噬菌体、内溶素等候选药物。新取得2个生物1类药品生产批件，新获批10个生物1类药品临床试验批件，获得候选药物不少于50个，建成具有引领前沿和国际影响力的生物药集聚地。</w:t>
      </w:r>
    </w:p>
    <w:p w14:paraId="1AFD6C4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（三）实施中医药“现代化”提标创新行动。</w:t>
      </w:r>
      <w:r>
        <w:rPr>
          <w:rFonts w:hint="eastAsia" w:ascii="Times New Roman" w:hAnsi="Times New Roman" w:eastAsia="方正仿宋简体" w:cs="方正仿宋简体"/>
          <w:b w:val="0"/>
          <w:bCs w:val="0"/>
          <w:color w:val="000000"/>
          <w:kern w:val="2"/>
          <w:sz w:val="32"/>
          <w:szCs w:val="32"/>
          <w:rtl w:val="0"/>
          <w:lang w:val="en-US" w:eastAsia="zh-CN"/>
        </w:rPr>
        <w:t>突破活体超分辨成像、药效时空动态高通量辨识、超滤质谱和分子生物色谱制备技术。攻克中医药传统经典名方现代制剂、道地药材生产全程质量控制、外用制剂药用辅料、中药活性成分化学结构改构等关键技术。研发中药材生产、中药饮片炮制、中成药制造等新型装备，研发中药制造自动化、智能化、新型养殖药用、药食同源品种技术，制定符合中药特点的生产和质量评价技术体系。支持院内制剂、经方验方等成果向新药转化，通过“三结合”证据体系，加快中药现代化。新取得2个中药1类新药生产批件，新获批5个中药1类新药临床试验批件，制定7个中药材等级标准，新发现60个中药功效成分及作用靶标，完成中药制剂开发和智能生产控制新技术30项，实现中药现代化水平领跑全国。</w:t>
      </w:r>
    </w:p>
    <w:p w14:paraId="4034C1D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（四）实施医疗器械“国产化”提档创新行动。</w:t>
      </w:r>
      <w:r>
        <w:rPr>
          <w:rFonts w:hint="eastAsia" w:ascii="Times New Roman" w:hAnsi="Times New Roman" w:eastAsia="方正仿宋简体" w:cs="方正仿宋简体"/>
          <w:b w:val="0"/>
          <w:bCs w:val="0"/>
          <w:color w:val="000000"/>
          <w:kern w:val="2"/>
          <w:sz w:val="32"/>
          <w:szCs w:val="32"/>
          <w:rtl w:val="0"/>
          <w:lang w:val="en-US" w:eastAsia="zh-CN"/>
        </w:rPr>
        <w:t>围绕高端医疗器械国产化和原始创新需求，突破高端影像设备、高端放射治疗设备、高端植介入器械及耗材、新型生物医用材料、体外诊断仪器和试剂等核心技术。攻克手术机器人导航、自动化医学成像、高精度智能传感与控制、高端医用材料绿色合成、植介入医疗器械、神经康复智能监测与干预、3D4K荧光设备、3D/4D打印组织工程技术、高通量高精度检验检测、类器官芯片等制备核心技术。研发人工器官、体外循环系统、基于生物支架材料的组织工程产品、微/纳米材料。突破人体极弱磁检测技术和装备、高通量生物标记物发现与验证、单分子免疫分析、分子诊断、太赫兹肿瘤检测等关键技术。争取获得3个创新医疗器械注册证，推动高端医疗器械国产化水平再上新台阶。</w:t>
      </w:r>
    </w:p>
    <w:p w14:paraId="35C531C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（五）实施未来产业“跨界化”提速创新行动。</w:t>
      </w:r>
      <w:r>
        <w:rPr>
          <w:rFonts w:hint="eastAsia" w:ascii="Times New Roman" w:hAnsi="Times New Roman" w:eastAsia="方正仿宋简体" w:cs="方正仿宋简体"/>
          <w:b w:val="0"/>
          <w:bCs w:val="0"/>
          <w:color w:val="000000"/>
          <w:kern w:val="2"/>
          <w:sz w:val="32"/>
          <w:szCs w:val="32"/>
          <w:rtl w:val="0"/>
          <w:lang w:val="en-US" w:eastAsia="zh-CN"/>
        </w:rPr>
        <w:t>突破细胞基因治疗递送载体、基因编辑、细胞重编程、制备与检测等关键技术。研发新型细胞治疗技术、基于干细胞的复杂类器官构建技术、肿瘤类器官药敏诊断技术、免疫细胞一体化制备技术。开展治疗性细胞及衍生制品的标准体系研究，组建细胞及其衍生物质量检验前沿技术开发及委托服务平台，支持建设细胞治疗临床级种子库。支持新型材料、人工智能、数字孪生、脑机接口、AI制药等先进技术在生物医药领域跨界融合，突破医用智能芯片设计关键共性技术。攻克通用AI芯片设计、动态可重构、现场可编程门阵列（FPGA）智能加速、智能芯片产业化应用技术。力争1—2个细胞基因治疗1类新药获批上市，新增5个新药临床试验批件。</w:t>
      </w:r>
    </w:p>
    <w:p w14:paraId="15822C42">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三、支持政策</w:t>
      </w:r>
    </w:p>
    <w:p w14:paraId="2FCFC6B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（一）持续加大科技创新政策支持力度。</w:t>
      </w:r>
      <w:r>
        <w:rPr>
          <w:rFonts w:hint="eastAsia" w:ascii="Times New Roman" w:hAnsi="Times New Roman" w:eastAsia="方正仿宋简体" w:cs="方正仿宋简体"/>
          <w:b w:val="0"/>
          <w:bCs w:val="0"/>
          <w:color w:val="000000"/>
          <w:kern w:val="2"/>
          <w:sz w:val="32"/>
          <w:szCs w:val="32"/>
          <w:rtl w:val="0"/>
          <w:lang w:val="en-US" w:eastAsia="zh-CN"/>
        </w:rPr>
        <w:t>对在省内转化创新药（1类化学药、1类生物制品和1类中药）完成Ⅰ、Ⅱ、Ⅲ期临床试验的，经评审给予不超过研发投入40%，最高分别为1000万元、2000万元、3000万元资金支持；每个企业每年累计支持额度不超过1亿元。对进入国家创新医疗器械特别审查程序的医疗器械产品，经评审给予最高200万元资金支持；对首次取得第三类医疗器械注册证并在省内生产该产品的企业，纳入省级财政科技股权投资支持范围；对通过国家创新医疗器械特别审查程序的产品企业给予支持，并可在参股比例上限内适当提高财政投资入股额度。对新升级为全国重点实验室、国家技术创新中心、产业创新中心、临床医学研究中心且国家没有配套资金要求的，省级按规定给予1000万元经费支持。（省科技厅牵头，省发展改革委、省财政厅、省卫生健康委、省药监局按职责分工负责）</w:t>
      </w:r>
    </w:p>
    <w:p w14:paraId="2DA4C7D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（二）提高临床医学研究和试验能力。</w:t>
      </w:r>
      <w:r>
        <w:rPr>
          <w:rFonts w:hint="eastAsia" w:ascii="Times New Roman" w:hAnsi="Times New Roman" w:eastAsia="方正仿宋简体" w:cs="方正仿宋简体"/>
          <w:b w:val="0"/>
          <w:bCs w:val="0"/>
          <w:color w:val="000000"/>
          <w:kern w:val="2"/>
          <w:sz w:val="32"/>
          <w:szCs w:val="32"/>
          <w:rtl w:val="0"/>
          <w:lang w:val="en-US" w:eastAsia="zh-CN"/>
        </w:rPr>
        <w:t>推动有条件的高水平医院向以临床创新研究活动为重要职能的研究型医院发展，鼓励高水平医院按照核定床位的10%设置研究型床位。支持高水平医院开展医学创新和成果转化，支持备案开展原创先进医疗技术首次在人体应用的超早期临床研究，支持符合条件的医院研究者发起高水平临床研究。健全研究型医院开展科研工作的政策保障机制，将其纳入科技成果转化综合试点。将临床试验与应用纳入省级临床医学研究中心绩效评估体系，允许医疗机构仅用于创新药物和创新医疗器械临床试验的床位数不计入总床位数。鼓励多中心临床研究（试验）建立伦理审查协作机制，持续推动医学伦理审查结果在全省互认。鼓励和支持临床研究第三方管理机构和企业发展。（省科技厅、省卫生健康委、省药监局按职责分工负责）</w:t>
      </w:r>
    </w:p>
    <w:p w14:paraId="073246D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（三）加速生物医药产品审评审批。</w:t>
      </w:r>
      <w:r>
        <w:rPr>
          <w:rFonts w:hint="eastAsia" w:ascii="Times New Roman" w:hAnsi="Times New Roman" w:eastAsia="方正仿宋简体" w:cs="方正仿宋简体"/>
          <w:b w:val="0"/>
          <w:bCs w:val="0"/>
          <w:color w:val="000000"/>
          <w:kern w:val="2"/>
          <w:sz w:val="32"/>
          <w:szCs w:val="32"/>
          <w:rtl w:val="0"/>
          <w:lang w:val="en-US" w:eastAsia="zh-CN"/>
        </w:rPr>
        <w:t>加快药械注册审批进程，优化药械注册审评、检查和审批工作流程，将第二类医疗器械注册申请审评时限由60个工作日缩减至30个。强化审评审批服务，实施预查预检、全程网办、即到即审、智慧审评等措施，对重点研发的药品进行注册抽样、GMP符合性检查；对重点研发的第三类医疗器械提供申报资料预审查、安排注册检测等服务。对于纳入创新特别审批程序的药械产品，实施前置服务，建立针对临床批件、注册申报等关键环节的辅导沟通机制。（省药监局牵头）</w:t>
      </w:r>
    </w:p>
    <w:p w14:paraId="21F0711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（四）加快科技创新成果推广应用。</w:t>
      </w:r>
      <w:r>
        <w:rPr>
          <w:rFonts w:hint="eastAsia" w:ascii="Times New Roman" w:hAnsi="Times New Roman" w:eastAsia="方正仿宋简体" w:cs="方正仿宋简体"/>
          <w:b w:val="0"/>
          <w:bCs w:val="0"/>
          <w:color w:val="000000"/>
          <w:kern w:val="2"/>
          <w:sz w:val="32"/>
          <w:szCs w:val="32"/>
          <w:rtl w:val="0"/>
          <w:lang w:val="en-US" w:eastAsia="zh-CN"/>
        </w:rPr>
        <w:t>对具有自主知识产权的创新药品，支持其按规定纳入国家医保药品目录和定制型商业医疗保险。对纳入国家医保目录谈判药品范围的创新药品纳入“双通道”保障。加大创新医疗器械首购力度，提高政府采购份额，鼓励本省医疗机构采购经省有关部门认定的医疗器械首台（套）产品。对山东省医疗器械企业为首台（套）购买的符合条件的保险，省财政按照一定费率上限，给予单个企业最高500万元保费补贴。支持在生物医药领域开展政府采购合作创新。（省科技厅、省财政厅、省工业和信息化厅、省卫生健康委、省医保局、省药监局按职责分工负责）</w:t>
      </w:r>
    </w:p>
    <w:p w14:paraId="5FB99B2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（五）强化金融社会资本支持。</w:t>
      </w:r>
      <w:r>
        <w:rPr>
          <w:rFonts w:hint="eastAsia" w:ascii="Times New Roman" w:hAnsi="Times New Roman" w:eastAsia="方正仿宋简体" w:cs="方正仿宋简体"/>
          <w:b w:val="0"/>
          <w:bCs w:val="0"/>
          <w:color w:val="000000"/>
          <w:kern w:val="2"/>
          <w:sz w:val="32"/>
          <w:szCs w:val="32"/>
          <w:rtl w:val="0"/>
          <w:lang w:val="en-US" w:eastAsia="zh-CN"/>
        </w:rPr>
        <w:t>鼓励政府引导基金“投早、投小、投硬科技”，培育中长期投资者和耐心资本，省级科技计划通过“拨改投”“拨投结合”“先投后股”等方式，对潜力企业和优质研发管线加强战略纾困投资，不断提高金融社会资本对生物医药产业投资力度。对研发投入强度大的生物医药企业，各类财政扶持资金和公共要素资源按政策给予倾斜支持。（省发展改革委、省科技厅、省财政厅按职责分工负责）</w:t>
      </w:r>
    </w:p>
    <w:p w14:paraId="5039622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（六）全面深化国际科技合作。</w:t>
      </w:r>
      <w:r>
        <w:rPr>
          <w:rFonts w:hint="eastAsia" w:ascii="Times New Roman" w:hAnsi="Times New Roman" w:eastAsia="方正仿宋简体" w:cs="方正仿宋简体"/>
          <w:b w:val="0"/>
          <w:bCs w:val="0"/>
          <w:color w:val="000000"/>
          <w:kern w:val="2"/>
          <w:sz w:val="32"/>
          <w:szCs w:val="32"/>
          <w:rtl w:val="0"/>
          <w:lang w:val="en-US" w:eastAsia="zh-CN"/>
        </w:rPr>
        <w:t>鼓励和支持外资企业在鲁设立地区总部、外资研发中心、开放式创新平台概念验证中心和共性技术平台。支持企业通过美国食品药品监督管理局（FDA）、欧洲药品管理局（EMA）、日本药品医疗器械局（PMDA）或WHO（世界卫生组织）以及金砖国家、“一带一路”国家药品监管机构注册，并在当地实现销售。（省商务厅、省药监局牵头）</w:t>
      </w:r>
    </w:p>
    <w:p w14:paraId="7C640306">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四、重点举措</w:t>
      </w:r>
    </w:p>
    <w:p w14:paraId="52014AF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（一）建立统筹协调机制。</w:t>
      </w:r>
      <w:r>
        <w:rPr>
          <w:rFonts w:hint="eastAsia" w:ascii="Times New Roman" w:hAnsi="Times New Roman" w:eastAsia="方正仿宋简体" w:cs="方正仿宋简体"/>
          <w:b w:val="0"/>
          <w:bCs w:val="0"/>
          <w:color w:val="000000"/>
          <w:kern w:val="2"/>
          <w:sz w:val="32"/>
          <w:szCs w:val="32"/>
          <w:rtl w:val="0"/>
          <w:lang w:val="en-US" w:eastAsia="zh-CN"/>
        </w:rPr>
        <w:t>在省委科技委领导下，加强生物医药科技创新，统筹研究重大问题，强化政策协同。支持各市结合区域优势和产业特色，制定支持措施，解决实际问题。鼓励企业、高校、科研院所等参与生物医药科技创新。（省科技厅牵头）</w:t>
      </w:r>
    </w:p>
    <w:p w14:paraId="64BB367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（二）创新资金支持模式。</w:t>
      </w:r>
      <w:r>
        <w:rPr>
          <w:rFonts w:hint="eastAsia" w:ascii="Times New Roman" w:hAnsi="Times New Roman" w:eastAsia="方正仿宋简体" w:cs="方正仿宋简体"/>
          <w:b w:val="0"/>
          <w:bCs w:val="0"/>
          <w:color w:val="000000"/>
          <w:kern w:val="2"/>
          <w:sz w:val="32"/>
          <w:szCs w:val="32"/>
          <w:rtl w:val="0"/>
          <w:lang w:val="en-US" w:eastAsia="zh-CN"/>
        </w:rPr>
        <w:t>优化省级科技创新发展资金配置，加大对生物医药领域技术攻关支持力度，每年实施不少于50项省级科技创新项目。建立多元化资金扶持体系，引导市场化、社会化资本加大对种子期、初创期科技企业的支持。探索开展“新药贷”等金融产品创新试点。发挥天使投资、创业投资基金、股权投资基金等基金和科技保险作用，吸引社会资本加大对生物医药产业的投入力度。（省科技厅牵头，省委金融办、省发展改革委、省财政厅按职责分工负责）</w:t>
      </w:r>
    </w:p>
    <w:p w14:paraId="377F1F0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（三）加强人才队伍建设。</w:t>
      </w:r>
      <w:r>
        <w:rPr>
          <w:rFonts w:hint="eastAsia" w:ascii="Times New Roman" w:hAnsi="Times New Roman" w:eastAsia="方正仿宋简体" w:cs="方正仿宋简体"/>
          <w:b w:val="0"/>
          <w:bCs w:val="0"/>
          <w:color w:val="000000"/>
          <w:kern w:val="2"/>
          <w:sz w:val="32"/>
          <w:szCs w:val="32"/>
          <w:rtl w:val="0"/>
          <w:lang w:val="en-US" w:eastAsia="zh-CN"/>
        </w:rPr>
        <w:t>优化临床研究人才评价指标，将主持或参与临床试验项目作为高水平医院医务人员职称评聘、职务晋升、绩效评价的重要依据。依托省级重点人才工程，培养生物医药领军人才和战略科学家，对符合条件的高层次人才，择优推荐各类人才计划。加快引进生物医药国际顶尖人才，按照“一事一议”方式给予个性化支持。推进生物医药领域高端专家智库建设。（省科技厅牵头，省人力资源社会保障厅、省卫生健康委按职责分工负责）</w:t>
      </w:r>
    </w:p>
    <w:p w14:paraId="61F5B5E3">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1B18EC9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683E40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AB91CD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343C3A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854867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7E121F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29FCE6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616B1B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9121D8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791E89D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val="en-US" w:eastAsia="zh-CN"/>
        </w:rPr>
      </w:pPr>
      <w:r>
        <w:rPr>
          <w:rFonts w:hint="eastAsia" w:ascii="Times New Roman" w:hAnsi="Times New Roman" w:eastAsia="方正小标宋简体" w:cs="方正小标宋简体"/>
          <w:kern w:val="2"/>
          <w:sz w:val="44"/>
          <w:szCs w:val="44"/>
          <w:lang w:val="en-US" w:eastAsia="zh-CN"/>
        </w:rPr>
        <w:t>山东省科学技术厅等8部门关于印发《山东省生物育种产业科技创新行动计划（2025—2027年）》的通知</w:t>
      </w:r>
    </w:p>
    <w:p w14:paraId="18986667">
      <w:pPr>
        <w:widowControl w:val="0"/>
        <w:bidi w:val="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各市人民政府，各县（市、区）人民政府，省政府各部门、各直属机构，各大企业，各高等院校：</w:t>
      </w:r>
    </w:p>
    <w:p w14:paraId="0F3BDA45">
      <w:pPr>
        <w:widowControl w:val="0"/>
        <w:bidi w:val="0"/>
        <w:jc w:val="both"/>
        <w:rPr>
          <w:rFonts w:hint="eastAsia" w:ascii="Times New Roman" w:hAnsi="Times New Roman" w:eastAsia="方正仿宋简体" w:cs="方正仿宋简体"/>
          <w:b w:val="0"/>
          <w:bCs w:val="0"/>
          <w:color w:val="000000"/>
          <w:kern w:val="2"/>
          <w:sz w:val="32"/>
          <w:szCs w:val="32"/>
          <w:lang w:eastAsia="zh-CN"/>
        </w:rPr>
      </w:pPr>
    </w:p>
    <w:p w14:paraId="26FC7103">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经省政府同意，现将《山东省生物育种产业科技创新行动计划（2025—2027年）》印发给你们，请结合实际认真贯彻落实。</w:t>
      </w:r>
    </w:p>
    <w:p w14:paraId="74A92550">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p>
    <w:p w14:paraId="7459791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3AF05EC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04EE215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5BC18FA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6371AA0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山东省自然资源厅</w:t>
      </w:r>
    </w:p>
    <w:p w14:paraId="3814E0B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山东省农业农村厅</w:t>
      </w:r>
    </w:p>
    <w:p w14:paraId="306EADB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山东省海洋局</w:t>
      </w:r>
    </w:p>
    <w:p w14:paraId="7038663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山东省畜牧兽医局</w:t>
      </w:r>
    </w:p>
    <w:p w14:paraId="0EE44A9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402630BC">
      <w:pPr>
        <w:widowControl w:val="0"/>
        <w:tabs>
          <w:tab w:val="left" w:pos="2348"/>
        </w:tabs>
        <w:bidi w:val="0"/>
        <w:jc w:val="right"/>
        <w:rPr>
          <w:rFonts w:hint="eastAsia" w:ascii="Times New Roman" w:hAnsi="Times New Roman" w:eastAsia="微软雅黑" w:cs="微软雅黑"/>
          <w:i w:val="0"/>
          <w:iCs w:val="0"/>
          <w:caps w:val="0"/>
          <w:color w:val="333333"/>
          <w:spacing w:val="0"/>
          <w:kern w:val="0"/>
          <w:sz w:val="19"/>
          <w:szCs w:val="19"/>
          <w:lang w:eastAsia="en-US"/>
        </w:rPr>
      </w:pPr>
      <w:r>
        <w:rPr>
          <w:rFonts w:hint="eastAsia" w:ascii="Times New Roman" w:hAnsi="Times New Roman" w:eastAsia="方正仿宋简体" w:cs="方正仿宋简体"/>
          <w:b w:val="0"/>
          <w:bCs w:val="0"/>
          <w:color w:val="000000"/>
          <w:kern w:val="2"/>
          <w:sz w:val="32"/>
          <w:szCs w:val="32"/>
          <w:lang w:eastAsia="zh-CN"/>
        </w:rPr>
        <w:t>2024年12月6日</w:t>
      </w:r>
    </w:p>
    <w:p w14:paraId="5394FF7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720211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山东省生物育种产业科技创新行动计划</w:t>
      </w:r>
    </w:p>
    <w:p w14:paraId="3ADF053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74AE220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为抢抓“生物育种4.0”战略机遇，加快提升全省生物育种科技创新能力，引领生物育种未来产业快速发展，特制定本行动计划。</w:t>
      </w:r>
    </w:p>
    <w:p w14:paraId="6F91F314">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3E6AE82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以推动生物育种科技创新和产业创新深度融合，建设种业科技强省为总目标，构建以前沿探索、关键核心技术攻关、创新应用为主体的生物育种产学研协同创新体系，努力打造世界生物育种前沿技术创新、国家种业关键应用技术集成、黄淮海区域重大新品种供给、育种领军企业集聚的创新高地，树立大农业观、大食物观，科技赋能粮食产能提升和农产品有效供给，推动全省生物育种高水平科技自立自强和农业现代化大产业发展。力争到2027年，全省生物育种综合创新能力显著提升，原创基础理论取得重大进展，突破一批生物育种“卡脖子”技术，创新集成生物技术（BT）、信息技术（IT）、智能技术（AT）的智能设计育种技术体系，培育一批市场竞争力强的重大动植物新品种（种质），构建以企业为主体、市场为导向、产学研协同、“育繁推一体化”的商业化育种模式，加快培育新质生产力，实现我省生物种业高质量发展。</w:t>
      </w:r>
    </w:p>
    <w:p w14:paraId="47E97EA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种质创新利用取得突破。精准鉴定评价粮经作物、家畜、水产等种质资源10000份以上，挖掘具有重要育种价值的关键基因70个以上，解析主要经济性状形成的遗传基础与调控机制，构建展现基因间相互作用关系的表达数据调控网络30个以上，创制综合性状优良的新种质（种群）100份以上。</w:t>
      </w:r>
    </w:p>
    <w:p w14:paraId="188A37D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育种技术水平显著提升。开发基于不同物种高通量表型精准鉴定、全基因组选择等技术7个以上，建立具有自主知识产权生物育种核心技术5个以上，开发生物技术、信息技术、智能技术融合的模型和平台5个以上。研发具有自主知识产权的小麦、玉米、大豆等智能作物育种装备3套以上，生物育种速度较传统育种提高2—3倍。</w:t>
      </w:r>
    </w:p>
    <w:p w14:paraId="2A0ED49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——重大品种创新实现跨越。取得转基因玉米、大豆生产应用安全证书7项以上，培育主要粮经蔬菜果品、家畜、水产等重大突破性新品种（系、配套系）30个以上。</w:t>
      </w:r>
    </w:p>
    <w:p w14:paraId="4279BC5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生物育种产业大幅跃升。培育国内领先的种业创新团队15个以上，引进生物育种关键领域高端人才10人以上。国家种业阵型、“育繁推一体化”种业企业创新能力显著增强，培育“育繁推一体化”种业企业2家。</w:t>
      </w:r>
    </w:p>
    <w:p w14:paraId="6C31D56F">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4F8F536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聚焦国家种业振兴战略部署和世界生物育种科技前沿，坚持农林牧渔并举，构建多元化食物供给体系，围绕产业链部署创新链，一体化推进生物育种重大基础理论创新、关键共性技术攻关、突破性新品种培育、科技成果转化等全产业链布局，组织实施五大行动，为培育种业新质生产力提供支撑和坚强保障。</w:t>
      </w:r>
    </w:p>
    <w:p w14:paraId="459BE885">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（一）实施种质资源保护利用行动</w:t>
      </w:r>
    </w:p>
    <w:p w14:paraId="0E0F604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1.种质资源精准鉴定与关键基因挖掘。</w:t>
      </w:r>
      <w:r>
        <w:rPr>
          <w:rFonts w:hint="eastAsia" w:ascii="Times New Roman" w:hAnsi="Times New Roman" w:eastAsia="方正仿宋简体" w:cs="方正仿宋简体"/>
          <w:b w:val="0"/>
          <w:bCs w:val="0"/>
          <w:color w:val="000000"/>
          <w:kern w:val="2"/>
          <w:sz w:val="32"/>
          <w:szCs w:val="32"/>
          <w:rtl w:val="0"/>
          <w:lang w:val="en-US" w:eastAsia="zh-CN"/>
        </w:rPr>
        <w:t>研发智能化、高通量、动态无损测量的种质资源表型鉴定技术及装备，建设一批营养、加工等性状测试平台，开发低成本、高通量基因分型技术，构建基因型—表型预测模型，发掘具有重要育种价值的关键基因，解析不同地理群体遗传与资源特征。</w:t>
      </w:r>
    </w:p>
    <w:p w14:paraId="1C0C11A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2.生物资源安全管理与引进利用。</w:t>
      </w:r>
      <w:r>
        <w:rPr>
          <w:rFonts w:hint="eastAsia" w:ascii="Times New Roman" w:hAnsi="Times New Roman" w:eastAsia="方正仿宋简体" w:cs="方正仿宋简体"/>
          <w:b w:val="0"/>
          <w:bCs w:val="0"/>
          <w:color w:val="000000"/>
          <w:kern w:val="2"/>
          <w:sz w:val="32"/>
          <w:szCs w:val="32"/>
          <w:rtl w:val="0"/>
          <w:lang w:val="en-US" w:eastAsia="zh-CN"/>
        </w:rPr>
        <w:t>加强种质资源的保存保护，保存粮经作物、家畜、水产等种质资源50000份以上，建设生物资源数据库，规范生物资源分级分类应用，研究生物安全预警技术，完善生物资源信息预警体系，保障全省生物资源安全和动态稳定。加强生物物种资源对外交流合作，支持种业企业引进优异种质资源，推进生物种质资源安全高效交流。</w:t>
      </w:r>
    </w:p>
    <w:p w14:paraId="3F196A5F">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（二）实施前沿技术引领创新行动</w:t>
      </w:r>
    </w:p>
    <w:p w14:paraId="3DFC4D3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1.基因编辑技术研发。</w:t>
      </w:r>
      <w:r>
        <w:rPr>
          <w:rFonts w:hint="eastAsia" w:ascii="Times New Roman" w:hAnsi="Times New Roman" w:eastAsia="方正仿宋简体" w:cs="方正仿宋简体"/>
          <w:b w:val="0"/>
          <w:bCs w:val="0"/>
          <w:color w:val="000000"/>
          <w:kern w:val="2"/>
          <w:sz w:val="32"/>
          <w:szCs w:val="32"/>
          <w:rtl w:val="0"/>
          <w:lang w:val="en-US" w:eastAsia="zh-CN"/>
        </w:rPr>
        <w:t>研发不受基因型和物种限制的高效植物遗传转化及多基因协同编辑新技术，开发具有自主知识产权的植物基因编辑系统。创新高效多位点编辑、精准基因替换等基因编辑技术，构建基于家畜原始生殖细胞、多能干细胞的新型编辑体系。研发不依赖于显微注射的新型外源大分子递送、编辑体高效筛选等基因编辑衍生新技术，构建水产高通量基因编辑技术体系。</w:t>
      </w:r>
    </w:p>
    <w:p w14:paraId="027ADAE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2.现代高效育种技术研发。</w:t>
      </w:r>
      <w:r>
        <w:rPr>
          <w:rFonts w:hint="eastAsia" w:ascii="Times New Roman" w:hAnsi="Times New Roman" w:eastAsia="方正仿宋简体" w:cs="方正仿宋简体"/>
          <w:b w:val="0"/>
          <w:bCs w:val="0"/>
          <w:color w:val="000000"/>
          <w:kern w:val="2"/>
          <w:sz w:val="32"/>
          <w:szCs w:val="32"/>
          <w:rtl w:val="0"/>
          <w:lang w:val="en-US" w:eastAsia="zh-CN"/>
        </w:rPr>
        <w:t>深入开展转基因、基因组选择等关键共性育种技术研发。开发新一代植物远缘杂交育种技术，创新植物杂种优势固定、双单倍体育种、植物从头驯化和再驯化新技术。研发家畜体细胞克隆、体外性控胚胎生产、性腺类器官、干细胞体外育种等技术。完善水产性别控制、倍性育种、表观调控育种等技术，建立现代高效育种技术。</w:t>
      </w:r>
    </w:p>
    <w:p w14:paraId="357C861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3.智能设计育种技术体系构建。</w:t>
      </w:r>
      <w:r>
        <w:rPr>
          <w:rFonts w:hint="eastAsia" w:ascii="Times New Roman" w:hAnsi="Times New Roman" w:eastAsia="方正仿宋简体" w:cs="方正仿宋简体"/>
          <w:b w:val="0"/>
          <w:bCs w:val="0"/>
          <w:color w:val="000000"/>
          <w:kern w:val="2"/>
          <w:sz w:val="32"/>
          <w:szCs w:val="32"/>
          <w:rtl w:val="0"/>
          <w:lang w:val="en-US" w:eastAsia="zh-CN"/>
        </w:rPr>
        <w:t>研发人工智能图像识别等算法和分子模块聚合育种，获取表型和环境大数据，融合基因和遗传组学大数据，通过对遗传变异、多组学、种质资源等数据的组合，开发基于特征表征、多模态融合的新算法和模型，在主要粮经作物、家畜、水产等重点领域建立BT—IT—AT融合的智能设计育种技术体系。</w:t>
      </w:r>
    </w:p>
    <w:p w14:paraId="63C87782">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（三）实施突破性新品种培育行动</w:t>
      </w:r>
    </w:p>
    <w:p w14:paraId="21696D2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1.粮经蔬菜果品新品种培育。</w:t>
      </w:r>
      <w:r>
        <w:rPr>
          <w:rFonts w:hint="eastAsia" w:ascii="Times New Roman" w:hAnsi="Times New Roman" w:eastAsia="方正仿宋简体" w:cs="方正仿宋简体"/>
          <w:b w:val="0"/>
          <w:bCs w:val="0"/>
          <w:color w:val="000000"/>
          <w:kern w:val="2"/>
          <w:sz w:val="32"/>
          <w:szCs w:val="32"/>
          <w:rtl w:val="0"/>
          <w:lang w:val="en-US" w:eastAsia="zh-CN"/>
        </w:rPr>
        <w:t>培育高产、优质、节水、抗逆、抗除草剂、绿色、高效、宜机械化粮经作物突破性新品种，重点培育高产优质小麦、耐密抗倒玉米、高产高油大豆、宜机收抗除草剂棉花、优质蔬菜、大果抗裂软籽石榴等新品种10个以上。</w:t>
      </w:r>
    </w:p>
    <w:p w14:paraId="316B54F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2.林草花卉新品种培育。</w:t>
      </w:r>
      <w:r>
        <w:rPr>
          <w:rFonts w:hint="eastAsia" w:ascii="Times New Roman" w:hAnsi="Times New Roman" w:eastAsia="方正仿宋简体" w:cs="方正仿宋简体"/>
          <w:b w:val="0"/>
          <w:bCs w:val="0"/>
          <w:color w:val="000000"/>
          <w:kern w:val="2"/>
          <w:sz w:val="32"/>
          <w:szCs w:val="32"/>
          <w:rtl w:val="0"/>
          <w:lang w:val="en-US" w:eastAsia="zh-CN"/>
        </w:rPr>
        <w:t>培育具有高产、优质、高抗林草花卉突破性新品种，重点培育高值高质花卉、速生用材林木、高抗生态林草等新品种6个以上。</w:t>
      </w:r>
    </w:p>
    <w:p w14:paraId="08A8D8C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3.家畜新品种（种质）培育。</w:t>
      </w:r>
      <w:r>
        <w:rPr>
          <w:rFonts w:hint="eastAsia" w:ascii="Times New Roman" w:hAnsi="Times New Roman" w:eastAsia="方正仿宋简体" w:cs="方正仿宋简体"/>
          <w:b w:val="0"/>
          <w:bCs w:val="0"/>
          <w:color w:val="000000"/>
          <w:kern w:val="2"/>
          <w:sz w:val="32"/>
          <w:szCs w:val="32"/>
          <w:rtl w:val="0"/>
          <w:lang w:val="en-US" w:eastAsia="zh-CN"/>
        </w:rPr>
        <w:t>培育快长、抗病、优质、高效家畜突破性新品种（种质），重点培育耐热高繁奶牛、快长高繁羊、抗病高繁高饲料利用率猪、德州驴等新品种（种质）4个以上。</w:t>
      </w:r>
    </w:p>
    <w:p w14:paraId="52C9AB4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4.水产新品种（种质）培育。</w:t>
      </w:r>
      <w:r>
        <w:rPr>
          <w:rFonts w:hint="eastAsia" w:ascii="Times New Roman" w:hAnsi="Times New Roman" w:eastAsia="方正仿宋简体" w:cs="方正仿宋简体"/>
          <w:b w:val="0"/>
          <w:bCs w:val="0"/>
          <w:color w:val="000000"/>
          <w:kern w:val="2"/>
          <w:sz w:val="32"/>
          <w:szCs w:val="32"/>
          <w:rtl w:val="0"/>
          <w:lang w:val="en-US" w:eastAsia="zh-CN"/>
        </w:rPr>
        <w:t>培育速生、多抗、广适、适合深远海和陆基工厂化养殖的水产突破性新品种（种质），重点培育抗病耐高温大西洋鲑、虹鳟、半滑舌鳎、石斑鱼，速生耐高温牡蛎、扇贝、鲍，高营养品质刺参等新品种（种质）10个以上。</w:t>
      </w:r>
    </w:p>
    <w:p w14:paraId="58B9C186">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（四）实施种业创新体系优化行动</w:t>
      </w:r>
    </w:p>
    <w:p w14:paraId="54DE6AD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1.生物种业创新平台体系建设。</w:t>
      </w:r>
      <w:r>
        <w:rPr>
          <w:rFonts w:hint="eastAsia" w:ascii="Times New Roman" w:hAnsi="Times New Roman" w:eastAsia="方正仿宋简体" w:cs="方正仿宋简体"/>
          <w:b w:val="0"/>
          <w:bCs w:val="0"/>
          <w:color w:val="000000"/>
          <w:kern w:val="2"/>
          <w:sz w:val="32"/>
          <w:szCs w:val="32"/>
          <w:rtl w:val="0"/>
          <w:lang w:val="en-US" w:eastAsia="zh-CN"/>
        </w:rPr>
        <w:t>高水平建设小麦育种全国重点实验室、海水养殖生物育种与可持续产出全国重点实验室、国家盐碱地综合利用创新中心等高能级创新平台，支持符合相关规定的育种企业牵头建设省重点实验室、技术创新中心等省级创新平台，打造国家级、省部级一体化的生物种业创新平台体系。</w:t>
      </w:r>
    </w:p>
    <w:p w14:paraId="30DA230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2.生物种业高端人才队伍引育。</w:t>
      </w:r>
      <w:r>
        <w:rPr>
          <w:rFonts w:hint="eastAsia" w:ascii="Times New Roman" w:hAnsi="Times New Roman" w:eastAsia="方正仿宋简体" w:cs="方正仿宋简体"/>
          <w:b w:val="0"/>
          <w:bCs w:val="0"/>
          <w:color w:val="000000"/>
          <w:kern w:val="2"/>
          <w:sz w:val="32"/>
          <w:szCs w:val="32"/>
          <w:rtl w:val="0"/>
          <w:lang w:val="en-US" w:eastAsia="zh-CN"/>
        </w:rPr>
        <w:t>坚持引育并举，通过“一事一议”、泰山系列人才等人才计划，重点引进基因编辑、人工智能、大数据分析、合成生物学等生物育种关键领域高端人才。强化双一流学科和相关团队建设，充分发挥高校、科研院所在人才培养中的作用，培育国内领先的种业创新团队15个以上，为生物育种产业创新发展培养拔尖创新人才。统筹好原始创新人才、高技能人才、应用型人才建设，鼓励企科深度合作，联合培养一批熟悉产业的博士、博士后人才。</w:t>
      </w:r>
    </w:p>
    <w:p w14:paraId="3AFFDC8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3.生物种业领域体制机制创新。</w:t>
      </w:r>
      <w:r>
        <w:rPr>
          <w:rFonts w:hint="eastAsia" w:ascii="Times New Roman" w:hAnsi="Times New Roman" w:eastAsia="方正仿宋简体" w:cs="方正仿宋简体"/>
          <w:b w:val="0"/>
          <w:bCs w:val="0"/>
          <w:color w:val="000000"/>
          <w:kern w:val="2"/>
          <w:sz w:val="32"/>
          <w:szCs w:val="32"/>
          <w:rtl w:val="0"/>
          <w:lang w:val="en-US" w:eastAsia="zh-CN"/>
        </w:rPr>
        <w:t>加强省级相关主管部门协商交流，统筹协调政策制定、计划组织实施等工作，强化总体设计，建立“技术突破、品种创制、市场模式、产业发展”全链条体系化种业创新机制，基础类、公益类项目由高校院所牵头，市场化程度高的项目由龙头企业牵头，打造产业整体竞争优势。依托山东科技大市场，加强供需对接、成果评估交易、融资路演和中介服务，完善生物育种技术转移服务体系，提高转化效率。</w:t>
      </w:r>
    </w:p>
    <w:p w14:paraId="59660367">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（五）实施种业产业提升行动</w:t>
      </w:r>
    </w:p>
    <w:p w14:paraId="360F907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1.领军企业培育。</w:t>
      </w:r>
      <w:r>
        <w:rPr>
          <w:rFonts w:hint="eastAsia" w:ascii="Times New Roman" w:hAnsi="Times New Roman" w:eastAsia="方正仿宋简体" w:cs="方正仿宋简体"/>
          <w:b w:val="0"/>
          <w:bCs w:val="0"/>
          <w:color w:val="000000"/>
          <w:kern w:val="2"/>
          <w:sz w:val="32"/>
          <w:szCs w:val="32"/>
          <w:rtl w:val="0"/>
          <w:lang w:val="en-US" w:eastAsia="zh-CN"/>
        </w:rPr>
        <w:t>重点扶持一批科技含量高、市场潜力大、产业带动能力强的生物育种科技领军企业，强化政策、人才、技术、资金等多方面支持，加大科技计划对育种领军企业的支持力度。鼓励企业加大研发投入，深化与高校、科研院所的合作，加快基因编辑、智能设计育种等前沿技术在育种领域的应用，促进科技成果落地。</w:t>
      </w:r>
    </w:p>
    <w:p w14:paraId="587B64E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2.产业集群打造。</w:t>
      </w:r>
      <w:r>
        <w:rPr>
          <w:rFonts w:hint="eastAsia" w:ascii="Times New Roman" w:hAnsi="Times New Roman" w:eastAsia="方正仿宋简体" w:cs="方正仿宋简体"/>
          <w:b w:val="0"/>
          <w:bCs w:val="0"/>
          <w:color w:val="000000"/>
          <w:kern w:val="2"/>
          <w:sz w:val="32"/>
          <w:szCs w:val="32"/>
          <w:rtl w:val="0"/>
          <w:lang w:val="en-US" w:eastAsia="zh-CN"/>
        </w:rPr>
        <w:t>立足地区资源禀赋和产业特色优势，鼓励从事生物育种研究、开发、生产和销售的企业、科研机构和相关服务机构，通过资源共享、技术协作和市场联动，优化资源配置，推动全省在济南、青岛、烟台等市布局作物、家畜、水产等育种产业集群创新发展。</w:t>
      </w:r>
    </w:p>
    <w:p w14:paraId="7FCF8B7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3.科技金融助力。</w:t>
      </w:r>
      <w:r>
        <w:rPr>
          <w:rFonts w:hint="eastAsia" w:ascii="Times New Roman" w:hAnsi="Times New Roman" w:eastAsia="方正仿宋简体" w:cs="方正仿宋简体"/>
          <w:b w:val="0"/>
          <w:bCs w:val="0"/>
          <w:color w:val="000000"/>
          <w:kern w:val="2"/>
          <w:sz w:val="32"/>
          <w:szCs w:val="32"/>
          <w:rtl w:val="0"/>
          <w:lang w:val="en-US" w:eastAsia="zh-CN"/>
        </w:rPr>
        <w:t>鼓励科技金融向科技型种业企业倾斜，加快形成以生物育种产业投资为重点的科技金融服务体系，优化科融信综合服务平台，综合采取贷款贴息、保费补贴、风险补偿等财政支持方式，鼓励金融机构丰富产品、优化服务，引导风险投资基金加大对种业科技创新投入力度，为生物育种企业提供融资便利。强化科技、财政、金融政策协同，通过“拨投贷”联动机制，引导金融、产业、社会资本参与生物育种技术创新与产业化落地。</w:t>
      </w:r>
    </w:p>
    <w:p w14:paraId="28D04651">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ab/>
      </w:r>
      <w:r>
        <w:rPr>
          <w:rFonts w:hint="eastAsia" w:ascii="Times New Roman" w:hAnsi="Times New Roman" w:eastAsia="方正黑体简体" w:cs="Times New Roman"/>
          <w:kern w:val="44"/>
          <w:sz w:val="32"/>
          <w:szCs w:val="24"/>
          <w:rtl w:val="0"/>
          <w:lang w:val="en-US" w:eastAsia="zh-CN" w:bidi="ar-SA"/>
        </w:rPr>
        <w:t>三、重点举措</w:t>
      </w:r>
    </w:p>
    <w:p w14:paraId="2D4128D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（一）加强组织协调。</w:t>
      </w:r>
      <w:r>
        <w:rPr>
          <w:rFonts w:hint="eastAsia" w:ascii="Times New Roman" w:hAnsi="Times New Roman" w:eastAsia="方正仿宋简体" w:cs="方正仿宋简体"/>
          <w:b w:val="0"/>
          <w:bCs w:val="0"/>
          <w:color w:val="000000"/>
          <w:kern w:val="2"/>
          <w:sz w:val="32"/>
          <w:szCs w:val="32"/>
          <w:rtl w:val="0"/>
          <w:lang w:val="en-US" w:eastAsia="zh-CN"/>
        </w:rPr>
        <w:t>在省委科技委领导下，加强生物育种科技创新，强化政策协同联动，发挥科技界、产业界、经济界专家作用，做好生物育种领域科技发展战略、重大任务、重大创新及产业化发展方向的布局。（牵头单位：省科技厅；配合单位：省教育厅、省财政厅、省自然资源厅、省农业农村厅、省海洋局、省畜牧局）</w:t>
      </w:r>
    </w:p>
    <w:p w14:paraId="7B74084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（二）统筹要素保障。</w:t>
      </w:r>
      <w:r>
        <w:rPr>
          <w:rFonts w:hint="eastAsia" w:ascii="Times New Roman" w:hAnsi="Times New Roman" w:eastAsia="方正仿宋简体" w:cs="方正仿宋简体"/>
          <w:b w:val="0"/>
          <w:bCs w:val="0"/>
          <w:color w:val="000000"/>
          <w:kern w:val="2"/>
          <w:sz w:val="32"/>
          <w:szCs w:val="32"/>
          <w:rtl w:val="0"/>
          <w:lang w:val="en-US" w:eastAsia="zh-CN"/>
        </w:rPr>
        <w:t>加强规划任务与科技资源配置的有效衔接，支持企业积极争取牵头承担国家重点研发计划育种有关项目。优化省级科技创新发展资金配置，布局生物育种产业领域科技示范工程，在省自然科学基金中设立生物育种前沿研究专项，省农业良种工程中加大对生物育种的支持力度。发挥现有创投基金作用，给予生物育种产业创新创业金融支持。强化生物育种产业建设发展用地、用海、用工等要素保障。（牵头单位：省科技厅；配合单位：省发展改革委、省财政厅、省自然资源厅、省农业农村厅、省海洋局）</w:t>
      </w:r>
    </w:p>
    <w:p w14:paraId="21A93F8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（三）强化政策支持。</w:t>
      </w:r>
      <w:r>
        <w:rPr>
          <w:rFonts w:hint="eastAsia" w:ascii="Times New Roman" w:hAnsi="Times New Roman" w:eastAsia="方正仿宋简体" w:cs="方正仿宋简体"/>
          <w:b w:val="0"/>
          <w:bCs w:val="0"/>
          <w:color w:val="000000"/>
          <w:kern w:val="2"/>
          <w:sz w:val="32"/>
          <w:szCs w:val="32"/>
          <w:rtl w:val="0"/>
          <w:lang w:val="en-US" w:eastAsia="zh-CN"/>
        </w:rPr>
        <w:t>聚焦生物育种产业发展，支持40周岁以下青年科技人才在重大项目中“挑大梁”“当主角”，形成老中青有机结合的人才队伍。从研发、市场、金融、组织机构等层面强化政策创新，重点加强生物安全、科技金融、成果转化、知识产权保护、人才引育等政策供给，建立完善生物育种产业政策体系。（牵头单位：省科技厅；配合单位：省教育厅、省财政厅、省农业农村厅）</w:t>
      </w:r>
    </w:p>
    <w:p w14:paraId="57C6AEE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48A48D7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B768AA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0D725E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16CBBE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49B0CC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6F68684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eastAsia="zh-CN"/>
        </w:rPr>
      </w:pPr>
      <w:r>
        <w:rPr>
          <w:rFonts w:hint="eastAsia" w:ascii="Times New Roman" w:hAnsi="Times New Roman" w:eastAsia="方正小标宋简体" w:cs="方正小标宋简体"/>
          <w:kern w:val="2"/>
          <w:sz w:val="44"/>
          <w:szCs w:val="44"/>
          <w:lang w:eastAsia="zh-CN"/>
        </w:rPr>
        <w:t>山东省科学技术厅等18部门关于印发《山东省人工智能产业科技创新行动计划（2025—2027年）》的通知</w:t>
      </w:r>
    </w:p>
    <w:p w14:paraId="51DCB8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各市人民政府，各县（市、区）人民政府，省政府各部门、各直属机构，各大企业，各高等院校：</w:t>
      </w:r>
    </w:p>
    <w:p w14:paraId="1DD409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p>
    <w:p w14:paraId="5B8997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经省政府同意，现将《山东省人工智能产业科技创新行动计划（2025—2027年）》印发给你们，请结合实际认真贯彻落实。</w:t>
      </w:r>
    </w:p>
    <w:p w14:paraId="7CF1DC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p>
    <w:p w14:paraId="7E73B58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66BD578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126F8C6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中共山东省委网络安全和信息化委员会办公室</w:t>
      </w:r>
    </w:p>
    <w:p w14:paraId="687B924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中共山东省委金融委员会办公室</w:t>
      </w:r>
    </w:p>
    <w:p w14:paraId="7CB880E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249F381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31F61303">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0E1E078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5213DFE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598D3A9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1839A6F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山东省卫生健康委员会</w:t>
      </w:r>
    </w:p>
    <w:p w14:paraId="6CE2434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山东省人民政府国有资产监督管理委员会</w:t>
      </w:r>
    </w:p>
    <w:p w14:paraId="50DC4F8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山东省市场监督管理局</w:t>
      </w:r>
    </w:p>
    <w:p w14:paraId="7165EFD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山东省大数据局</w:t>
      </w:r>
    </w:p>
    <w:p w14:paraId="2D23929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山东省海洋局</w:t>
      </w:r>
    </w:p>
    <w:p w14:paraId="59A36F3E">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山东省通信管理局</w:t>
      </w:r>
    </w:p>
    <w:p w14:paraId="51374C05">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中国人民银行山东省分行</w:t>
      </w:r>
    </w:p>
    <w:p w14:paraId="433E6D7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国家金融监督管理总局山东监管局</w:t>
      </w:r>
    </w:p>
    <w:p w14:paraId="7D613F4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67DD615E">
      <w:pPr>
        <w:widowControl w:val="0"/>
        <w:tabs>
          <w:tab w:val="left" w:pos="2348"/>
        </w:tabs>
        <w:bidi w:val="0"/>
        <w:jc w:val="right"/>
        <w:rPr>
          <w:rFonts w:hint="eastAsia" w:ascii="Times New Roman" w:hAnsi="Times New Roman" w:eastAsia="微软雅黑" w:cs="微软雅黑"/>
          <w:i w:val="0"/>
          <w:iCs w:val="0"/>
          <w:caps w:val="0"/>
          <w:color w:val="333333"/>
          <w:spacing w:val="0"/>
          <w:kern w:val="0"/>
          <w:sz w:val="19"/>
          <w:szCs w:val="19"/>
          <w:lang w:eastAsia="en-US"/>
        </w:rPr>
      </w:pPr>
      <w:r>
        <w:rPr>
          <w:rFonts w:hint="eastAsia" w:ascii="Times New Roman" w:hAnsi="Times New Roman" w:eastAsia="方正仿宋简体" w:cs="方正仿宋简体"/>
          <w:b w:val="0"/>
          <w:bCs w:val="0"/>
          <w:color w:val="000000"/>
          <w:kern w:val="2"/>
          <w:sz w:val="32"/>
          <w:szCs w:val="32"/>
          <w:lang w:eastAsia="zh-CN"/>
        </w:rPr>
        <w:t>2024年12月6日</w:t>
      </w:r>
    </w:p>
    <w:p w14:paraId="1A0647E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4241BC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山东省人工智能产业科技创新行动计划</w:t>
      </w:r>
    </w:p>
    <w:p w14:paraId="59E92B9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4D76186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为充分发挥科技创新对人工智能产业发展的引领支撑作用，加快培育新质生产力，特制定本行动计划。</w:t>
      </w:r>
    </w:p>
    <w:p w14:paraId="4287ED39">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4B1D071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瞄准人工智能前沿方向，以突破人工智能关键技术为核心，以拓展人工智能示范应用为路径，以推动人工智能与实体经济深度融合为主攻方向，全力构筑开放多元、安全持久的产业生态，打造全国新一代人工智能创新发展高地，促进全省新质生产力加快发展。力争到2027年，全省算力算法数据有效支撑，创新体系不断完善，场景赋能的广度和深度全面拓展。在基础理论、关键核心技术等方面取得10项以上原创性重大科技成果；全省算力规模达到14EFlops（每秒百亿亿次浮点运算），智能算力占比达到40%；打造具有国内竞争力的行业级大模型10个以上；培育20家人工智能领军企业；建成100家重大科技创新平台；新引育90名国家级、150名省级科技人才；打造500个左右全国领先的深度融合应用场景；打造一批细分领域产业集群，人工智能核心产业产值规模突破1000亿元，带动相关产业规模超万亿元，成为全国重要的人工智能科技创新与产业应用融合发展高地。</w:t>
      </w:r>
    </w:p>
    <w:p w14:paraId="4233C108">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7C0228E5">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（一）实施软硬协同“策源攀高”创新行动</w:t>
      </w:r>
    </w:p>
    <w:p w14:paraId="739E768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1.强化前沿基础研究和技术预见。</w:t>
      </w:r>
      <w:r>
        <w:rPr>
          <w:rFonts w:hint="eastAsia" w:ascii="Times New Roman" w:hAnsi="Times New Roman" w:eastAsia="方正仿宋简体" w:cs="方正仿宋简体"/>
          <w:b w:val="0"/>
          <w:bCs w:val="0"/>
          <w:color w:val="000000"/>
          <w:kern w:val="2"/>
          <w:sz w:val="32"/>
          <w:szCs w:val="32"/>
          <w:rtl w:val="0"/>
          <w:lang w:val="en-US" w:eastAsia="zh-CN"/>
        </w:rPr>
        <w:t>聚焦多模态智能、生成式智能、类脑智能、具身智能、群体智能等前沿基础理论，每年布局150项以上基础研究项目。充分发挥高校、实验室、基础科学研究中心等创新载体作用，加强学科优化与交叉融合，围绕下一代人工智能方法开展目标导向的有组织科研，力争突破一批原创性成果。（牵头单位：省科技厅，责任单位：省教育厅）</w:t>
      </w:r>
    </w:p>
    <w:p w14:paraId="78EE6EF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2.开展基础软件关键技术攻关。</w:t>
      </w:r>
      <w:r>
        <w:rPr>
          <w:rFonts w:hint="eastAsia" w:ascii="Times New Roman" w:hAnsi="Times New Roman" w:eastAsia="方正仿宋简体" w:cs="方正仿宋简体"/>
          <w:b w:val="0"/>
          <w:bCs w:val="0"/>
          <w:color w:val="000000"/>
          <w:kern w:val="2"/>
          <w:sz w:val="32"/>
          <w:szCs w:val="32"/>
          <w:rtl w:val="0"/>
          <w:lang w:val="en-US" w:eastAsia="zh-CN"/>
        </w:rPr>
        <w:t>实施人工智能基础软件扶持计划，重点围绕智能操作系统、智能云计算系统、智能物联网系统、高性能向量数据库、中间件、智能体等关键基础软件开展攻关，加强软件全栈技术创新。打造一批软硬件一体化产品方案，强化人工智能软件和硬件相互适配、性能优化和应用推广。（牵头单位：省科技厅，责任单位：省发展改革委、省工业和信息化厅）</w:t>
      </w:r>
    </w:p>
    <w:p w14:paraId="553D889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3.加强智能硬件创新布局。</w:t>
      </w:r>
      <w:r>
        <w:rPr>
          <w:rFonts w:hint="eastAsia" w:ascii="Times New Roman" w:hAnsi="Times New Roman" w:eastAsia="方正仿宋简体" w:cs="方正仿宋简体"/>
          <w:b w:val="0"/>
          <w:bCs w:val="0"/>
          <w:color w:val="000000"/>
          <w:kern w:val="2"/>
          <w:sz w:val="32"/>
          <w:szCs w:val="32"/>
          <w:rtl w:val="0"/>
          <w:lang w:val="en-US" w:eastAsia="zh-CN"/>
        </w:rPr>
        <w:t>实施智能硬件加速创新计划，采取“技术攻关+产业化应用”项目形式，培育若干具有牵引性重大产品。打造国产化智能服务器矩阵，突破智能加速架构、计算系统等关键技术，提升智能硬件国产化水平。打造具身智能机器人矩阵，推动大模型与机器人本体深度结合，研发具有商业价值的整机产品。打造全屋智能产品矩阵，开展大模型高比例压缩、多智能体算法等技术攻关，促进消费级智能硬件加速发展。支持AI芯片、智能传感器、智能无人机等高频应用产品研发，将符合条件的软硬适配产品纳入首台（套）支持范围。（牵头单位：省科技厅，责任单位：省发展改革委、省工业和信息化厅、省财政厅）</w:t>
      </w:r>
    </w:p>
    <w:p w14:paraId="4CB2613E">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（二）实施智能底座“‌夯基垒台”创新行动</w:t>
      </w:r>
    </w:p>
    <w:p w14:paraId="54E1D4A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1.提升算力资源统筹供给能力。</w:t>
      </w:r>
      <w:r>
        <w:rPr>
          <w:rFonts w:hint="eastAsia" w:ascii="Times New Roman" w:hAnsi="Times New Roman" w:eastAsia="方正仿宋简体" w:cs="方正仿宋简体"/>
          <w:b w:val="0"/>
          <w:bCs w:val="0"/>
          <w:color w:val="000000"/>
          <w:kern w:val="2"/>
          <w:sz w:val="32"/>
          <w:szCs w:val="32"/>
          <w:rtl w:val="0"/>
          <w:lang w:val="en-US" w:eastAsia="zh-CN"/>
        </w:rPr>
        <w:t>加大算网融合调度、算力跨域智能化等技术攻关，支持省内企事业单位建设运营超大规模混合算力海洋人工智能公共算力开放创新平台（筹）、山东算网平台等算力平台，增强企业内部算力统筹、调度和共享效能。支持重点地区开展智算中心集约化建设，通过“算力券”等开展普惠支持，降低算力使用成本。（牵头单位：省大数据局、省工业和信息化厅，责任单位：省发展改革委、省科技厅、省通信管理局）</w:t>
      </w:r>
    </w:p>
    <w:p w14:paraId="21FBABE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2.加快算法创新与应用。</w:t>
      </w:r>
      <w:r>
        <w:rPr>
          <w:rFonts w:hint="eastAsia" w:ascii="Times New Roman" w:hAnsi="Times New Roman" w:eastAsia="方正仿宋简体" w:cs="方正仿宋简体"/>
          <w:b w:val="0"/>
          <w:bCs w:val="0"/>
          <w:color w:val="000000"/>
          <w:kern w:val="2"/>
          <w:sz w:val="32"/>
          <w:szCs w:val="32"/>
          <w:rtl w:val="0"/>
          <w:lang w:val="en-US" w:eastAsia="zh-CN"/>
        </w:rPr>
        <w:t>鼓励企业建设算法创新基地、公共算法服务平台等，推动行业共性算法研发和供给，形成一批具有推广效应的算法产品和工具。举办人工智能算法大赛，聚焦关键算法与应用场景设计赛题，吸引全国优秀企业、团队参赛，以赛助研、引才、育产。到2027年，打造具有推广效应的100个算法产品。（牵头单位：省科技厅、省工业和信息化厅）</w:t>
      </w:r>
    </w:p>
    <w:p w14:paraId="7FC6E80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3.推动数据要素开放流通。</w:t>
      </w:r>
      <w:r>
        <w:rPr>
          <w:rFonts w:hint="eastAsia" w:ascii="Times New Roman" w:hAnsi="Times New Roman" w:eastAsia="方正仿宋简体" w:cs="方正仿宋简体"/>
          <w:b w:val="0"/>
          <w:bCs w:val="0"/>
          <w:color w:val="000000"/>
          <w:kern w:val="2"/>
          <w:sz w:val="32"/>
          <w:szCs w:val="32"/>
          <w:rtl w:val="0"/>
          <w:lang w:val="en-US" w:eastAsia="zh-CN"/>
        </w:rPr>
        <w:t>建强用好省公共数据开放平台，强化区块链、隐私计算等技术研究应用，推动公共数据“应开放尽开放”。加快建立数据确权、定价、交易等规则，开展数据资产登记、授权运营、流通交易等改革。加快培育数据商和第三方专业服务机构，提供数据采、存、洗、标、训等服务。在交通、海洋等领域率先打造高质量行业数据集，构建多模态中文语料数据库。（牵头单位：省大数据局，责任单位：省工业和信息化厅）</w:t>
      </w:r>
    </w:p>
    <w:p w14:paraId="44D627E3">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（三）实施大模型“扬帆领航”创新行动</w:t>
      </w:r>
    </w:p>
    <w:p w14:paraId="067B5D3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1.实施大模型创新扶持计划。</w:t>
      </w:r>
      <w:r>
        <w:rPr>
          <w:rFonts w:hint="eastAsia" w:ascii="Times New Roman" w:hAnsi="Times New Roman" w:eastAsia="方正仿宋简体" w:cs="方正仿宋简体"/>
          <w:b w:val="0"/>
          <w:bCs w:val="0"/>
          <w:color w:val="000000"/>
          <w:kern w:val="2"/>
          <w:sz w:val="32"/>
          <w:szCs w:val="32"/>
          <w:rtl w:val="0"/>
          <w:lang w:val="en-US" w:eastAsia="zh-CN"/>
        </w:rPr>
        <w:t>在省重点研发计划、省新旧动能转换重大产业攻关项目等中重点支持大模型创新，加强深度学习计算框架、大模型高效训练和推理加速等关键技术攻关，打造全链路自研大模型技术体系。（牵头单位：省发展改革委、省科技厅，责任单位：省工业和信息化厅）支持优势创新主体主导或参与大模型相关标准制订。（牵头单位：省市场监管局，责任单位：省科技厅、省工业和信息化厅）</w:t>
      </w:r>
    </w:p>
    <w:p w14:paraId="6561F01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2.实施大模型应用推进计划。</w:t>
      </w:r>
      <w:r>
        <w:rPr>
          <w:rFonts w:hint="eastAsia" w:ascii="Times New Roman" w:hAnsi="Times New Roman" w:eastAsia="方正仿宋简体" w:cs="方正仿宋简体"/>
          <w:b w:val="0"/>
          <w:bCs w:val="0"/>
          <w:color w:val="000000"/>
          <w:kern w:val="2"/>
          <w:sz w:val="32"/>
          <w:szCs w:val="32"/>
          <w:rtl w:val="0"/>
          <w:lang w:val="en-US" w:eastAsia="zh-CN"/>
        </w:rPr>
        <w:t>重点支持在智能制造、智慧政务、智慧家庭、智慧海洋等领域打造标杆性垂域大模型产品和服务。支持优势企业打造MaaS一站式服务，助力生态伙伴构建专属大模型及开发智能应用。（牵头单位：省发展改革委、省工业和信息化厅，责任单位：省科技厅）支持国有企事业单位采用经测试评估的大模型产品和服务。（牵头单位：省国资委）</w:t>
      </w:r>
    </w:p>
    <w:p w14:paraId="0E55A99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3.打造山东大模型试验场。</w:t>
      </w:r>
      <w:r>
        <w:rPr>
          <w:rFonts w:hint="eastAsia" w:ascii="Times New Roman" w:hAnsi="Times New Roman" w:eastAsia="方正仿宋简体" w:cs="方正仿宋简体"/>
          <w:b w:val="0"/>
          <w:bCs w:val="0"/>
          <w:color w:val="000000"/>
          <w:kern w:val="2"/>
          <w:sz w:val="32"/>
          <w:szCs w:val="32"/>
          <w:rtl w:val="0"/>
          <w:lang w:val="en-US" w:eastAsia="zh-CN"/>
        </w:rPr>
        <w:t>加强评测保障技术研究，重点对人工智能系统稳定、可解释性增强、安全可信等技术加强攻关，开发大模型评测工具集。（牵头单位：省科技厅）鼓励济南市、青岛市建设大模型评测开放服务平台，加速大模型技术优化与应用落地。鼓励第三方非营利机构开展模型评测算法研究，参与建立大模型评测标准。（牵头单位：省工业和信息化厅，责任单位：省发展改革委、省大数据局）</w:t>
      </w:r>
    </w:p>
    <w:p w14:paraId="4701630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仿宋简体" w:cs="方正仿宋简体"/>
          <w:b w:val="0"/>
          <w:bCs w:val="0"/>
          <w:color w:val="000000"/>
          <w:kern w:val="2"/>
          <w:sz w:val="32"/>
          <w:szCs w:val="32"/>
          <w:rtl w:val="0"/>
          <w:lang w:val="en-US" w:eastAsia="zh-CN" w:bidi="ar-SA"/>
        </w:rPr>
      </w:pPr>
      <w:r>
        <w:rPr>
          <w:rFonts w:hint="eastAsia" w:ascii="Times New Roman" w:hAnsi="Times New Roman" w:eastAsia="方正楷体简字" w:cs="Times New Roman"/>
          <w:b/>
          <w:sz w:val="32"/>
          <w:szCs w:val="24"/>
          <w:rtl w:val="0"/>
          <w:lang w:val="en-US" w:eastAsia="zh-CN" w:bidi="ar-SA"/>
        </w:rPr>
        <w:t>（四）实施企业主体“培优育强”创新行动</w:t>
      </w:r>
    </w:p>
    <w:p w14:paraId="32E384C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1.加强人工智能企业梯度培育。</w:t>
      </w:r>
      <w:r>
        <w:rPr>
          <w:rFonts w:hint="eastAsia" w:ascii="Times New Roman" w:hAnsi="Times New Roman" w:eastAsia="方正仿宋简体" w:cs="方正仿宋简体"/>
          <w:b w:val="0"/>
          <w:bCs w:val="0"/>
          <w:color w:val="000000"/>
          <w:kern w:val="2"/>
          <w:sz w:val="32"/>
          <w:szCs w:val="32"/>
          <w:rtl w:val="0"/>
          <w:lang w:val="en-US" w:eastAsia="zh-CN"/>
        </w:rPr>
        <w:t>建立人工智能“硬科技”企业库，推动中小企业扩量、提质、升级，打造领军企业方阵。对首次认定的高新技术企业、“瞪羚”企业、“独角兽”企业，按相关政策给予激励。加强人工智能领域科技企业孵化载体建设，到2027年，培育5家以上专业科技企业孵化器，孵化50家以上科技型企业。（牵头单位：省科技厅、省工业和信息化厅，责任单位：省发展改革委、省财政厅）</w:t>
      </w:r>
    </w:p>
    <w:p w14:paraId="4947E84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2.提升企业技术创新能力。</w:t>
      </w:r>
      <w:r>
        <w:rPr>
          <w:rFonts w:hint="eastAsia" w:ascii="Times New Roman" w:hAnsi="Times New Roman" w:eastAsia="方正仿宋简体" w:cs="方正仿宋简体"/>
          <w:b w:val="0"/>
          <w:bCs w:val="0"/>
          <w:color w:val="000000"/>
          <w:kern w:val="2"/>
          <w:sz w:val="32"/>
          <w:szCs w:val="32"/>
          <w:rtl w:val="0"/>
          <w:lang w:val="en-US" w:eastAsia="zh-CN"/>
        </w:rPr>
        <w:t>支持人工智能企业加大研发投入，每年实施一批人工智能领域科技型中小企业创新能力提升工程项目，支持中小企业加强产学研协同创新。滚动编制人工智能关键核心技术攻关清单，分批次布局人工智能领域重大科技攻关项目，支持企业牵头或参与重大创新任务。（牵头单位：省科技厅）</w:t>
      </w:r>
    </w:p>
    <w:p w14:paraId="2567D2DC">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（五）实施产业生态“能级跃升”创新行动</w:t>
      </w:r>
    </w:p>
    <w:p w14:paraId="05461FA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1.加强人工智能创新平台体系化建设。</w:t>
      </w:r>
      <w:r>
        <w:rPr>
          <w:rFonts w:hint="eastAsia" w:ascii="Times New Roman" w:hAnsi="Times New Roman" w:eastAsia="方正仿宋简体" w:cs="方正仿宋简体"/>
          <w:b w:val="0"/>
          <w:bCs w:val="0"/>
          <w:color w:val="000000"/>
          <w:kern w:val="2"/>
          <w:sz w:val="32"/>
          <w:szCs w:val="32"/>
          <w:rtl w:val="0"/>
          <w:lang w:val="en-US" w:eastAsia="zh-CN"/>
        </w:rPr>
        <w:t>加强基础计算架构、工业大脑国家新一代人工智能开放创新平台建设，支持大规模个性化定制系统与技术、高端服务器系统全国重点实验室加强底层技术攻关。支持骨干企业与高等院校加强合作，共建校地人工智能研究院。到2027年，争创1—2个国家级重大创新平台，建设2个校地人工智能研究院，布局1—2家省实验室、30家左右省重点实验室、20家左右省技术创新中心。（牵头单位：省科技厅、省工业和信息化厅，责任单位：省发展改革委、省教育厅）</w:t>
      </w:r>
    </w:p>
    <w:p w14:paraId="597A0CA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2.塑强人工智能全产业链。</w:t>
      </w:r>
      <w:r>
        <w:rPr>
          <w:rFonts w:hint="eastAsia" w:ascii="Times New Roman" w:hAnsi="Times New Roman" w:eastAsia="方正仿宋简体" w:cs="方正仿宋简体"/>
          <w:b w:val="0"/>
          <w:bCs w:val="0"/>
          <w:color w:val="000000"/>
          <w:kern w:val="2"/>
          <w:sz w:val="32"/>
          <w:szCs w:val="32"/>
          <w:rtl w:val="0"/>
          <w:lang w:val="en-US" w:eastAsia="zh-CN"/>
        </w:rPr>
        <w:t>支持济南、青岛等市打造创新生态区，鼓励优势单位建立行业级企业级“算力、算法、数据”融合调度平台，构建产业链闭环生态。加强全产业链“建强补延”力度，加大AI芯片、大模型、基础软件等产业项目招引力度，重点引进培育一批创新型企业总部及地区总部。（省发展改革委、省科技厅、省工业和信息化厅、省商务厅按职责分工负责）</w:t>
      </w:r>
    </w:p>
    <w:p w14:paraId="4B97BAF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3.加快建设人工智能未来产业园区。</w:t>
      </w:r>
      <w:r>
        <w:rPr>
          <w:rFonts w:hint="eastAsia" w:ascii="Times New Roman" w:hAnsi="Times New Roman" w:eastAsia="方正仿宋简体" w:cs="方正仿宋简体"/>
          <w:b w:val="0"/>
          <w:bCs w:val="0"/>
          <w:color w:val="000000"/>
          <w:kern w:val="2"/>
          <w:sz w:val="32"/>
          <w:szCs w:val="32"/>
          <w:rtl w:val="0"/>
          <w:lang w:val="en-US" w:eastAsia="zh-CN"/>
        </w:rPr>
        <w:t>高水平建设济南国家新一代人工智能创新发展试验区和济南—青岛人工智能创新应用先导区。依托高新区、大学科技园等，开展未来产业科技园区建设。加快重点产业园区建设，支持济南、青岛、烟台等市打造未来产业先导区，培育“细分产业+人工智能”集群。到2027年，培育3家左右人工智能产业科技园区。（省发展改革委、省科技厅、省工业和信息化厅按职责分工负责）</w:t>
      </w:r>
    </w:p>
    <w:p w14:paraId="48A4A66A">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（六）实施应用场景“牵引赋能”创新行动</w:t>
      </w:r>
    </w:p>
    <w:p w14:paraId="0B89F1B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1.强化人工智能场景源头供给。</w:t>
      </w:r>
      <w:r>
        <w:rPr>
          <w:rFonts w:hint="eastAsia" w:ascii="Times New Roman" w:hAnsi="Times New Roman" w:eastAsia="方正仿宋简体" w:cs="方正仿宋简体"/>
          <w:b w:val="0"/>
          <w:bCs w:val="0"/>
          <w:color w:val="000000"/>
          <w:kern w:val="2"/>
          <w:sz w:val="32"/>
          <w:szCs w:val="32"/>
          <w:rtl w:val="0"/>
          <w:lang w:val="en-US" w:eastAsia="zh-CN"/>
        </w:rPr>
        <w:t>推动政府治理、社会民生、产业升级等场景应开尽开。通过“百企百景”洽谈对接会等方式，建立常态化场景“机会与需求清单”滚动发布机制，定期推介优秀场景与产品，引领场景创新成果持续涌现。（牵头单位：省工业和信息化厅，责任单位：省发展改革委、省大数据局）</w:t>
      </w:r>
    </w:p>
    <w:p w14:paraId="5BE6BED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2.深入推动“人工智能+”场景应用。</w:t>
      </w:r>
      <w:r>
        <w:rPr>
          <w:rFonts w:hint="eastAsia" w:ascii="Times New Roman" w:hAnsi="Times New Roman" w:eastAsia="方正仿宋简体" w:cs="方正仿宋简体"/>
          <w:b w:val="0"/>
          <w:bCs w:val="0"/>
          <w:color w:val="000000"/>
          <w:kern w:val="2"/>
          <w:sz w:val="32"/>
          <w:szCs w:val="32"/>
          <w:rtl w:val="0"/>
          <w:lang w:val="en-US" w:eastAsia="zh-CN"/>
        </w:rPr>
        <w:t>以场景应用牵引人工智能技术创新，围绕工业制造、现代海洋、医疗健康等领域开展标杆场景工程，形成一批可复制与推广的人工智能典型应用场景。鼓励各市在重点领域先行先试，开展全域全时“人工智能+”场景应用。（牵头单位：省发展改革委、省工业和信息化厅，责任单位：省科技厅、省教育厅、省卫生健康委、省海洋局等）鼓励省属重点企业、单位率先培育标杆场景。（牵头单位：省国资委）</w:t>
      </w:r>
    </w:p>
    <w:p w14:paraId="2A2F59AF">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（七）实施资源要素“提质增效”创新行动</w:t>
      </w:r>
    </w:p>
    <w:p w14:paraId="2B4236C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1.打造人工智能人才高地。</w:t>
      </w:r>
      <w:r>
        <w:rPr>
          <w:rFonts w:hint="eastAsia" w:ascii="Times New Roman" w:hAnsi="Times New Roman" w:eastAsia="方正仿宋简体" w:cs="方正仿宋简体"/>
          <w:b w:val="0"/>
          <w:bCs w:val="0"/>
          <w:color w:val="000000"/>
          <w:kern w:val="2"/>
          <w:sz w:val="32"/>
          <w:szCs w:val="32"/>
          <w:rtl w:val="0"/>
          <w:lang w:val="en-US" w:eastAsia="zh-CN"/>
        </w:rPr>
        <w:t>深化“揭榜挂帅”核心技术攻关机制，精准引进集聚高层次人才团队开展定向攻关。加大力度引进人工智能领域海外高层次人才。持续优化泰山人才工程实施布局，加大对人工智能领域高层次人才遴选支持力度。扩大人工智能领域招生规模，深化工程硕博士培养改革试点，加大学科交叉和校企联合复合型人才培养。发挥企业引才用才主体作用，支持骨干企业设立博士后科研工作站，按规定组建人工智能专业职称评审委员会。（牵头单位：省委组织部，责任单位：省教育厅、省科技厅、省工业和信息化厅、省人力资源社会保障厅、省国资委）</w:t>
      </w:r>
    </w:p>
    <w:p w14:paraId="5DEE3C7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2.强化科技金融支撑保障。</w:t>
      </w:r>
      <w:r>
        <w:rPr>
          <w:rFonts w:hint="eastAsia" w:ascii="Times New Roman" w:hAnsi="Times New Roman" w:eastAsia="方正仿宋简体" w:cs="方正仿宋简体"/>
          <w:b w:val="0"/>
          <w:bCs w:val="0"/>
          <w:color w:val="000000"/>
          <w:kern w:val="2"/>
          <w:sz w:val="32"/>
          <w:szCs w:val="32"/>
          <w:rtl w:val="0"/>
          <w:lang w:val="en-US" w:eastAsia="zh-CN"/>
        </w:rPr>
        <w:t>优化科融信综合服务平台，综合采取贷款贴息、保费补贴、风险补偿等支持方式，鼓励金融机构丰富产品，为人工智能企业提供融资便利。强化科技、财政、金融政策协同，通过“拨投贷”联动机制，引导金融、产业、社会资本参与人工智能技术创新与产业化落地。（牵头单位：省科技厅、中国人民银行山东省分行，责任单位：省委金融办、省财政厅、山东金融监管局）</w:t>
      </w:r>
    </w:p>
    <w:p w14:paraId="4F4908C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3.促进科技创新成果转化。</w:t>
      </w:r>
      <w:r>
        <w:rPr>
          <w:rFonts w:hint="eastAsia" w:ascii="Times New Roman" w:hAnsi="Times New Roman" w:eastAsia="方正仿宋简体" w:cs="方正仿宋简体"/>
          <w:b w:val="0"/>
          <w:bCs w:val="0"/>
          <w:color w:val="000000"/>
          <w:kern w:val="2"/>
          <w:sz w:val="32"/>
          <w:szCs w:val="32"/>
          <w:rtl w:val="0"/>
          <w:lang w:val="en-US" w:eastAsia="zh-CN"/>
        </w:rPr>
        <w:t>发挥科技大市场供需对接作用，持续完善“山东好成果”遴选发布机制，畅通专利成果供需对接渠道，加速人工智能科技成果转化和产业化。面向具身智能等领域加强布局概念验证中心、中试基地，一体化推进重大成果产出、评价和运用转化。（牵头单位：省科技厅，责任单位：省市场监管局）</w:t>
      </w:r>
    </w:p>
    <w:p w14:paraId="19A893F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Times New Roman"/>
          <w:b/>
          <w:kern w:val="0"/>
          <w:sz w:val="32"/>
          <w:rtl w:val="0"/>
          <w:lang w:val="en-US" w:eastAsia="zh-CN"/>
        </w:rPr>
        <w:t>4.提升科技伦理治理能力水平。</w:t>
      </w:r>
      <w:r>
        <w:rPr>
          <w:rFonts w:hint="eastAsia" w:ascii="Times New Roman" w:hAnsi="Times New Roman" w:eastAsia="方正仿宋简体" w:cs="方正仿宋简体"/>
          <w:b w:val="0"/>
          <w:bCs w:val="0"/>
          <w:color w:val="000000"/>
          <w:kern w:val="2"/>
          <w:sz w:val="32"/>
          <w:szCs w:val="32"/>
          <w:rtl w:val="0"/>
          <w:lang w:val="en-US" w:eastAsia="zh-CN"/>
        </w:rPr>
        <w:t>加强人工智能科技伦理安全规范及社会治理实践研究，建立风险评估与管理机制，提升对人工智能领域相关科技活动的动态跟踪、风险评估和伦理事件应急处置能力。引导科技人员自觉遵守科研诚信和科技伦理规范，开展负责任的人工智能理论研究与技术创新。（牵头单位：省科技厅）</w:t>
      </w:r>
    </w:p>
    <w:p w14:paraId="77406D69">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三、重点举措</w:t>
      </w:r>
    </w:p>
    <w:p w14:paraId="77CFE56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（一）加强组织实施。</w:t>
      </w:r>
      <w:r>
        <w:rPr>
          <w:rFonts w:hint="eastAsia" w:ascii="Times New Roman" w:hAnsi="Times New Roman" w:eastAsia="方正仿宋简体" w:cs="方正仿宋简体"/>
          <w:b w:val="0"/>
          <w:bCs w:val="0"/>
          <w:color w:val="000000"/>
          <w:kern w:val="2"/>
          <w:sz w:val="32"/>
          <w:szCs w:val="32"/>
          <w:rtl w:val="0"/>
          <w:lang w:val="en-US" w:eastAsia="zh-CN"/>
        </w:rPr>
        <w:t>在省委科技委领导下，强化人工智能科技创新，加强与人工智能领域专项工作协同，统筹项目、平台、人才等创新资源，抓好行动计划具体实施。（牵头单位：省科技厅，责任单位：省委组织部、省发展改革委、省工业和信息化厅等）</w:t>
      </w:r>
    </w:p>
    <w:p w14:paraId="6B76F4F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（二）强化政策支持。</w:t>
      </w:r>
      <w:r>
        <w:rPr>
          <w:rFonts w:hint="eastAsia" w:ascii="Times New Roman" w:hAnsi="Times New Roman" w:eastAsia="方正仿宋简体" w:cs="方正仿宋简体"/>
          <w:b w:val="0"/>
          <w:bCs w:val="0"/>
          <w:color w:val="000000"/>
          <w:kern w:val="2"/>
          <w:sz w:val="32"/>
          <w:szCs w:val="32"/>
          <w:rtl w:val="0"/>
          <w:lang w:val="en-US" w:eastAsia="zh-CN"/>
        </w:rPr>
        <w:t>优化省级科技创新发展资金配置，加大对人工智能领域技术攻关的引导力度，每年实施不少于50项省级科技创新项目。设立人工智能方向产业基金，引导长期资本、耐心资本强化人工智能领域早期硬科技投资。（牵头单位：省科技厅、省财政厅，责任单位：省发展改革委）</w:t>
      </w:r>
    </w:p>
    <w:p w14:paraId="02EF695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（三）营造最好氛围。</w:t>
      </w:r>
      <w:r>
        <w:rPr>
          <w:rFonts w:hint="eastAsia" w:ascii="Times New Roman" w:hAnsi="Times New Roman" w:eastAsia="方正仿宋简体" w:cs="方正仿宋简体"/>
          <w:b w:val="0"/>
          <w:bCs w:val="0"/>
          <w:color w:val="000000"/>
          <w:kern w:val="2"/>
          <w:sz w:val="32"/>
          <w:szCs w:val="32"/>
          <w:rtl w:val="0"/>
          <w:lang w:val="en-US" w:eastAsia="zh-CN"/>
        </w:rPr>
        <w:t>通过科技活动周、全国科普日等活动，强化人工智能科普教育。高水平举办“创业齐鲁·共赢未来”高层次人才创业大赛、人工智能创新创业大赛等活动，深化科技交流合作，持续营造人工智能高质量发展的最好氛围。（牵头单位：省科技厅、省工业和信息化厅）</w:t>
      </w:r>
    </w:p>
    <w:p w14:paraId="5F6296C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（四）强化安全监管。</w:t>
      </w:r>
      <w:r>
        <w:rPr>
          <w:rFonts w:hint="eastAsia" w:ascii="Times New Roman" w:hAnsi="Times New Roman" w:eastAsia="方正仿宋简体" w:cs="方正仿宋简体"/>
          <w:b w:val="0"/>
          <w:bCs w:val="0"/>
          <w:color w:val="000000"/>
          <w:kern w:val="2"/>
          <w:sz w:val="32"/>
          <w:szCs w:val="32"/>
          <w:rtl w:val="0"/>
          <w:lang w:val="en-US" w:eastAsia="zh-CN"/>
        </w:rPr>
        <w:t>建立健全公开透明的人工智能监管体系，做好大模型产品服务与算法的登记备案、安全评估及潜在风险预测的审查，坚持安全可信和创新发展并重。引导人工智能相关企业和组织强化标准文件、技术规范和风险应对指南制定工作。（牵头单位：省委网信办）</w:t>
      </w:r>
    </w:p>
    <w:p w14:paraId="2D5EE0B5">
      <w:pPr>
        <w:widowControl/>
        <w:jc w:val="left"/>
        <w:rPr>
          <w:rFonts w:ascii="Times New Roman" w:hAnsi="Times New Roman" w:eastAsia="宋体" w:cs="Times New Roman"/>
          <w:kern w:val="0"/>
          <w:sz w:val="24"/>
          <w:lang w:eastAsia="en-US"/>
        </w:rPr>
      </w:pPr>
    </w:p>
    <w:p w14:paraId="1096F2BB">
      <w:pPr>
        <w:rPr>
          <w:rFonts w:hint="eastAsia" w:ascii="Times New Roman" w:hAnsi="Times New Roman" w:eastAsia="方正仿宋简体" w:cs="Times New Roman"/>
          <w:color w:val="000000"/>
          <w:sz w:val="32"/>
          <w:szCs w:val="32"/>
        </w:rPr>
      </w:pPr>
    </w:p>
    <w:p w14:paraId="2D7B40C8">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西安市人民政府办公厅关于</w:t>
      </w:r>
      <w:r>
        <w:rPr>
          <w:rFonts w:ascii="Times New Roman" w:hAnsi="Times New Roman" w:eastAsia="方正小标宋简体" w:cs="Times New Roman"/>
          <w:spacing w:val="15"/>
          <w:kern w:val="2"/>
          <w:sz w:val="44"/>
          <w:szCs w:val="28"/>
          <w:lang w:val="en-US" w:eastAsia="zh-CN" w:bidi="ar-SA"/>
          <w14:ligatures w14:val="standardContextual"/>
        </w:rPr>
        <w:br w:type="textWrapping"/>
      </w:r>
      <w:r>
        <w:rPr>
          <w:rFonts w:ascii="Times New Roman" w:hAnsi="Times New Roman" w:eastAsia="方正小标宋简体" w:cs="Times New Roman"/>
          <w:spacing w:val="15"/>
          <w:kern w:val="2"/>
          <w:sz w:val="44"/>
          <w:szCs w:val="28"/>
          <w:lang w:val="en-US" w:eastAsia="zh-CN" w:bidi="ar-SA"/>
          <w14:ligatures w14:val="standardContextual"/>
        </w:rPr>
        <w:t>印发培育打造XR产业链工作实施方案的通知</w:t>
      </w:r>
    </w:p>
    <w:p w14:paraId="0B95C4D5">
      <w:pPr>
        <w:spacing w:line="570" w:lineRule="exact"/>
        <w:ind w:firstLine="0" w:firstLineChars="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发布时间：2024-09-20 09:17 来源：市政府办公厅</w:t>
      </w:r>
    </w:p>
    <w:p w14:paraId="50241196">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各区、县人民政府，市人民政府各工作部门、各直属机构：</w:t>
      </w:r>
    </w:p>
    <w:p w14:paraId="7FB1BC8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《西安市培育打造XR产业链工作实施方案》已经市政府同意，现印发给你们，请认真贯彻执行。</w:t>
      </w:r>
    </w:p>
    <w:p w14:paraId="11583CD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西安市人民政府办公厅</w:t>
      </w:r>
    </w:p>
    <w:p w14:paraId="5F29B713">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2024年9月19日</w:t>
      </w:r>
    </w:p>
    <w:p w14:paraId="719FE3F2">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（此件公开发布）</w:t>
      </w:r>
    </w:p>
    <w:p w14:paraId="4F3FC93C">
      <w:pPr>
        <w:spacing w:line="570" w:lineRule="exact"/>
        <w:ind w:firstLine="640" w:firstLineChars="200"/>
        <w:rPr>
          <w:rFonts w:hint="eastAsia" w:ascii="Times New Roman" w:hAnsi="Times New Roman" w:eastAsia="方正仿宋简体" w:cs="Times New Roman"/>
          <w:sz w:val="32"/>
          <w:szCs w:val="22"/>
          <w14:ligatures w14:val="standardContextual"/>
        </w:rPr>
      </w:pPr>
    </w:p>
    <w:p w14:paraId="5EF74153">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西安市培育打造XR产业链工作</w:t>
      </w:r>
    </w:p>
    <w:p w14:paraId="0FF23978">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实施方案</w:t>
      </w:r>
    </w:p>
    <w:p w14:paraId="70248142">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为进一步推动我市XR产业发展、生态构建及产业技术创新，布局新赛道，培育新动能，结合西安实际，制定本实施方案。</w:t>
      </w:r>
    </w:p>
    <w:p w14:paraId="3853395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一、总体思路</w:t>
      </w:r>
    </w:p>
    <w:p w14:paraId="25ED83A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深入贯彻习近平总书记关于发展新质生产力的重要论述，充分发挥西安市文化、科技、人才等资源禀赋优势，以内容创作为核心，以XR技术为驱动，电影、文旅等行业为融合方向，探索研究行业标准，大力推动XR技术研发、硬件制造、软件配套、运维服务全产业链在西安聚集和发展。</w:t>
      </w:r>
    </w:p>
    <w:p w14:paraId="1D40C5E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二、工作举措</w:t>
      </w:r>
    </w:p>
    <w:p w14:paraId="3FD1D7F0">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坚持场景牵引、融合互促，着力构建“1+1+1+N”的XR产业发展体系，促进西安XR产业高质量发展。</w:t>
      </w:r>
    </w:p>
    <w:p w14:paraId="5A874B1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14:ligatures w14:val="standardContextual"/>
        </w:rPr>
      </w:pPr>
      <w:r>
        <w:rPr>
          <w:rFonts w:ascii="Times New Roman" w:hAnsi="Times New Roman" w:eastAsia="方正楷体简体" w:cs="Times New Roman"/>
          <w:b/>
          <w:kern w:val="2"/>
          <w:sz w:val="32"/>
          <w:szCs w:val="40"/>
          <w:lang w:val="en-US" w:eastAsia="zh-CN" w:bidi="ar-SA"/>
          <w14:ligatures w14:val="standardContextual"/>
        </w:rPr>
        <w:t>（一）建立一套机制和标准体系</w:t>
      </w:r>
    </w:p>
    <w:p w14:paraId="19EB9DF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成立西安市XR产业发展工作小组。积极争取国家和省上政策支持，整合各方资源，由市委宣传部牵头，会同西影集团、市文化旅游局、市工信局等相关部门，成立西安市XR产业发展工作小组，建立工作机制，对产业发展工作和各相关单位、企业实施科学有效的组织统筹。（责任单位：市委宣传部、西影集团、市文化旅游局、市文物局、市数据局、市工信局、市科技局、市投资局）</w:t>
      </w:r>
    </w:p>
    <w:p w14:paraId="63204AE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建立文化（文物）资源授权开放机制。完善相关法规和政策，建立文化（文物）资源内容授权开放机制，制定操作指引。选择2家代表性的文化（文物）单位进行授权开放试点，积累经验逐步推广。建设文化（文物）基础资源数据集，为XR数字化内容创作提供数据基础支撑。推动文化（文物）资源与创意设计、旅游、科技等领域的跨界合作，拓展授权开放的领域和方式。建立评估机制，对授权开放的项目进行评估，促使文化和文物资源得到合理、合法开放利用，实现文化价值与经济效益双赢。（责任单位：市文化旅游局、市文物局、市委宣传部、市数据局）</w:t>
      </w:r>
    </w:p>
    <w:p w14:paraId="48EE9CB8">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谋划制定XR内容生产相关标准。由西影集团牵头，联合行业内企业和机构，共同研究XR内容生产相关行业推荐性标准，促进精品内容创作，加强不同设备和内容之间兼容与互通，降低制作成本和推广难度。结合产业发展实践经验，积极为行业主管部门制定相关管理标准体系提供建议、试点区域及技术支持。（责任单位：西影集团、市委宣传部、市文化旅游局、市文物局、市数据局）</w:t>
      </w:r>
    </w:p>
    <w:p w14:paraId="7D38233C">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制定XR终端行业应用标准。结合行业应用，在显示、接口、传感器、交互、软件、性能与兼容性、用户体验等方面制定标准，满足不同行业对XR技术的特定需求。结合西安文化旅游、教育培训、工业制造等特色产业和应用场景，制定不同场景下XR模型架构和解决方案标准。加强编码传输标准的制定，推动虚拟现实内容的高效传输和播放，提高用户体验。（责任单位：市工信局、西影集团、市科技局、市文化旅游局）</w:t>
      </w:r>
    </w:p>
    <w:p w14:paraId="78BB839D">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14:ligatures w14:val="standardContextual"/>
        </w:rPr>
      </w:pPr>
      <w:r>
        <w:rPr>
          <w:rFonts w:ascii="Times New Roman" w:hAnsi="Times New Roman" w:eastAsia="方正楷体简体" w:cs="Times New Roman"/>
          <w:b/>
          <w:kern w:val="2"/>
          <w:sz w:val="32"/>
          <w:szCs w:val="40"/>
          <w:lang w:val="en-US" w:eastAsia="zh-CN" w:bidi="ar-SA"/>
          <w14:ligatures w14:val="standardContextual"/>
        </w:rPr>
        <w:t>（二）打造一个XR内容生产基地</w:t>
      </w:r>
    </w:p>
    <w:p w14:paraId="16ABC3D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由西影集团牵头，建成不小于10000平方米空间的“西安XR电影内容生产基地”，涵盖“动作捕捉棚”“产品测试棚”“新技术设备展示交流区”等XR专业设施配套，规划内容创作生产企业办公区，形成内容创作企业集聚地。引入2到3个顶级内容创作团队与西影集团成立合资公司，围绕新兴XR内容创作领域，吸引5到10家创业工作室、文化传播及市场营销团队（企业）在基地集聚。</w:t>
      </w:r>
    </w:p>
    <w:p w14:paraId="7797FA7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支持重点优势领域的内容创作。电影内容方面，支持在虚拟场景构建、剧情编写、交互设计、特效与动画、用户体验优化、文化与社会元素融合等环节进行高质量创作。文旅体验方面，支持在虚拟景点重现、自然景观模拟、文化故事讲述、历史人物互动、非遗技艺传承等方面开发多元化体验内容。展览展示方面，支持在内容主题策划、多媒体融合、展品数字化、社交互动元素等方面进行创新性开发与设计。（责任单位：西影集团、市委宣传部、市文化旅游局、市文物局）</w:t>
      </w:r>
    </w:p>
    <w:p w14:paraId="47B720B2">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加快内容产业公共服务平台建设。支持建设沉浸式内容共建共享平台，鼓励创作者经济，构建XR内容生态的运营体系。支持建设电影内容AI辅助创作平台，帮助创作者更高效地进行电影创作。支持建设文化（文物）数据资源汇聚开发平台，促进数据资源的保护与传承、开放和共享，构建数据授权和合作开发模式，推动数据跨领域融合创新。（责任单位：西影集团、市委宣传部、市数据局、市文化旅游局、市文物局）</w:t>
      </w:r>
    </w:p>
    <w:p w14:paraId="42CF509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打造一批高质量作品与项目。发挥西影电影领域优势，年内启动《汉阳孤军》《大话西游》《乾陵探秘——女皇武则天》等XR电影项目。探索XR科技赋能文旅产业，基于文博旅游场馆和文化旅游景区优质资源，打造《汉赋歌》《秦汉英雄传》《华山之巅》《千年浮屠——菩提长安》等XR互动性数字文化创新体验产品与应用场景。推广展览展示虚实融合创新体验，在艺术展和文化演绎融入立体化沉浸式体验、将文物展加入穿越式体验和数字化呈现、汽车展引入虚拟驾驶体验等。（责任单位：西影集团、市文化旅游局、市文物局、西咸新区管委会、临潼区政府）</w:t>
      </w:r>
    </w:p>
    <w:p w14:paraId="19D45BD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举办XR内容创作大赛。依托西影集团，举办基于XR技术的内容创作大赛，以电影内容创作为主，教育、娱乐、医疗、工业等领域为补充，推动XR技术在内容创作领域应用和发展，挖掘优秀的XR内容创作人才和作品，促进XR行业繁荣发展，力争将大赛打造成具有全国影响力的城市文化名片。（责任单位：西影集团、市文化旅游局、市教育局、市文物局、曲江新区管委会）</w:t>
      </w:r>
    </w:p>
    <w:p w14:paraId="0F0227B5">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14:ligatures w14:val="standardContextual"/>
        </w:rPr>
      </w:pPr>
      <w:r>
        <w:rPr>
          <w:rFonts w:ascii="Times New Roman" w:hAnsi="Times New Roman" w:eastAsia="方正楷体简体" w:cs="Times New Roman"/>
          <w:b/>
          <w:kern w:val="2"/>
          <w:sz w:val="32"/>
          <w:szCs w:val="40"/>
          <w:lang w:val="en-US" w:eastAsia="zh-CN" w:bidi="ar-SA"/>
          <w14:ligatures w14:val="standardContextual"/>
        </w:rPr>
        <w:t>（三）构建一个XR终端装备产业制造基地</w:t>
      </w:r>
    </w:p>
    <w:p w14:paraId="3D8CA00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以“一带一路”临港产业园、西安汇芯未来信息产业基地、陕西康佳丝路科技城、西安综合保税区标准厂房等为物理载体，在浐灞国际港打造总建筑面积约70万平方米的“一带一路”双向开放XR+AI装备产业制造基地，同时在临港先进制造业片区为XR装备制造产业项目匹配产业用地，推行供地“绿色通道”。</w:t>
      </w:r>
    </w:p>
    <w:p w14:paraId="562B8DA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打造XR终端产业集群。支持轻量化AR智能眼镜、高性能VR/MR头显等整机产品研发制造，聚集一批动作捕捉、体感交互设备等XR配套厂商，实现XR产品生产能力迅速提升。利用院线VR场景机会，支持院线VR终端产品的研发设计、生产制造的产业链聚集，牵引VR头显、背包式电脑、无线传输等企业落地生产研发基地，支持校企合作攻关近眼显示技术和下一代光学方案，解决头显核心痛点。开放文旅、导览、博物馆等规模化应用场景，利用AR+高质量作品推动消费级AR终端在不同行业、场景中大规模应用，加快AR+AI等技术融合，推动智能终端产品升级换代和新应用的涌现。（责任单位：浐灞国际港管委会、市投资局、市工信局、市科技局、市文化旅游局、市文物局）</w:t>
      </w:r>
    </w:p>
    <w:p w14:paraId="03D45F48">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完善产业链生态与配套。重点围绕智算中心、精密零部件（陀螺仪、加速计、磁力计、传感器、显示屏等）、基础服务设施（服务器、网络传输设备，SMT，整机组装、测试业务等）以及XR关键软件开发（操作系统、算法引擎、开发工具包、渲染优化等）进行布局。支持XR终端企业与上游核心硬件及软件供应商、下游应用内容开发和服务商加强合作，推动跨行业跨领域协同创新，促进产业上下游协同发展。（责任单位：浐灞国际港管委会、市投资局、市工信局、市科技局）</w:t>
      </w:r>
    </w:p>
    <w:p w14:paraId="72726EC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成立专业化XR产业运营公司。以运营为核心，产业落地为目的，探索成立专业化、市场化、平台化XR产业运营公司。作为政府发展XR产业的代表方，提出政策意见，做好场景统筹，牵引终端制造产业落地。开展XR多技术验证，为院线、文旅等场景提供定制产品。负责制定产业规划、行业标准，统筹产业配套资源，促进产业发展。（责任单位：浐灞国际港管委会、西影集团）</w:t>
      </w:r>
    </w:p>
    <w:p w14:paraId="25E3F1B0">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设立西安XR产业发展专项基金。由西安财金公司牵头，联合链主企业及社会资本，设立“西安XR产业发展专项基金”，并建立扶持孵化政策机制，以投早投小为原则，对优质企业和创业团队进行先期引导、给予资金扶持，引育一批行业优质企业。（责任单位：西安财金公司、浐灞国际港管委会、西影集团、市财政局、市数据局）</w:t>
      </w:r>
    </w:p>
    <w:p w14:paraId="4731DAF8">
      <w:pPr>
        <w:keepNext/>
        <w:keepLines/>
        <w:widowControl w:val="0"/>
        <w:spacing w:before="160" w:after="80" w:line="570" w:lineRule="exact"/>
        <w:ind w:firstLine="643" w:firstLineChars="200"/>
        <w:jc w:val="both"/>
        <w:outlineLvl w:val="1"/>
        <w:rPr>
          <w:rFonts w:ascii="Times New Roman" w:hAnsi="Times New Roman" w:eastAsia="方正楷体简体" w:cs="Times New Roman"/>
          <w:b/>
          <w:kern w:val="2"/>
          <w:sz w:val="32"/>
          <w:szCs w:val="40"/>
          <w:lang w:val="en-US" w:eastAsia="zh-CN" w:bidi="ar-SA"/>
          <w14:ligatures w14:val="standardContextual"/>
        </w:rPr>
      </w:pPr>
      <w:r>
        <w:rPr>
          <w:rFonts w:ascii="Times New Roman" w:hAnsi="Times New Roman" w:eastAsia="方正楷体简体" w:cs="Times New Roman"/>
          <w:b/>
          <w:kern w:val="2"/>
          <w:sz w:val="32"/>
          <w:szCs w:val="40"/>
          <w:lang w:val="en-US" w:eastAsia="zh-CN" w:bidi="ar-SA"/>
          <w14:ligatures w14:val="standardContextual"/>
        </w:rPr>
        <w:t>（四）构建“N”个领域应用与配套</w:t>
      </w:r>
    </w:p>
    <w:p w14:paraId="6100C2C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积极拓展多领域应用。将XR技术全面推广扩展至N个应用场景，加快推动在教育、工业、商业等领域创新发展。鼓励全市大中小学引入XR教学设备和资源，创建虚拟实验室、虚拟课堂和沉浸式教学内容。支持工业企业推动XR技术在质量检测、产品设计、模拟仿真等环节应用，加快企业数智化转型。在智慧家装、大型会展、时尚创意、外卖零售等商业领域，发展线上线下同步互动、有机融合的商贸活动体验新模式。（责任单位：市委宣传部、市教育局、市工信局、市商务局、市数据局）</w:t>
      </w:r>
    </w:p>
    <w:p w14:paraId="3829337F">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建设全国规模最大“XR影厅影院群”。围绕西安主要文化（文博、文物）场景，以大空间LBE为主，试点建设不少于50家不同类别、规格、形式的XR影厅，针对当地的文化特征定向开发主题XR电影，全面打造沉浸式XR电影体验之都，大幅增加XR硬件设备的需求量。同步建立“XR影院院线平台系统”，用于XR电影的宣传、销售及票房管理、数据统计等。（责任单位：西影集团、市委宣传部、市文化旅游局）</w:t>
      </w:r>
    </w:p>
    <w:p w14:paraId="54A400FB">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举办XR产业发展主题活动。常态化建立XR领域“一节一展一赛”活动机制。以第十一届丝路国际电影节西部电影周活动为契机，开展“2024西安国际XR电影周”活动，开展XR设备与产品展、XR内容作品展等系列展会，举办XR学术会议和XR内容及场景案例赛事活动，推动XR产业合作、项目落地，促进西安XR产业生态发展。（责任单位：西影集团、市文化旅游局、市文物局、市投资局、市数据局、曲江新区管委会、临潼区政府）</w:t>
      </w:r>
    </w:p>
    <w:p w14:paraId="5EE2401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强化XR人才支撑能力。聚焦领军人才、核心技术人才、创意人才和基层技术人才等方面，打造结构科学、层次清晰的人才梯队。鼓励高校开设XR专业课程，加强校企合作、产教融合，培养适应产业发展需求的技术人才。支持社会机构开展XR技术培训，制定人才标准和培养方案，完善人才培养体系。（责任单位：市人社局、市教育局、市科技局）</w:t>
      </w:r>
    </w:p>
    <w:p w14:paraId="1FD9C7F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三、预期成效</w:t>
      </w:r>
    </w:p>
    <w:p w14:paraId="659E0E4E">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到2026年，全市XR产业链条不断完善，数字内容生产能力不断加强，产业生态初步形成，引育一批具有核心竞争力的内容生产企业和终端制造企业，突破和转化一批关键技术，与相关产业深度融合，办好“一节一展一赛”活动，打造一批示范场景，XR产业成为我市数字经济发展全新增长点。</w:t>
      </w:r>
    </w:p>
    <w:p w14:paraId="07FDEE4B">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（一）XR内容制作能力不断增强。以西影集团XR内容产业基地为核心，全市年均开发XR相关内容作品50个以上，其中XR电影不少于10部。引入内容相关制作企业30家（含团队工作室），配套协作团队100家。</w:t>
      </w:r>
    </w:p>
    <w:p w14:paraId="506775B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二）XR终端产业规模不断壮大。全市招引1家VR头部企业落地生产研发基地，带动3家零部件企业协同发展。通过场景开放，吸引3家AR硬件终端研发、制造企业落地。推动消费级AR终端在不少于3个场景中大规模应用。</w:t>
      </w:r>
    </w:p>
    <w:p w14:paraId="28412CC0">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三）应用场景领域不断扩充。全市建成并运营50个以上不同规格、可复制可推广的XR标准影厅，并在全国大范围复制推广。每年文旅创新体验产品与应用场景5个以上、展览展示项目3个以上，拓展在AR博物馆、教育、医疗和工业等领域场景应用。选择2家具有代表性的文化（文物）单位进行内容资源授权开发试点。</w:t>
      </w:r>
    </w:p>
    <w:p w14:paraId="1488A78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四）技术创新水平不断提高。全市累计新增申请XR领域相关专利不少于50个，技术研发投入增长率超过20%，强化校企合作，围绕关键技术建立一个联合创新基地。依托“秦创原”等平台实现成果转化应用5个、成果转化企业3个，创新能力全面提升。</w:t>
      </w:r>
    </w:p>
    <w:p w14:paraId="2B80DE5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五）人才引育工作全面展开。开展XR培训60场，累计培训人数3000人以上，重点引育XR领域技术专家、企业领军人才及团队。通过校企合作、项目实践等方式，围绕内容创作、开发制作、硬件生产、技术研发等方面，建立XR教育培训体系，培养一批技术、产业和商业的跨界复合型人才。</w:t>
      </w:r>
    </w:p>
    <w:p w14:paraId="355A4E1F">
      <w:pPr>
        <w:widowControl/>
        <w:spacing w:line="240" w:lineRule="auto"/>
        <w:ind w:firstLine="0" w:firstLineChars="0"/>
        <w:jc w:val="left"/>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br w:type="page"/>
      </w:r>
    </w:p>
    <w:p w14:paraId="5F3A35E9">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陕西省农业农村厅 关于印发《陕西省省级农业产业化联合体认定管理工作规范》的通知</w:t>
      </w:r>
    </w:p>
    <w:p w14:paraId="2CA52BF9">
      <w:pPr>
        <w:spacing w:line="570" w:lineRule="exact"/>
        <w:ind w:firstLine="640" w:firstLineChars="200"/>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 陕农发〔2024〕87号 ）</w:t>
      </w:r>
    </w:p>
    <w:p w14:paraId="265E50F9">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各市（区）农业农村（畜牧兽医）局：</w:t>
      </w:r>
    </w:p>
    <w:p w14:paraId="55FF3B4C">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根据有关要求，我厅对2022年9月制定的《陕西省省级农业产业化联合体认定管理工作规范（试行）》（陕农发〔2022〕80号）进行了修订。现将修订后的文件印发给你们，请结合实际认真贯彻落实。</w:t>
      </w:r>
    </w:p>
    <w:p w14:paraId="03D99747">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“陕农发〔2022〕80号”文件同时废止。</w:t>
      </w:r>
    </w:p>
    <w:p w14:paraId="75DBFE7B">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（16-26〔2024〕10号）</w:t>
      </w:r>
    </w:p>
    <w:p w14:paraId="65498582">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陕西省农业农村厅</w:t>
      </w:r>
    </w:p>
    <w:p w14:paraId="7750464D">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2024年11月13日</w:t>
      </w:r>
    </w:p>
    <w:p w14:paraId="7F586354">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br w:type="textWrapping"/>
      </w:r>
    </w:p>
    <w:p w14:paraId="27772C6A">
      <w:pPr>
        <w:widowControl w:val="0"/>
        <w:spacing w:after="160" w:line="570" w:lineRule="exact"/>
        <w:ind w:firstLine="940" w:firstLineChars="200"/>
        <w:jc w:val="center"/>
        <w:rPr>
          <w:rFonts w:hint="eastAsia" w:ascii="Times New Roman" w:hAnsi="Times New Roman" w:eastAsia="方正小标宋简体" w:cs="Times New Roman"/>
          <w:spacing w:val="15"/>
          <w:kern w:val="2"/>
          <w:sz w:val="44"/>
          <w:szCs w:val="28"/>
          <w:lang w:val="en-US" w:eastAsia="zh-CN" w:bidi="ar-SA"/>
          <w14:ligatures w14:val="standardContextual"/>
        </w:rPr>
      </w:pPr>
      <w:r>
        <w:rPr>
          <w:rFonts w:hint="eastAsia" w:ascii="Times New Roman" w:hAnsi="Times New Roman" w:eastAsia="方正小标宋简体" w:cs="Times New Roman"/>
          <w:spacing w:val="15"/>
          <w:kern w:val="2"/>
          <w:sz w:val="44"/>
          <w:szCs w:val="28"/>
          <w:lang w:val="en-US" w:eastAsia="zh-CN" w:bidi="ar-SA"/>
          <w14:ligatures w14:val="standardContextual"/>
        </w:rPr>
        <w:t>陕西省省级农业产业化联合体</w:t>
      </w:r>
    </w:p>
    <w:p w14:paraId="3C955ED1">
      <w:pPr>
        <w:widowControl w:val="0"/>
        <w:spacing w:after="160" w:line="570" w:lineRule="exact"/>
        <w:ind w:firstLine="940" w:firstLineChars="200"/>
        <w:jc w:val="center"/>
        <w:rPr>
          <w:rFonts w:hint="eastAsia" w:ascii="Times New Roman" w:hAnsi="Times New Roman" w:eastAsia="方正小标宋简体" w:cs="Times New Roman"/>
          <w:spacing w:val="15"/>
          <w:kern w:val="2"/>
          <w:sz w:val="44"/>
          <w:szCs w:val="28"/>
          <w:lang w:val="en-US" w:eastAsia="zh-CN" w:bidi="ar-SA"/>
          <w14:ligatures w14:val="standardContextual"/>
        </w:rPr>
      </w:pPr>
      <w:r>
        <w:rPr>
          <w:rFonts w:hint="eastAsia" w:ascii="Times New Roman" w:hAnsi="Times New Roman" w:eastAsia="方正小标宋简体" w:cs="Times New Roman"/>
          <w:spacing w:val="15"/>
          <w:kern w:val="2"/>
          <w:sz w:val="44"/>
          <w:szCs w:val="28"/>
          <w:lang w:val="en-US" w:eastAsia="zh-CN" w:bidi="ar-SA"/>
          <w14:ligatures w14:val="standardContextual"/>
        </w:rPr>
        <w:t>认定管理工作规范</w:t>
      </w:r>
    </w:p>
    <w:p w14:paraId="73121CED">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第一章  总则</w:t>
      </w:r>
    </w:p>
    <w:p w14:paraId="49AE3322">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第一条  为了规范省级农业产业化联合体（以下简称省级联合体）认定和管理工作，发挥龙头企业示范带动作用，强化联农带农机制，推动农村一二三产业融合，提升农业产业化发展水平，根据我省实际，制定本规范。</w:t>
      </w:r>
    </w:p>
    <w:p w14:paraId="4AAC2867">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二条联合体是指以农业产业化龙头企业引领，农民合作社为纽带，家庭农场、种养大户为基础，农业社会化服务组织为支撑的一体化农业经营组织联盟,各经营主体自主经营，民主管理。联合体在成员构成、利益联结、要素链接、经营效益、带动农户等方面达到规定标准，经省农业农村厅依照本规范相关程序认定为省级联合体，并负责日常管理。</w:t>
      </w:r>
    </w:p>
    <w:p w14:paraId="464EAF1E">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第三条本规范适用于我省行政区域内省级联合体的申报、认定及管理工作。市、县两级农业农村部门会同本级财政部门强化监督指导，加快推动项目建设。</w:t>
      </w:r>
    </w:p>
    <w:p w14:paraId="7FA8DC8F">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第二章  认定标准</w:t>
      </w:r>
    </w:p>
    <w:p w14:paraId="09D28E7E">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第四条申报省级联合体应具备下列条件：</w:t>
      </w:r>
    </w:p>
    <w:p w14:paraId="5983D90B">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（一）申报主体。省级联合体原则上由在我省注册登记的省级以上农业产业化重点龙头企业牵头申报。</w:t>
      </w:r>
    </w:p>
    <w:p w14:paraId="603397F1">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（二）申报条件。申报省级联合体，原则上应当是市级农业产业化联合体。</w:t>
      </w:r>
    </w:p>
    <w:p w14:paraId="3913C7BE">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1.组织管理规范。联合体成立一年以上，由1个省级及以上农业产业化龙头企业牵头，关联3家以上农业企业（村集体经济组织、农民专业合作社）、5家以上家庭农场（种养大户、专业大户）（以下统称“家庭农场”）共同发起。联合体有统一规范的名称、固定的办公场所、健全的组织机构、完善的规章制度、成员共同制定的联合体章程，定期召开成员大会并记录会议内容，重大事项经理事会协商解决。</w:t>
      </w:r>
    </w:p>
    <w:p w14:paraId="0178E8C7">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2.合作机制健全。联合体内各成员之间以合同方式约定土地、资金、技术等要素的合作配置方式，约定基地建设、产品加工、市场流通建设等合作内容，明确利益共享机制和风险分担机制。有主导产业，且有围绕产业发展的联合体建设方案，成员之间通过专业化分工、多元化联合、紧密型衔接、标准化生产实现全产业链发展。</w:t>
      </w:r>
    </w:p>
    <w:p w14:paraId="7FC05D28">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3.经济效益明显。联合体成员总收入增加，联合体成员比非联合体成员生产总成本降低10%以上，产值比分散经营农户高10%以上，带动农户收入高于本县（市、区）同行业传统农户收入10%以上，实施种养绿色循环生产方式。</w:t>
      </w:r>
    </w:p>
    <w:p w14:paraId="44A5EEE4">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4.符合规模要求。省级联合体牵头企业年销售额关中地区一般应达到5000万元以上，陕南、陕北地区应达到4000万元以上；联合体销售收入应达到1.5亿元以上，牵头企业采购联合体内部成员所生产的农产品原料一般应占所需农产品原料的50%以上。</w:t>
      </w:r>
    </w:p>
    <w:p w14:paraId="164D8626">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5.社会效益突出。设有专门的技术研发和推广机构，科研和推广人员不少于10人。带动高素质农民认证和农业规模化经营比例逐年递增，全面推行标准化生产，示范带动农户共同发展（粮油等大宗农产品生产加工流通的联合体，成员农户的数量应达到500户以上；果蔬茶菌药小杂粮等特色农产品生产加工流通的联合体，成员农户的数量应达到200户以上；畜牧产品生产加工流通的联合体，成员农户的数量应达到100户以上；水产联合体带动农户的数量应达到50户以上），“两品一标”认证个数和面积逐年递增。</w:t>
      </w:r>
    </w:p>
    <w:p w14:paraId="1F355BD8">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6.关联农业企业在联合体主导产业上下游配套能力作用明显；农民专业合作社在承担联合体的供销、种养等专业化、社会化服务纽带作用明显；家庭农场已纳入名录系统管理，符合当地名录管理办法要求。</w:t>
      </w:r>
    </w:p>
    <w:p w14:paraId="20A20EC2">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第五条有下列情形之一的，不得申报省级联合体：</w:t>
      </w:r>
    </w:p>
    <w:p w14:paraId="0F252929">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1.联合体内部成员有被市场监管部门列入经营异常名录的；</w:t>
      </w:r>
    </w:p>
    <w:p w14:paraId="12A01CFA">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2.牵头龙头企业在国家级或省级龙头企业监测中出现异常或被取消资格的；</w:t>
      </w:r>
    </w:p>
    <w:p w14:paraId="44A64253">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3.有其他违反法律、法规、国家政策行为的或成员有涉黑、涉恶等行为的。</w:t>
      </w:r>
    </w:p>
    <w:p w14:paraId="505AAAE2">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第三章  认定</w:t>
      </w:r>
    </w:p>
    <w:p w14:paraId="2F01E9E9">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第六条认定程序</w:t>
      </w:r>
    </w:p>
    <w:p w14:paraId="06DD9892">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（一）申请。由牵头龙头企业向所在地县（市、区）农业农村部门提出申请，并提供申报材料（详见附件1、2）。</w:t>
      </w:r>
    </w:p>
    <w:p w14:paraId="61B87774">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（二）推荐。县(市、区)农业农村部门会同县级财政部门审核材料后向市级推荐，由市级农业农村部门会同市级财政部门实地考察审定后，向省农业农村厅联合行文报送推荐材料。</w:t>
      </w:r>
    </w:p>
    <w:p w14:paraId="65A2DC5B">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（三）认定。省农业农村厅组织相关业务处室及专家对推荐的联合体进行评审；也可经省农业农村厅委托，由市级农业农村部门会同市级财政部门审定后向省农业农村厅备案，经确认后予以公布。</w:t>
      </w:r>
    </w:p>
    <w:p w14:paraId="2E9EB7FB">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第四章  管理</w:t>
      </w:r>
    </w:p>
    <w:p w14:paraId="5054ABDD">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第七条省级联合体可悬挂统一式样的标识牌，标识牌由市级农业农村部门制发。经市级农业农村部门同意，也可由企业按照样式制作。</w:t>
      </w:r>
    </w:p>
    <w:p w14:paraId="4A1BE10D">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第八条省级联合体及成员依法依规享受政府出台的相关支持政策。</w:t>
      </w:r>
    </w:p>
    <w:p w14:paraId="5FAD690A">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第九条建立绩效评价制度，由省农业农村厅对上一年省级联合体扶持项目建设情况进行绩效评价，省财政厅适时开展重点绩效评价，评价结果将作为安排补助资金的重要参考。</w:t>
      </w:r>
    </w:p>
    <w:p w14:paraId="76B72641">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第十条对省级联合体实行动态管理（含已认定的省级农业产业化示范联合体），建立“有进有出”的竞争淘汰机制。省级联合体实行两年一次的监测评价管理。监测达不到认定条件、实施效果较差，整改后仍不达标的，取消称号、不得再悬挂标识牌。联合体监测按照本规范确定的认定标准及认定程序进行。</w:t>
      </w:r>
    </w:p>
    <w:p w14:paraId="4481331F">
      <w:pPr>
        <w:widowControl/>
        <w:spacing w:line="240" w:lineRule="auto"/>
        <w:ind w:firstLine="0" w:firstLineChars="0"/>
        <w:jc w:val="left"/>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br w:type="page"/>
      </w:r>
    </w:p>
    <w:p w14:paraId="03605B26">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陕西省农业农村厅关于印发《中央财政优势特色产业集群、农业产业强镇项目管理工作规范（试行）》的通知</w:t>
      </w:r>
    </w:p>
    <w:p w14:paraId="0C2F9261">
      <w:pPr>
        <w:spacing w:line="570" w:lineRule="exact"/>
        <w:ind w:firstLine="640" w:firstLineChars="200"/>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 陕农发〔2024〕62号 ）</w:t>
      </w:r>
    </w:p>
    <w:p w14:paraId="22CB2359">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各市（区）农业农村局，省农垦集团：</w:t>
      </w:r>
    </w:p>
    <w:p w14:paraId="0D72E735">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为进一步加强对中央财政优势特色产业集群、农业产业强镇项目管理，切实提高财政资金使用效益，引导和撬动更多资源要素向乡村汇聚，促进乡村产业全链条升级，提升乡村产业发展水平，我厅研究制定了《中央财政优势特色产业集群、农业产业强镇项目管理工作规范（试行）》，现印发你们，请认真贯彻执行。</w:t>
      </w:r>
    </w:p>
    <w:p w14:paraId="434E65B1">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（16-25〔2024〕8号）</w:t>
      </w:r>
    </w:p>
    <w:p w14:paraId="18F38117">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陕西省农业农村厅</w:t>
      </w:r>
    </w:p>
    <w:p w14:paraId="33B5F74F">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2024年9月2日</w:t>
      </w:r>
    </w:p>
    <w:p w14:paraId="482F2731">
      <w:pPr>
        <w:widowControl w:val="0"/>
        <w:spacing w:after="160" w:line="570" w:lineRule="exact"/>
        <w:ind w:firstLine="940" w:firstLineChars="200"/>
        <w:jc w:val="center"/>
        <w:rPr>
          <w:rFonts w:hint="eastAsia" w:ascii="Times New Roman" w:hAnsi="Times New Roman" w:eastAsia="方正小标宋简体" w:cs="Times New Roman"/>
          <w:spacing w:val="15"/>
          <w:kern w:val="2"/>
          <w:sz w:val="44"/>
          <w:szCs w:val="28"/>
          <w:lang w:val="en-US" w:eastAsia="zh-CN" w:bidi="ar-SA"/>
          <w14:ligatures w14:val="standardContextual"/>
        </w:rPr>
      </w:pPr>
      <w:r>
        <w:rPr>
          <w:rFonts w:hint="eastAsia" w:ascii="Times New Roman" w:hAnsi="Times New Roman" w:eastAsia="方正小标宋简体" w:cs="Times New Roman"/>
          <w:spacing w:val="15"/>
          <w:kern w:val="2"/>
          <w:sz w:val="44"/>
          <w:szCs w:val="28"/>
          <w:lang w:val="en-US" w:eastAsia="zh-CN" w:bidi="ar-SA"/>
          <w14:ligatures w14:val="standardContextual"/>
        </w:rPr>
        <w:t>中央财政优势特色产业集群、农业产业强镇项目管理工作规范</w:t>
      </w:r>
    </w:p>
    <w:p w14:paraId="441C6112">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（试行）</w:t>
      </w:r>
    </w:p>
    <w:p w14:paraId="745C1676">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第一章  总 则</w:t>
      </w:r>
    </w:p>
    <w:p w14:paraId="64383334">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第一条</w:t>
      </w:r>
      <w:r>
        <w:rPr>
          <w:rFonts w:hint="eastAsia" w:ascii="Times New Roman" w:hAnsi="Times New Roman" w:eastAsia="方正仿宋简体" w:cs="Times New Roman"/>
          <w:sz w:val="32"/>
          <w:szCs w:val="22"/>
          <w14:ligatures w14:val="standardContextual"/>
        </w:rPr>
        <w:t>为了加强对优势特色产业集群、农业产业强镇（以下分别简称“产业集群”、“产业强镇”）项目管理，提高财政资金使用效益，根据《关于印发农业相关转移支付资金管理办法的通知》（财农〔2023〕11号）、《农业农村部办公厅财政部办公厅关于开展优势特色产业集群建设的通知》（农办计财〔2020〕7号）、《农业农村部办公厅财政部办公厅关于做好2020年农业产业强镇建设工作的通知》（农办计财〔2020〕5号）等有关精神，制定本规范。</w:t>
      </w:r>
    </w:p>
    <w:p w14:paraId="5D40369A">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第二条</w:t>
      </w:r>
      <w:r>
        <w:rPr>
          <w:rFonts w:hint="eastAsia" w:ascii="Times New Roman" w:hAnsi="Times New Roman" w:eastAsia="方正仿宋简体" w:cs="Times New Roman"/>
          <w:sz w:val="32"/>
          <w:szCs w:val="22"/>
          <w14:ligatures w14:val="standardContextual"/>
        </w:rPr>
        <w:t>本规范适用于农业农村部、财政部批复的产业集群、产业强镇项目全过程管理，包括储备申报、建设管理、调整变更、竣工验收、绩效评价等。</w:t>
      </w:r>
    </w:p>
    <w:p w14:paraId="722FCA58">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第三条</w:t>
      </w:r>
      <w:r>
        <w:rPr>
          <w:rFonts w:hint="eastAsia" w:ascii="Times New Roman" w:hAnsi="Times New Roman" w:eastAsia="方正仿宋简体" w:cs="Times New Roman"/>
          <w:sz w:val="32"/>
          <w:szCs w:val="22"/>
          <w14:ligatures w14:val="standardContextual"/>
        </w:rPr>
        <w:t>项目建设实行属地管理责任制。产业集群项目由省负总责，市县抓落实。产业强镇项目由省级牵头抓总，市（区）督促指导，县（市、区）组织实施，乡（镇、农场）具体落实。</w:t>
      </w:r>
    </w:p>
    <w:p w14:paraId="044ED465">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省级负责组织项目遴选申报，编制产业集群省级建设方案，下达项目任务和中央财政资金，组织实施、业务指导和监督管理等工作。</w:t>
      </w:r>
    </w:p>
    <w:p w14:paraId="6CE1C9E1">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相关市（区）负责组织辖区内项目申报、实施管理，开展项目建设事前评估，及时下达中央财政资金，做好项目调度检查、调整变更、验收抽查、绩效评价等工作。</w:t>
      </w:r>
    </w:p>
    <w:p w14:paraId="61FC821C">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相关县（市、区）成立由县人民政府主要领导担任组长的县级产业集群、产业强镇工作领导小组，负责组织实施产业集群、产业强镇项目。做好项目储备、申报以及部级备案后正式立项、组织实施、调整变更、竣工验收、资金拨付、绩效评价等工作，对项目建设进度和质量、中央财政资金支付合规性直接负责。</w:t>
      </w:r>
    </w:p>
    <w:p w14:paraId="278B8A6F">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相关乡（镇、农场）成立由镇人民政府主要领导担任组长的产业强镇工作推进小组，负责具体项目建设实施。</w:t>
      </w:r>
    </w:p>
    <w:p w14:paraId="5077AC5B">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第四条</w:t>
      </w:r>
      <w:r>
        <w:rPr>
          <w:rFonts w:hint="eastAsia" w:ascii="Times New Roman" w:hAnsi="Times New Roman" w:eastAsia="方正仿宋简体" w:cs="Times New Roman"/>
          <w:sz w:val="32"/>
          <w:szCs w:val="22"/>
          <w14:ligatures w14:val="standardContextual"/>
        </w:rPr>
        <w:t>资金分配、使用和管理须严格按照中央财政农业产业发展资金相关管理规定执行。各级农业农村部门要会同有关部门做好本地预算执行和绩效目标管理、绩效监控和评价等工作。</w:t>
      </w:r>
    </w:p>
    <w:p w14:paraId="01B114E7">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第二章  储备申报</w:t>
      </w:r>
    </w:p>
    <w:p w14:paraId="7351BF94">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第五条 </w:t>
      </w:r>
      <w:r>
        <w:rPr>
          <w:rFonts w:hint="eastAsia" w:ascii="Times New Roman" w:hAnsi="Times New Roman" w:eastAsia="方正仿宋简体" w:cs="Times New Roman"/>
          <w:sz w:val="32"/>
          <w:szCs w:val="22"/>
          <w14:ligatures w14:val="standardContextual"/>
        </w:rPr>
        <w:t> 各市县须建立产业集群和产业强镇项目储备库，在符合法律法规和相关政策的前提下，优先支持项目用地已有保障、投资体量大、带动产业发展效果好的项目入库。其中，产业集群建设工作由省级统筹规划，确定主导产业、建设思路、功能布局、建设目标等，各市县须根据省级有关要求开展项目储备。储备库可根据实际情况进行动态调整。</w:t>
      </w:r>
    </w:p>
    <w:p w14:paraId="72B7838A">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第六条</w:t>
      </w:r>
      <w:r>
        <w:rPr>
          <w:rFonts w:hint="eastAsia" w:ascii="Times New Roman" w:hAnsi="Times New Roman" w:eastAsia="方正仿宋简体" w:cs="Times New Roman"/>
          <w:sz w:val="32"/>
          <w:szCs w:val="22"/>
          <w14:ligatures w14:val="standardContextual"/>
        </w:rPr>
        <w:t>省农业农村厅牵头，会同省财政厅根据当年农业农村部、财政部产业集群、产业强镇项目建设要求，按职责分工，开展项目申报遴选，组织专家对建设方案、拟建设项目进行论证评审，经省农业农村厅会议集体研究决定并报经省人民政府同意后，推荐上报农业农村部、财政部。产业集群项目的年度续建方案，在省级建设方案基础上，按照“大稳定、小调整”的原则，结合上一年度项目实施情况进行编制。</w:t>
      </w:r>
    </w:p>
    <w:p w14:paraId="6FB9FC46">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第七条</w:t>
      </w:r>
      <w:r>
        <w:rPr>
          <w:rFonts w:hint="eastAsia" w:ascii="Times New Roman" w:hAnsi="Times New Roman" w:eastAsia="方正仿宋简体" w:cs="Times New Roman"/>
          <w:sz w:val="32"/>
          <w:szCs w:val="22"/>
          <w14:ligatures w14:val="standardContextual"/>
        </w:rPr>
        <w:t>各市县拟申报项目原则上应从储备库中遴选确定。申报项目时，以县（市、区）为单位统筹编制建设方案，由县级人民政府行文上报，经市（区）农业农村局、财政局审核同意后联合行文报省农业农村厅、省财政厅。市县两级应做好项目建设事前评估，对项目建设必要性、可行性，建设主体项目承载能力，配套资金，用地环评关键前置条件落实情况等进行充分评估。</w:t>
      </w:r>
    </w:p>
    <w:p w14:paraId="5964CCF0">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第八条</w:t>
      </w:r>
      <w:r>
        <w:rPr>
          <w:rFonts w:hint="eastAsia" w:ascii="Times New Roman" w:hAnsi="Times New Roman" w:eastAsia="方正仿宋简体" w:cs="Times New Roman"/>
          <w:sz w:val="32"/>
          <w:szCs w:val="22"/>
          <w14:ligatures w14:val="standardContextual"/>
        </w:rPr>
        <w:t>省农业农村厅、省财政厅根据农业农村部、财政部审查意见，指导项目市县修改完善建设方案，按要求上报农业农村部、财政部备案。</w:t>
      </w:r>
    </w:p>
    <w:p w14:paraId="47DC0985">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第九条</w:t>
      </w:r>
      <w:r>
        <w:rPr>
          <w:rFonts w:hint="eastAsia" w:ascii="Times New Roman" w:hAnsi="Times New Roman" w:eastAsia="方正仿宋简体" w:cs="Times New Roman"/>
          <w:sz w:val="32"/>
          <w:szCs w:val="22"/>
          <w14:ligatures w14:val="standardContextual"/>
        </w:rPr>
        <w:t>建设方案经农业农村部、财政部同意备案后，应对建设主体、建设内容、项目金额等事项予以公示。其中，产业集群项目在省农业农村厅官网及县（市、区）人民政府官网公示，产业强镇项目在县（市、区）人民政府官网公示，一般公示期不少于3个工作日。公示结束后，省农业农村厅印发产业集群、产业强镇年度建设方案至有关市（区）、县（市、区）执行。</w:t>
      </w:r>
    </w:p>
    <w:p w14:paraId="1D1D5A02">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第三章  建设管理</w:t>
      </w:r>
    </w:p>
    <w:p w14:paraId="1C1CB971">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第十条</w:t>
      </w:r>
      <w:r>
        <w:rPr>
          <w:rFonts w:hint="eastAsia" w:ascii="Times New Roman" w:hAnsi="Times New Roman" w:eastAsia="方正仿宋简体" w:cs="Times New Roman"/>
          <w:sz w:val="32"/>
          <w:szCs w:val="22"/>
          <w14:ligatures w14:val="standardContextual"/>
        </w:rPr>
        <w:t>省农业农村厅开展政策宣贯和建设培训，明确建设要求，指导开展建设。对项目市县两级农业农村部门开展培训、强化指导、加大督促，确保建设工作有序推进。</w:t>
      </w:r>
    </w:p>
    <w:p w14:paraId="67F2D07E">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第十一条</w:t>
      </w:r>
      <w:r>
        <w:rPr>
          <w:rFonts w:hint="eastAsia" w:ascii="Times New Roman" w:hAnsi="Times New Roman" w:eastAsia="方正仿宋简体" w:cs="Times New Roman"/>
          <w:sz w:val="32"/>
          <w:szCs w:val="22"/>
          <w14:ligatures w14:val="standardContextual"/>
        </w:rPr>
        <w:t>市级农业农村部门应定期组织开展项目实施情况调研监督，对辖区内在建产业集群、产业强镇项目每年至少组织开展一次全面检查，并组织定期抽查，确保每个项目每年至少检查一次。市级农业农村部门可与财政部门、审计部门或纪检部门开展联合检查。省农业农村厅将联合省财政厅不定期开展项目抽查检查。</w:t>
      </w:r>
    </w:p>
    <w:p w14:paraId="06F17112">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第十二条</w:t>
      </w:r>
      <w:r>
        <w:rPr>
          <w:rFonts w:hint="eastAsia" w:ascii="Times New Roman" w:hAnsi="Times New Roman" w:eastAsia="方正仿宋简体" w:cs="Times New Roman"/>
          <w:sz w:val="32"/>
          <w:szCs w:val="22"/>
          <w14:ligatures w14:val="standardContextual"/>
        </w:rPr>
        <w:t>相关县（市、区）按照程序对建设项目立项审批，细化具体项目实施方案，明确项目基本情况、项目单位基本情况、项目建设条件、建设内容、建设地点、技术方案、设备方案、进度安排、投资估算及资金筹措以及中央财政资金的支持方式、支持范围、绩效目标等，并按照相应程序做好实施过程中有关事项的公示工作。</w:t>
      </w:r>
    </w:p>
    <w:p w14:paraId="4E93319C">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第十三条</w:t>
      </w:r>
      <w:r>
        <w:rPr>
          <w:rFonts w:hint="eastAsia" w:ascii="Times New Roman" w:hAnsi="Times New Roman" w:eastAsia="方正仿宋简体" w:cs="Times New Roman"/>
          <w:sz w:val="32"/>
          <w:szCs w:val="22"/>
          <w14:ligatures w14:val="standardContextual"/>
        </w:rPr>
        <w:t>  每个季度最后一个月20日前各地应完成填报农业农村部转移支付管理平台及产业集群项目建设管理信息系统。每年11月30日前市级农业农村部门报送项目建设总结报告，全面总结做法，分析研究问题，提出意见建议。</w:t>
      </w:r>
    </w:p>
    <w:p w14:paraId="77627C46">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第十四条</w:t>
      </w:r>
      <w:r>
        <w:rPr>
          <w:rFonts w:hint="eastAsia" w:ascii="Times New Roman" w:hAnsi="Times New Roman" w:eastAsia="方正仿宋简体" w:cs="Times New Roman"/>
          <w:sz w:val="32"/>
          <w:szCs w:val="22"/>
          <w14:ligatures w14:val="standardContextual"/>
        </w:rPr>
        <w:t>对项目建设进度和中央财政资金使用进度严重滞后、建设内容和实施主体随意调整变更、绩效目标严重偏离的县（市、区），省农业农村厅以约谈、通报、督办等方式进行督导，提出限期整改要求。对限期内仍未整改到位的，根据问题性质情况，省农业农村厅商省财政厅收回已安排中央财政资金；同时，将整改情况作为下一年度项目和资金安排的重要参考依据。</w:t>
      </w:r>
    </w:p>
    <w:p w14:paraId="22BE0BF5">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第十五条</w:t>
      </w:r>
      <w:r>
        <w:rPr>
          <w:rFonts w:hint="eastAsia" w:ascii="Times New Roman" w:hAnsi="Times New Roman" w:eastAsia="方正仿宋简体" w:cs="Times New Roman"/>
          <w:sz w:val="32"/>
          <w:szCs w:val="22"/>
          <w14:ligatures w14:val="standardContextual"/>
        </w:rPr>
        <w:t>建立健全项目廉政风险防控机制，各级农业农村部门作为项目建设承担主体责任单位，要严格遵守有关规章制度，严格落实项目管理要求，增强廉政风险防控意识。加强重点岗位人员培训和管理，各级农业农村部门项目负责人应签订廉政风险防控责任书，报上一级农业农村部门备案。各级农业农村部门应根据实际情况，综合运用报纸杂志、广播电视、互联网等方式，开展项目公告宣传，并设立监督电话，切实保障经营主体和群众的知情权、监督权。</w:t>
      </w:r>
    </w:p>
    <w:p w14:paraId="09C46FEF">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第十六条</w:t>
      </w:r>
      <w:r>
        <w:rPr>
          <w:rFonts w:hint="eastAsia" w:ascii="Times New Roman" w:hAnsi="Times New Roman" w:eastAsia="方正仿宋简体" w:cs="Times New Roman"/>
          <w:sz w:val="32"/>
          <w:szCs w:val="22"/>
          <w14:ligatures w14:val="standardContextual"/>
        </w:rPr>
        <w:t>各级农业农村部门及其工作人员在资金分配、项目审核等工作中存在违法违规问题的，资金使用单位和个人存在虚报冒领、骗取套取、挤占挪用项目资金，以及其他违法或违反本规范规定行为的，依法依规追究相应单位和个人责任。对出现违法违规的项目，将依法依规取消后续资金安排，暂停相关县（市、区）项目申报资格。</w:t>
      </w:r>
    </w:p>
    <w:p w14:paraId="743498C2">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第十七条</w:t>
      </w:r>
      <w:r>
        <w:rPr>
          <w:rFonts w:hint="eastAsia" w:ascii="Times New Roman" w:hAnsi="Times New Roman" w:eastAsia="方正仿宋简体" w:cs="Times New Roman"/>
          <w:sz w:val="32"/>
          <w:szCs w:val="22"/>
          <w14:ligatures w14:val="standardContextual"/>
        </w:rPr>
        <w:t>各地要对项目建设建档立册，及时整理归档项目储备申报、公示、建设、验收、资金支付、绩效评价等全过程资料（须包含项目工作总结、绩效评价报告、验收表、验收实施主体照片或视频等），确保档案完整、规范、可查。建档立册资料以能实际反映项目建设全过程规范化管理为标准，更注重实际工作过程自然产生的工作内容，不得过分留痕、刻意留痕，增加工作负担。</w:t>
      </w:r>
    </w:p>
    <w:p w14:paraId="4C05CE4E">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第四章 资金使用</w:t>
      </w:r>
    </w:p>
    <w:p w14:paraId="6B4D373E">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第十八条</w:t>
      </w:r>
      <w:r>
        <w:rPr>
          <w:rFonts w:hint="eastAsia" w:ascii="Times New Roman" w:hAnsi="Times New Roman" w:eastAsia="方正仿宋简体" w:cs="Times New Roman"/>
          <w:sz w:val="32"/>
          <w:szCs w:val="22"/>
          <w14:ligatures w14:val="standardContextual"/>
        </w:rPr>
        <w:t>相关县（市、区）农业农村部门应会同财政部门制定产业集群、产业强镇专项资金使用规定（方案），确定资金补助方向、补助方式、补助比例、建设主体、发票要求、项目验收要求、资金支付等相关内容。</w:t>
      </w:r>
    </w:p>
    <w:p w14:paraId="2FD0BA96">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第十九条</w:t>
      </w:r>
      <w:r>
        <w:rPr>
          <w:rFonts w:hint="eastAsia" w:ascii="Times New Roman" w:hAnsi="Times New Roman" w:eastAsia="方正仿宋简体" w:cs="Times New Roman"/>
          <w:sz w:val="32"/>
          <w:szCs w:val="22"/>
          <w14:ligatures w14:val="standardContextual"/>
        </w:rPr>
        <w:t>各市县可采取直接补助、先建后补、以奖代补、资产折股量化、贷款贴息等方式支持项目建设，结合实际创新资金投入和使用方式，引导和撬动社会资本、金融资本等多元化资金投入。中央财政资金对企业的投入原则上要带动三倍及以上的社会资本投入。</w:t>
      </w:r>
    </w:p>
    <w:p w14:paraId="0457B366">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第二十条</w:t>
      </w:r>
      <w:r>
        <w:rPr>
          <w:rFonts w:hint="eastAsia" w:ascii="Times New Roman" w:hAnsi="Times New Roman" w:eastAsia="方正仿宋简体" w:cs="Times New Roman"/>
          <w:sz w:val="32"/>
          <w:szCs w:val="22"/>
          <w14:ligatures w14:val="standardContextual"/>
        </w:rPr>
        <w:t>项目建设过程中，要坚决防止耕地“非粮化”、“非农化”问题。中央资金使用不得“垒大户”或搞平均分配“撒胡椒面”；不得用于建设楼堂馆所、市政道路、农村公路；不得用于一般性支出、列支管理费和项目咨询、论证评审费；不得用于培训、展销（营销）会等一次性不易评价的支出；不得用于购买种子以及农药、化肥、农膜、饲料等一次性使用的生产资料；不得用于发展休闲农业；不得与已有普惠性政策渠道支持的建设内容，如农机购置补贴、农产品可追溯体系、农田建设等有交叉重复。</w:t>
      </w:r>
    </w:p>
    <w:p w14:paraId="17FB6153">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第五章 调整变更</w:t>
      </w:r>
    </w:p>
    <w:p w14:paraId="73C75AD0">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第二十一条</w:t>
      </w:r>
      <w:r>
        <w:rPr>
          <w:rFonts w:hint="eastAsia" w:ascii="Times New Roman" w:hAnsi="Times New Roman" w:eastAsia="方正仿宋简体" w:cs="Times New Roman"/>
          <w:sz w:val="32"/>
          <w:szCs w:val="22"/>
          <w14:ligatures w14:val="standardContextual"/>
        </w:rPr>
        <w:t>已通过部级备案的建设方案不可随意调整变更。确因不可抗力、建设主体客观条件发生变化等原因需要变更的，应履行变更审批程序。变更内容未涉及中央财政资金的，经县级人民政府研究审批、报市级农业农村部门备案后实施；变更内容涉及中央财政资金的，按照权限分级审批后实施。</w:t>
      </w:r>
    </w:p>
    <w:p w14:paraId="00F2E109">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第二十二条</w:t>
      </w:r>
      <w:r>
        <w:rPr>
          <w:rFonts w:hint="eastAsia" w:ascii="Times New Roman" w:hAnsi="Times New Roman" w:eastAsia="方正仿宋简体" w:cs="Times New Roman"/>
          <w:sz w:val="32"/>
          <w:szCs w:val="22"/>
          <w14:ligatures w14:val="standardContextual"/>
        </w:rPr>
        <w:t>项目建设内容、建设主体和建设地点等变更，单体项目中央财政资金在200万元（含）以下的，由县级人民政府研究调整方案，报市级农业农村部门审批，并报省农业农村厅备案后实施。单体项目中央财政资金在200万元以上的，由县级人民政府研究调整方案，经市级农业农村部门核查同意后报省农业农村厅，由省农业农村厅审批同意后实施。</w:t>
      </w:r>
    </w:p>
    <w:p w14:paraId="2FE46149">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第二十三条</w:t>
      </w:r>
      <w:r>
        <w:rPr>
          <w:rFonts w:hint="eastAsia" w:ascii="Times New Roman" w:hAnsi="Times New Roman" w:eastAsia="方正仿宋简体" w:cs="Times New Roman"/>
          <w:sz w:val="32"/>
          <w:szCs w:val="22"/>
          <w14:ligatures w14:val="standardContextual"/>
        </w:rPr>
        <w:t>项目调整变更申请文件应同时附报关于项目调整变更原因的说明材料、项目调整变更后的实施方案、集体研究的会议纪要、项目调整变更涉及实施主体等利益相关方的承诺函（项目调出方承诺放弃项目的承诺函，调入方承诺实施项目、足额投入自筹资金的承诺函）等。</w:t>
      </w:r>
    </w:p>
    <w:p w14:paraId="55E6012B">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第二十四条</w:t>
      </w:r>
      <w:r>
        <w:rPr>
          <w:rFonts w:hint="eastAsia" w:ascii="Times New Roman" w:hAnsi="Times New Roman" w:eastAsia="方正仿宋简体" w:cs="Times New Roman"/>
          <w:sz w:val="32"/>
          <w:szCs w:val="22"/>
          <w14:ligatures w14:val="standardContextual"/>
        </w:rPr>
        <w:t>项目建设主体根据自身需求、市场变化等情况，在建设地点、建设方向、主要建设内容不变以及总投资不减少的前提下，个别设备发生变化或个别工程量发生变动的，可以由项目建设主体提出书面申请，报县级人民政府审核同意，报市级农业农村部门备案后实施。</w:t>
      </w:r>
    </w:p>
    <w:p w14:paraId="2C203995">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第二十五条</w:t>
      </w:r>
      <w:r>
        <w:rPr>
          <w:rFonts w:hint="eastAsia" w:ascii="Times New Roman" w:hAnsi="Times New Roman" w:eastAsia="方正仿宋简体" w:cs="Times New Roman"/>
          <w:sz w:val="32"/>
          <w:szCs w:val="22"/>
          <w14:ligatures w14:val="standardContextual"/>
        </w:rPr>
        <w:t>项目建设过程中确需进行调整变更的，调整变更后的项目建设期限，可从县级提交调整变更申请文件之日起计算。项目建设内容、建设地点、资金使用方向等均没有调整变更，仅调整变更建设主体的（即该具体项目整体调整变更为另一主体建设），调整变更前已完成的建设内容，可以视同调整变更后建设主体的相应建设内容。</w:t>
      </w:r>
    </w:p>
    <w:p w14:paraId="78054BFC">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第六章  竣工验收</w:t>
      </w:r>
    </w:p>
    <w:p w14:paraId="60138E8C">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第二十六条</w:t>
      </w:r>
      <w:r>
        <w:rPr>
          <w:rFonts w:hint="eastAsia" w:ascii="Times New Roman" w:hAnsi="Times New Roman" w:eastAsia="方正仿宋简体" w:cs="Times New Roman"/>
          <w:sz w:val="32"/>
          <w:szCs w:val="22"/>
          <w14:ligatures w14:val="standardContextual"/>
        </w:rPr>
        <w:t> 竣工验收由建设主体提出申请。涉及中央财政资金的项目应完成专项审计，出具审计报告，原则上由县级审计部门或经县级审计部门公布认可的第三方专业机构开展。</w:t>
      </w:r>
    </w:p>
    <w:p w14:paraId="6B4B5316">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第二十七条</w:t>
      </w:r>
      <w:r>
        <w:rPr>
          <w:rFonts w:hint="eastAsia" w:ascii="Times New Roman" w:hAnsi="Times New Roman" w:eastAsia="方正仿宋简体" w:cs="Times New Roman"/>
          <w:sz w:val="32"/>
          <w:szCs w:val="22"/>
          <w14:ligatures w14:val="standardContextual"/>
        </w:rPr>
        <w:t>竣工验收工作由县级农业农村部门组织实施，财政部门按职责分工做好配合。在确保中央财政资金安全的前提下，可采取中期验收、按进度拨付中央财政资金等方式，加快推进项目建设进度和资金执行进度。市级、省级对竣工验收项目进行抽查，市级抽查比例不低于50%、省级抽查比例不低于20%。</w:t>
      </w:r>
    </w:p>
    <w:p w14:paraId="4D13D3DF">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第二十八条</w:t>
      </w:r>
      <w:r>
        <w:rPr>
          <w:rFonts w:hint="eastAsia" w:ascii="Times New Roman" w:hAnsi="Times New Roman" w:eastAsia="方正仿宋简体" w:cs="Times New Roman"/>
          <w:sz w:val="32"/>
          <w:szCs w:val="22"/>
          <w14:ligatures w14:val="standardContextual"/>
        </w:rPr>
        <w:t>县级农业农村部门应当会同相关部门，成立专门的项目验收组，按照验收规范开展现场验收，出具验收意见，对验收结果负责。原则上县级验收组至少有5名相对固定成员组成，包含组长1名、行政人员1名、技术专家和财务审计人员至少3名。有条件的地方可委托第三方机构参与验收。</w:t>
      </w:r>
    </w:p>
    <w:p w14:paraId="1326A4FB">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第二十九条</w:t>
      </w:r>
      <w:r>
        <w:rPr>
          <w:rFonts w:hint="eastAsia" w:ascii="Times New Roman" w:hAnsi="Times New Roman" w:eastAsia="方正仿宋简体" w:cs="Times New Roman"/>
          <w:sz w:val="32"/>
          <w:szCs w:val="22"/>
          <w14:ligatures w14:val="standardContextual"/>
        </w:rPr>
        <w:t>验收合格后，应及时足额拨付中央财政资金。验收不合格的项目，应当通知建设主体限期整改，并组织再次验收，验收仍不合格的，取消其补助资格。</w:t>
      </w:r>
    </w:p>
    <w:p w14:paraId="4DE8C495">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第七章  绩效评价</w:t>
      </w:r>
    </w:p>
    <w:p w14:paraId="3E063EF8">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第三十条</w:t>
      </w:r>
      <w:r>
        <w:rPr>
          <w:rFonts w:hint="eastAsia" w:ascii="Times New Roman" w:hAnsi="Times New Roman" w:eastAsia="方正仿宋简体" w:cs="Times New Roman"/>
          <w:sz w:val="32"/>
          <w:szCs w:val="22"/>
          <w14:ligatures w14:val="standardContextual"/>
        </w:rPr>
        <w:t>根据农业农村部、财政部统一部署或省级工作安排，省农业农村厅、省财政厅联合制定省级绩效评价方案。绩效评价工作由各级农业农村部门、财政部门共同组织实施，农业农村部门具体负责。</w:t>
      </w:r>
    </w:p>
    <w:p w14:paraId="4E704BD4">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第三十一条</w:t>
      </w:r>
      <w:r>
        <w:rPr>
          <w:rFonts w:hint="eastAsia" w:ascii="Times New Roman" w:hAnsi="Times New Roman" w:eastAsia="方正仿宋简体" w:cs="Times New Roman"/>
          <w:sz w:val="32"/>
          <w:szCs w:val="22"/>
          <w14:ligatures w14:val="standardContextual"/>
        </w:rPr>
        <w:t>产业集群项目原则上在建设第二年组织开展中期绩效评价，在建设第四年组织开展末期绩效评价。产业强镇项目原则上在第二年组织开展省级绩效评价，参加农财两部评估。相关县（市、区）按照产业集群、产业强镇项目管理有关工作要求，认真组织开展绩效评价工作，对照评价指标，总结建设任务完成情况，系统梳理建设成效，及时报送相关材料，确保建设进展成效客观、真实、准确。</w:t>
      </w:r>
    </w:p>
    <w:p w14:paraId="1FCA9C6E">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第三十二条</w:t>
      </w:r>
      <w:r>
        <w:rPr>
          <w:rFonts w:hint="eastAsia" w:ascii="Times New Roman" w:hAnsi="Times New Roman" w:eastAsia="方正仿宋简体" w:cs="Times New Roman"/>
          <w:sz w:val="32"/>
          <w:szCs w:val="22"/>
          <w14:ligatures w14:val="standardContextual"/>
        </w:rPr>
        <w:t>强化绩效评价结果运用，对项目建设、资金支付进度快的县（市、区），省农业农村厅将在项目续建资金安排、推荐参加部级评价等方面予以支持。对绩效较差的，视情减少安排续建资金，并责成所在市（区）采取措施加强督促指导，加快建设进度。对存在严重损害农民利益、造成恶劣社会影响的，以及发生重大农业环境污染或生态破坏问题，发生重大安全生产或农产品质量安全事故，提供虚假资料等情形的，将暂停项目建设申报工作，不予安排续建资金。</w:t>
      </w:r>
    </w:p>
    <w:p w14:paraId="7FAE9AEB">
      <w:pPr>
        <w:keepNext/>
        <w:keepLines/>
        <w:widowControl w:val="0"/>
        <w:spacing w:before="480" w:after="80" w:line="570" w:lineRule="exact"/>
        <w:ind w:firstLine="640" w:firstLineChars="200"/>
        <w:jc w:val="both"/>
        <w:outlineLvl w:val="0"/>
        <w:rPr>
          <w:rFonts w:hint="eastAsia"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第八章  其 他</w:t>
      </w:r>
    </w:p>
    <w:p w14:paraId="12EF2A49">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第三十三条</w:t>
      </w:r>
      <w:r>
        <w:rPr>
          <w:rFonts w:hint="eastAsia" w:ascii="Times New Roman" w:hAnsi="Times New Roman" w:eastAsia="方正仿宋简体" w:cs="Times New Roman"/>
          <w:sz w:val="32"/>
          <w:szCs w:val="22"/>
          <w14:ligatures w14:val="standardContextual"/>
        </w:rPr>
        <w:t>  本规范由陕西省农业农村厅负责解释。</w:t>
      </w:r>
    </w:p>
    <w:p w14:paraId="2B7F21B3">
      <w:pPr>
        <w:spacing w:line="570" w:lineRule="exact"/>
        <w:ind w:firstLine="643"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b/>
          <w:bCs/>
          <w:sz w:val="32"/>
          <w:szCs w:val="22"/>
          <w14:ligatures w14:val="standardContextual"/>
        </w:rPr>
        <w:t>第三十四条</w:t>
      </w:r>
      <w:r>
        <w:rPr>
          <w:rFonts w:hint="eastAsia" w:ascii="Times New Roman" w:hAnsi="Times New Roman" w:eastAsia="方正仿宋简体" w:cs="Times New Roman"/>
          <w:sz w:val="32"/>
          <w:szCs w:val="22"/>
          <w14:ligatures w14:val="standardContextual"/>
        </w:rPr>
        <w:t>本规范自2024年10月1日起试行，有效期为2年。</w:t>
      </w:r>
    </w:p>
    <w:p w14:paraId="76CF5028">
      <w:pPr>
        <w:widowControl/>
        <w:spacing w:line="240" w:lineRule="auto"/>
        <w:ind w:firstLine="0" w:firstLineChars="0"/>
        <w:jc w:val="left"/>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br w:type="page"/>
      </w:r>
    </w:p>
    <w:p w14:paraId="009F3623">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西安市人民政府办公厅</w:t>
      </w:r>
      <w:r>
        <w:rPr>
          <w:rFonts w:ascii="Times New Roman" w:hAnsi="Times New Roman" w:eastAsia="方正小标宋简体" w:cs="Times New Roman"/>
          <w:spacing w:val="15"/>
          <w:kern w:val="2"/>
          <w:sz w:val="44"/>
          <w:szCs w:val="28"/>
          <w:lang w:val="en-US" w:eastAsia="zh-CN" w:bidi="ar-SA"/>
          <w14:ligatures w14:val="standardContextual"/>
        </w:rPr>
        <w:br w:type="textWrapping"/>
      </w:r>
      <w:r>
        <w:rPr>
          <w:rFonts w:ascii="Times New Roman" w:hAnsi="Times New Roman" w:eastAsia="方正小标宋简体" w:cs="Times New Roman"/>
          <w:spacing w:val="15"/>
          <w:kern w:val="2"/>
          <w:sz w:val="44"/>
          <w:szCs w:val="28"/>
          <w:lang w:val="en-US" w:eastAsia="zh-CN" w:bidi="ar-SA"/>
          <w14:ligatures w14:val="standardContextual"/>
        </w:rPr>
        <w:t>关于印发促进文化旅游体育产业高质量发展支持政策的通知</w:t>
      </w:r>
    </w:p>
    <w:p w14:paraId="031FA2A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各区、县人民政府，市人民政府各工作部门、各直属机构：</w:t>
      </w:r>
    </w:p>
    <w:p w14:paraId="6259E5C8">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《西安市促进文化旅游体育产业高质量发展支持政策》已经市政府同意，现印发给你们，请认真贯彻执行。</w:t>
      </w:r>
    </w:p>
    <w:p w14:paraId="5F3A37A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西安市人民政府办公厅</w:t>
      </w:r>
    </w:p>
    <w:p w14:paraId="2DE02D8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2024年9月30日</w:t>
      </w:r>
    </w:p>
    <w:p w14:paraId="26C8A46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（此件公开发布）</w:t>
      </w:r>
    </w:p>
    <w:p w14:paraId="21221E81">
      <w:pPr>
        <w:spacing w:line="570" w:lineRule="exact"/>
        <w:ind w:firstLine="640" w:firstLineChars="200"/>
        <w:rPr>
          <w:rFonts w:hint="eastAsia" w:ascii="Times New Roman" w:hAnsi="Times New Roman" w:eastAsia="方正仿宋简体" w:cs="Times New Roman"/>
          <w:sz w:val="32"/>
          <w:szCs w:val="22"/>
          <w14:ligatures w14:val="standardContextual"/>
        </w:rPr>
      </w:pPr>
    </w:p>
    <w:p w14:paraId="3804BC98">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西安市促进文化旅游体育产业高质量发展支持政策</w:t>
      </w:r>
    </w:p>
    <w:p w14:paraId="20739914">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为落实《西安市做大做强文化产业实施意见》，增强文旅体市场主体活力，激发市场消费潜力，结合我市实际，制定如下支持政策：</w:t>
      </w:r>
    </w:p>
    <w:p w14:paraId="7871765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一、培育壮大文旅体经营主体</w:t>
      </w:r>
    </w:p>
    <w:p w14:paraId="27A3529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1．支持小微企业升规纳统。对首次升规纳统的文旅体企业，给予20万元奖励。（责任单位：市委宣传部、市文化旅游局、市体育局）</w:t>
      </w:r>
    </w:p>
    <w:p w14:paraId="4F56A96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支持规上企业加快发展。对年营收首次突破5亿元、20亿元、50亿元、100亿元的文化企业，分别给予20万元、30万元、50万元、100万元一次性奖励。对年营收超过3000万元、1亿元、3亿元、10亿元、30亿元且同比增长50%以上的文化企业，分别给予15万元、25万元、40万元、60万元、100万元一次性奖励；同比增长25%或连续两年同比增长15%以上的文化企业，分别给予10万元、20万元、30万元、40万元、60万元一次性奖励。对年营收1000万元至3000万元且连续两年同比增长20%以上的文化企业，给予10万元一次性奖励。（责任单位：市委宣传部）</w:t>
      </w:r>
    </w:p>
    <w:p w14:paraId="41775C9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对年营收超过3000万元、1亿元、3亿元、10亿元且同比增长10%以上的旅游企业，分别给予10万元、20万元、30万元、50万元一次性奖励。（责任单位：市文化旅游局）</w:t>
      </w:r>
    </w:p>
    <w:p w14:paraId="2DA6C3C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对年营收较上年度增加300万元以上的体育服务业企业，给予10万元一次性奖励。（责任单位：市体育局）</w:t>
      </w:r>
    </w:p>
    <w:p w14:paraId="763A6A0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支持龙头企业引领发展。对首次入选“全国文化企业30强”“全国成长性文化企业30强”的企业，分别给予200万元、50万元一次性奖励，再次入选的给予50万元、10万元一次性奖励。统筹各类文旅体资金、基金，优先支持省、市认定的文旅体“链主”企业的项目建设、产品创新、品牌营销和赛事活动。（责任单位：市委宣传部、市文化旅游局、市体育局）</w:t>
      </w:r>
    </w:p>
    <w:p w14:paraId="3EB5A25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支持优质文旅体企业落户。支持世界500强文旅企业，全国30强文化企业、20强旅游企业在我市新注册设立总部或区域总部。对当年新落户且实缴资本超过2000万元、5000万元、1亿元、2亿元及以上的文旅体企业，分别给予20万元、30万元、50万元、80万元一次性奖励，属于先进文化装备制造、文化消费终端生产类企业的，再增加30万元奖励。对当年引进文化产业项目且固定资产投资超过1亿元、3亿元的，分别给予招商主体20万元、30万元一次性奖励。对当年引进文化企业且营业收入超过1亿元、3亿元的，分别给予招商主体10万元、20万元一次性奖励。对在我市投资重大文旅体项目的企业，采取“一企一策”方式给予支持。（责任单位：市委宣传部、市文化旅游局、市体育局）</w:t>
      </w:r>
    </w:p>
    <w:p w14:paraId="6E65385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5．支持文旅体企业贷款融资。对企业当年新增贷款实施文旅产业项目的，根据项目示范带动效应，给予不超过人民银行同期贷款市场报价利率（LPR）的50%、最高不超过100万元的贴息。依托市级文化产业发展专项资金，通过政银合作建立文化企业贷款风险补偿资金，鼓励引导企业竞逐新赛道。（责任单位：市委宣传部、市文化旅游局）</w:t>
      </w:r>
    </w:p>
    <w:p w14:paraId="207DE681">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二、推动文旅体产业结构升级</w:t>
      </w:r>
    </w:p>
    <w:p w14:paraId="4F8ECFE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6．加快文化产业转型升级。对企业利用新技术或购置设备对印刷设备制造、乐器和节庆用品制造等传统文化制造业改造升级、扩容增效的，根据投资建设规模、新技术应用程度等，给予不超过项目实际投资额30%、最高100万元一次性补助。对示范效应明显或能够补齐行业短板、投资额度大，纳入西安市重大文化产业项目库的项目，在政策资金方面给予重点倾斜。对企业投资建设智能视听、娱乐用无人机、可穿戴智能设备等先进文化制造业项目的，根据投资规模、带动能力、预期收益等，给予不超过项目实际投资额20%、最高200万元一次性补助。对企业投资建设文化与旅游、科技、会展、体育、农业、工业、教育等领域深度融合发展项目的，根据创新程度、文化含量、实施进度、预期收益等，给予不超过项目实际投资额20%、最高100万元一次性补助。（责任单位：市委宣传部）</w:t>
      </w:r>
    </w:p>
    <w:p w14:paraId="1F48134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7．加快旅游业提质扩容。对我市3A级以上旅游景区挖掘文化内涵、创新场景体验、完善硬件设施、提升旅游品质的重点项目，给予不超过项目实际投资额30%、最高100万元一次性补贴。支持我市旅行社推出品质化、定制化、个性化产品和服务，对年营收超过1亿元且营收和增速排名全市前五的旅行社，分别给予50万元、40万元、30万元、20万元、10万元一次性奖励。支持高品质酒店新建改造提升，对新评定的五星级酒店给予100万元一次性奖励；对四星级以上酒店改造提升项目，按照实际投资的10%，给予不超过100万元一次性项目补贴。支持旅游公共服务设施建设，对游客服务中心、旅游信息平台、旅游交通基础设施、旅游应急救援设施等项目建设，给予不超过项目实际投资额30%、最高100万元补贴。（责任单位：市文化旅游局）</w:t>
      </w:r>
    </w:p>
    <w:p w14:paraId="0AB8F1D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8．支持博物馆建设提升。对我市新建且备案的博物馆，按照不超过实际投资额40%的标准，给予单体博物馆最高300万元一次性补贴。对新评定为国家一级、二级、三级博物馆的，分别给予100万元、80万元、50万元一次性奖励。支持博物馆数字化、智慧化建设，按照不超过实际投资额40%的标准，给予单体博物馆最高100万元一次性补贴。对基本陈列提升改造、赴境外或引进境外陈列展览的博物馆，按照不超过实际投资额40%的标准，给予单体博物馆最高100万元一次性补贴。对入选国家十大精品陈列展览、陈列精品项目或教育项目优秀案例，以及省级优秀展览或教育项目优秀案例的博物馆，分别给予最高不超过100万元、50万的一次性奖励。（责任单位：市文物局）</w:t>
      </w:r>
    </w:p>
    <w:p w14:paraId="7829EED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9．支持体育产业加快发展。对新评定的国家体育产业示范基地、示范单位、示范项目，分别给予运营主体100万元、20万元、20万元一次性项目补助。对新评定的省级体育服务综合体，给予运营主体20万元一次性奖励。对新评定的国家体育旅游示范基地，给予运营主体30万元一次性奖励。（责任单位：市体育局）</w:t>
      </w:r>
    </w:p>
    <w:p w14:paraId="140830E4">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10．优化文旅体企业结构。对新落户的线上旅行社、互联网媒体、演出经纪、赛事运营、票务平台等国内头部企业，年营收超过2000万元的，给予20万元一次性奖励。（责任单位：市委宣传部、市文化旅游局、市体育局）</w:t>
      </w:r>
    </w:p>
    <w:p w14:paraId="666AC33D">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三、加强文旅体产业聚集区建设</w:t>
      </w:r>
    </w:p>
    <w:p w14:paraId="04EC714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11．提升文化产业园区（基地）承载力。对投资建设文化产业聚集区或改造提升原有文化产业园区（基地）的，根据项目发展定位、建设规模、实施进度等综合评定后，给予不超过实际投资额20%、最高100万元一次性补助。对新认定的国家级文化产业园区（集聚类基地），给予100万元一次性奖励。对市内各类文化产业园区（基地），根据入区规上文化企业数量、当年营收贡献等综合评定后给予一次性奖励。其中园区（基地）内规上文化企业达到40家以上且总营收超过30亿元的，给予30万元奖励；规上文化企业达到20家以上且总营收超过20亿元的，给予20万元奖励；规上文化企业达到10家以上且总营收超过5亿元的，给予10万元奖励。对孵化能力强，当年度新增规上文化企业数量超过5家、10家、20家的园区（基地），分别给予运营主体10万元、20万元、30万元一次性奖励。对企业利用旧厂区、旧商业区等改造建设文创设计园区的，根据建设规模、容量、实施进度、预期收益等，给予不超过项目实际投资额20%、最高200万元一次性补助。（责任单位：市委宣传部）</w:t>
      </w:r>
    </w:p>
    <w:p w14:paraId="3140AC0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12．支持景区度假区运营企业发展。对新评定的国家级、省级旅游度假区，分别给予运营企业不超过500万元、100万元的一次性项目补助。对新评定的5A级旅游景区和国家级全域旅游示范区、旅游休闲街区、夜间文化和旅游消费聚集区，以及4A级旅游景区和省级全域旅游示范区、旅游休闲街区、夜间文化和旅游消费聚集区，分别给予运营企业200万元、100万元一次性项目补助。对红色旅游景区展陈展示、改造提升等项目，给予运营企业不超过100万元一次性项目补助。对国家文化产业和旅游产业融合发展示范区、国家文化产业赋能乡村振兴试点等创建工作中的重点项目，给予运营企业不超过200万元一次性项目补贴。（责任单位：市文化旅游局）</w:t>
      </w:r>
    </w:p>
    <w:p w14:paraId="4C1487B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13．推动体育产业聚集发展。鼓励体育产业园区建设，对新入驻体育产业园区的体育企业或社会组织，每年给予不超过其年租金30%、最高5万元房租补贴。入驻体育企业年营收达到2000万元、5000万元、1亿元的，分别给予10万元、20万元、30万元一次性奖励。（责任单位：市体育局）</w:t>
      </w:r>
    </w:p>
    <w:p w14:paraId="49833542">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四、创新公共文体设施运营管理</w:t>
      </w:r>
    </w:p>
    <w:p w14:paraId="16EB380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14．支持文体设施社会化运营。对承担各级公共文化体育设施社会化运营的企业，年度营收达到500万元且较上一年度增长20%以上的，当年给予最高100万元运营补助；对年度营收达到500万元以上且较上一年度增长30%以上的，给予运营团队10万元奖励；对业绩突出的运营团队负责人，优先推荐参加西安市人才评定。（责任单位：市文化旅游局、市体育局）</w:t>
      </w:r>
    </w:p>
    <w:p w14:paraId="2421F0C4">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15．支持公共文化场馆设备更新。对各区县、西咸新区、各开发区和社会力量投资建设的图书馆、文化馆等公共文化场馆，实施新建馆舍、提升改造、设备更新等基础设施建设项目的，按照总投资额的10%进行补助，最高不超过300万元。（责任单位：市文化旅游局）</w:t>
      </w:r>
    </w:p>
    <w:p w14:paraId="579917EE">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16．支持公共文化设施免费开放。鼓励社会力量投资兴办的图书馆、文化馆、博物馆等各类公共文化设施面向社会公众免费或低收费（票价10元及以下）开放。年开放时间超过220天且年度考核结果为优秀、合格的分别给予15万元、8万元运行补贴。（责任单位：市文化旅游局、市文物局）</w:t>
      </w:r>
    </w:p>
    <w:p w14:paraId="12FCFA5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五、做强做大广告传媒产业</w:t>
      </w:r>
    </w:p>
    <w:p w14:paraId="304CC7A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17．支持龙头企业拓展市场。支持本土广告传媒企业参与我市文旅IP打造、产品创新、大型活动，发挥文化传播、旅游推广的基础性作用。鼓励广告传媒企业拓展国内外市场、创新运营模式，对年营收超过30亿元、50亿元、100亿元且增速不低于10%的企业，分别给予50万元、100万元、200万元一次性奖励。（责任单位：市委宣传部、市文化旅游局）</w:t>
      </w:r>
    </w:p>
    <w:p w14:paraId="1B7D878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18．支持传统媒体转型升级。支持传统媒体依托数字技术、网络技术，加快跨媒体、多元化经营，做大做强传媒主业，着力增强市场盈利能力。加快建设全媒体传播体系，生产更多优质视听内容，带动视听电子消费。对全媒体建设项目，按其社会效益和经济效益，给予不超过项目实际投资额30%、最高200万元一次性项目补助。（责任单位：市委宣传部）</w:t>
      </w:r>
    </w:p>
    <w:p w14:paraId="68FE40F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19．提高微短剧创作水平。我市企业作为第一出品方创制的网络微短剧，通过备案审查并在主要视频网站播出，平台分账收入达到300万元、600万元、1000万元以上的，分别给予第一出品方每部作品5万元、10万元、15万元一次性奖励。（责任单位：市委宣传部）</w:t>
      </w:r>
    </w:p>
    <w:p w14:paraId="0E819F9B">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20．鼓励西安特色微短剧生产。支持企业拍摄制作弘扬优秀传统文化、展示西安元素、讲述西安故事的微短剧，在央视首播的，给予每部作品50万元一次性奖励；对入选国家广电总局优秀微短剧的，给予每部作品20万元一次性奖励。鼓励全市旅游景区、文化街区等文旅场所，为微短剧拍摄提供便利条件。（责任单位：市文化旅游局）</w:t>
      </w:r>
    </w:p>
    <w:p w14:paraId="6902B002">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21．完善微短剧产业链。对企业在我市投资开展微短剧创作工具等技术研发或建设播出平台、分发渠道等完善上下游产业链项目的，根据技术创新程度、预期收益等，给予不超过项目实际投资额30%，最高100万元一次性补助。（责任单位：市委宣传部）</w:t>
      </w:r>
    </w:p>
    <w:p w14:paraId="64E6CC97">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六、大力发展数字文旅经济</w:t>
      </w:r>
    </w:p>
    <w:p w14:paraId="0C7BC69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22．支持数字文化新业态发展。对企业投资发展网络视听、数字传媒、数字藏品等新业态的，根据业态情况、实施进度、预期收益等，给予不超过项目实际投资额30%、最高100万元一次性补助。对企业应用数字化技术改造提升广告会展、文创设计、文旅演艺、印包发行等原有传统文化产业的，根据技术含量、实施进度、预期收益等，给予不超过项目实际投资额30%、最高100万元一次性补助。对企业投资发展数字文化消费新体验新场景的，根据技术创新程度、创意含量、实施进度、预期收益等，给予不超过项目实际投资额20%、最高100万元一次性补助。（责任单位：市委宣传部）</w:t>
      </w:r>
    </w:p>
    <w:p w14:paraId="1D9DF945">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23．大力发展XR文旅产业链。支持XR产业链主企业探索构建全国性的XR电影院线体系，建设XR内容生产基地，创作高质量的XR电影作品，推动XR影片进入全国院线发行放映，对票房达到5000万元的，每部作品奖励50万元，票房每递增1000万元，增加10万元奖励，最高不超过100万元。建设西安市文化资源数据库，推动文物、文旅景区等资源的数字化和资产化，对重点依托帝陵、大遗址、博物馆、历史景区、红色文化等资源，打造具有地方特色与文化底蕴的沉浸式XR应用场景项目，根据技术创新程度、创意含量、实施进度、预期收益等，给予不超过项目实际投资额20%、最高100万元一次性补助。对聚焦XR关键器件、关键技术、终端设备、文旅应用等构建产学研一体的产业生态，打造具有区域影响力的XR终端制造产业基地，根据投资规模、带动能力、预期收益等，给予不超过项目实际投资额20%、最高200万元一次性补助。（责任单位：市委宣传部、市文化旅游局、市文物局）</w:t>
      </w:r>
    </w:p>
    <w:p w14:paraId="2CFF915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24．做大做优影视动漫游戏产业。对企业应用前沿技术投资建设数字影棚、购买数字影视设备投入超过1000万元的，给予投入成本2%以内、最高不超过50万元一次性补助。对企业投资建设影视产业园区、拍摄制作基地的，根据建设规模、示范效应、实施进度等，给予不超过项目实际投资额20%、最高100万元一次性补助。对企业投资开发原创动漫的，根据示范效应、创意含量、实施进度、预期收益等，给予不超过项目实际投资额30%、最高100万元一次性补助。对企业研发、发行游戏产品的，根据产品创意含量、实施进度、预期收益等，给予不超过项目实际投资额30%、最高100万元一次性补助。（责任单位：市委宣传部）</w:t>
      </w:r>
    </w:p>
    <w:p w14:paraId="66EEEF88">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25．强化科技赋能旅游发展。支持企业运用大数据、人工智能、元宇宙、虚拟现实等新技术打造旅游消费体验新场景，对社会效益较好且投资额达到500万元以上的智能交互沉浸式旅游体验项目，给予不超过实际投资20%、最高100万元一次性补助。培育“互联网+旅游”、数字文旅演艺等数字产业基地，根据投资规模、示范效应、营收水平等，给予不超过实际投资10%、最高100万元一次性补助。（责任单位：市文化旅游局）</w:t>
      </w:r>
    </w:p>
    <w:p w14:paraId="2827B2D3">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七、打造“西安演艺”“赛事名城”品牌</w:t>
      </w:r>
    </w:p>
    <w:p w14:paraId="6908AE99">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26．支持文旅演艺发展。对企业新开发大型文旅演艺项目（含剧场及演出）的，根据作品导向、创意含量、社会影响、预期收益等，给予不超过项目实际投资额20%、最高200万元一次性补助。对企业改造提升现有文旅演艺项目的，根据创新效果、实施进度等，给予不超过项目实际投资额20%、最高100万元一次性补助。对企业利用传统剧场、公园街区、文博单位等空间，发展体验式、互动式、沉浸式演艺项目或创新性驻场演出的，根据节目创意、市场效果等，给予不超过项目实际投资额20%、最高50万元一次性补助。（责任单位：市委宣传部）</w:t>
      </w:r>
    </w:p>
    <w:p w14:paraId="6B8CC2CF">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27．支持营业性演出发展。对我市演艺企业（不含旅游演艺）年营收超过1亿元、3亿元、5亿元的，分别给予50万元、80万元、100万元一次性运营补贴。对在我市举办演唱会的主办单位（纳税关系在我市的企业），单场售票5000人（含）至1.5万人且售票收入不低于500万元的，单场奖补10万元；单场售票规模1.5万人（含）至3万人且售票收入不低于1000万元的，单场奖补20万元；单场售票规模3万人（含）以上且售票收入不低于1500万元的，单场奖补30万元。（责任单位：市文化旅游局）</w:t>
      </w:r>
    </w:p>
    <w:p w14:paraId="41CCA6D4">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28．提升演艺演出效益。对我市正常运营满一年的剧院剧场，依据年度自办或承接演出场次和高质量演出活动数量，按照其演出票房的10%给予补贴，单个剧场补贴不超过150万元（对市级投资建设或已享受市级事业费补贴及运营补贴的企业、旅游演艺剧场不享受本政策）。对新开演且运营满一年的旅游演艺单位，每季度演出满60场次的，补助80万元，超出部分每场补助5000元，累计不超过150万元（常态化运营满2年以上的演艺项目，不享受本政策）。对剧院剧场创新开展宣传推广，促进观演消费成效较好的，按照实际宣传投入费用的10%，最高给予20万元一次性营销补贴。（责任单位：市文化旅游局）</w:t>
      </w:r>
    </w:p>
    <w:p w14:paraId="559C435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29．鼓励举办高水平赛事。对承办或协办国际级、国家级体育赛事的区县、开发区，按照实际投入资金的20%，分别给予最高不超过300万元、200万元的一次性经费扶持。对举办自主品牌国际国内体育赛事的区县、开发区，按照实际投入资金的20%，给予最高不超过100万元的办赛经费扶持。对企业投资建设电竞赛事场馆和电竞训练、交流中心的，根据建设规模、建设进度、预期收益等，给予不超过项目实际投资额20%、最高100万元一次性补助。对企业在我市举办大型电竞赛事的，根据赛事品牌影响力和营收，给予最高不超过50万元的赛事补助。对在西安设立总部的电竞研发、赛事运营、电竞媒体等行业领军企业，给予50万元一次性奖励。（责任单位：市委宣传部、市体育局）</w:t>
      </w:r>
    </w:p>
    <w:p w14:paraId="62692665">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八、深化融合发展激活文旅消费</w:t>
      </w:r>
    </w:p>
    <w:p w14:paraId="239C948E">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30．支持“文旅+商贸”丰富业态。支持大型商业综合体、商业步行街及重点商圈升级业态，完善时尚餐饮、书店影院、品牌文创、非遗展示、沉浸式体验等文旅配套，发展“首店、首秀、首演”经济，丰富夜游服务场景，举办特色化、品牌化、潮流化的文旅体活动。支持商业企业参与国家级、省级旅游休闲街区、夜间文化和旅游消费聚集区重点项目建设。创建西安市高品质文商旅体融合消费聚集区，根据引流情况、综合营收、品牌影响等，给予运营企业50万元一次性奖励。（责任单位：市文化旅游局、市商务局、市委宣传部、市体育局）</w:t>
      </w:r>
    </w:p>
    <w:p w14:paraId="03E1F738">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31．支持“文旅+教育”创新产品。鼓励研学机构进行产品创新，对入选国家级、省级研学实践教育基地或研学线路推荐名录的，分别给予开发主体20万元、10万元一次性奖励。对年接待研学游客超过10万人次且列入西安市研学实践教育基地名单的旅游景区，给予20万元一次性奖励。对入选国家级、省级爱国主义教育基地、科普教育基地、研学实践教育基地的博物馆，分别给予30万元、20万元奖励。对获得市级爱国主义教育基地的博物馆，给予10万元一次性奖励。（责任单位：市文化旅游局、市文物局、市教育局）</w:t>
      </w:r>
    </w:p>
    <w:p w14:paraId="3F04A97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32．支持“文旅+文博”提升体验。对在重点时段举办精品主题展览、开发夜游项目、延长开放时间的博物馆，根据运营成本给予单个项目不超过20万元一次性奖励，单体博物馆奖励最高不超过60万元。鼓励博物馆研发、销售文创产品，对文创产品年销售额达到500万元、200万元、100万元以上的博物馆，分别给予最高不超过50万元、20万元、10万元一次性奖励。支持博物馆融合发展，培育“博物馆+商圈”“博物馆+地铁”“博物馆+街区”等新场景、新业态，根据创意含量、展览周期、社会效益等，按照不超过实际投资额的40%，给予单体博物馆最高50万元一次性补贴。鼓励博物馆加大与社会力量合作，开展“文物会说话”系列宣传推广活动，根据举办规模、创新程度、社会影响等，按照实际投资额的40%，给予单体博物馆最高10万元一次性补贴。（责任单位：市文物局）</w:t>
      </w:r>
    </w:p>
    <w:p w14:paraId="26541B6C">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33．支持“文旅+农业”创新发展。鼓励具备条件的乡村发展咖啡、文创、“村晚”“村超”等新业态。对新评定的国家级乡村旅游重点镇（村）、省级乡村旅游示范村，给予重点镇50万元、重点村30万元、省级示范村15万元一次性项目补助。对承担“平急两用”星级酒店、民宿集群建设的企业，给予项目建设补助。（责任单位：市文化旅游局）</w:t>
      </w:r>
    </w:p>
    <w:p w14:paraId="69066D1C">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34．支持“文旅+工业”打造热点。将工业旅游纳入全市旅游营销重点内容，支持工业企业参加文创设计、旅游商品比赛。对新评定的国家工业旅游示范基地，给予创建企业20万元一次性奖励。（责任单位：市文化旅游局）</w:t>
      </w:r>
    </w:p>
    <w:p w14:paraId="53075CBB">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35．持续激活入境旅游市场。对我市年度接待入境团队过夜游客达到1万人次的旅行社，给予40万元一次性奖励，每增加5千人次提高奖励20万元，最高不超过100万元；对旅行社组织入境旅游包机在我市停留过两夜以上且单架次飞机游客150人以上的，每架次奖励5万元，单个旅行社奖励最高不超过30万元。对旅游企业参加市级组织的境外促销活动的，给予50%国际机票费用补助。鼓励航空公司等驻外机构宣传推介西安旅游，每个驻外城市点位给予2万元一次性补贴。（责任单位：市文化旅游局）</w:t>
      </w:r>
    </w:p>
    <w:p w14:paraId="439B59E6">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36．提升文化创意产品供给。对企业延伸产业链条开展文创产品研发、制造、加工和搭建营销平台的，根据示范效应、实施进度、预期收益等，给予不超过项目实际投资额30%、最高100万元一次性补助。全力打造爆款文创产品、旅游商品，根据赛事等级、创意含量、市场转化力等，给予最高不超过10万元一次性奖励。（责任单位：市委宣传部、市文化旅游局）</w:t>
      </w:r>
    </w:p>
    <w:p w14:paraId="1C7CD6EA">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37．提升汉服体验消费品质。规范提升汉服经济发展，对服务质量好、消费口碑好、年营收超过50万元且营收排名全市前十的汉服经营企业，给予最高10万元一次性奖励。面向全市各类文旅体消费场景，适时发放西安文旅体消费券，持续释放消费潜能。（责任单位：市文化旅游局）</w:t>
      </w:r>
    </w:p>
    <w:p w14:paraId="13652C86">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九、统筹文化事业与文旅产业发展</w:t>
      </w:r>
    </w:p>
    <w:p w14:paraId="25EAA9E2">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38．推动文艺生产创新创优。支持文学、影视、舞台剧、音乐、美术等优秀文艺作品创作及成果创新转化，根据社会效益和经济效益，给予最高不超过200万元一次性补助（影视作品最高不超过300万元）。对获得省级以上文艺类奖项或在高平台演出播出、入选国家部委巡演展演活动的优秀文艺作品，给予最高不超过200万元一次性奖励。对市属文艺院团获得当年国家（省）艺术基金资助和中、省资金奖励的剧目，根据资金到位情况，市财政给予1</w:t>
      </w:r>
      <w:r>
        <w:rPr>
          <w:rFonts w:ascii="Times New Roman" w:hAnsi="Times New Roman" w:eastAsia="方正仿宋简体" w:cs="Cambria Math"/>
          <w:sz w:val="32"/>
          <w:szCs w:val="22"/>
          <w14:ligatures w14:val="standardContextual"/>
        </w:rPr>
        <w:t>∶</w:t>
      </w:r>
      <w:r>
        <w:rPr>
          <w:rFonts w:ascii="Times New Roman" w:hAnsi="Times New Roman" w:eastAsia="方正仿宋简体" w:cs="Times New Roman"/>
          <w:sz w:val="32"/>
          <w:szCs w:val="22"/>
          <w14:ligatures w14:val="standardContextual"/>
        </w:rPr>
        <w:t>1配套补助。（责任单位：市委宣传部、市文化旅游局）</w:t>
      </w:r>
    </w:p>
    <w:p w14:paraId="3E913F77">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39．加强文艺人才队伍建设。加强秦腔艺术人才赓续，持续实施“易俗班”“三意班”青年秦腔演员培养计划。建立健全文化英才、艺术名家、青年艺术家等高层次人才遴选、培养、激励机制。支持我市文艺院团参加国际级、国家级或省级常设性艺术赛事展评，完善“五个一工程奖”、梅花奖、文华奖、白玉兰奖等获奖主创人员奖励政策。常态化开展非遗传承人、博物馆讲解员、金牌导游、社区文化志愿者等实用文旅人才的选拔培养和政策激励。（责任单位：市委宣传部、市文化旅游局、市文物局）</w:t>
      </w:r>
    </w:p>
    <w:p w14:paraId="771D4F64">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40．提升惠民演出服务效能。聚焦增强群众满意度与获得感，创新文化惠民演出供给方式和组织形式，对考核优秀、合格的演出场次，每场分别给予1.5万元、1.2万元补贴。鼓励市属文艺院团、剧院剧场在重点时段开展免费公益性演出活动，依据演出规模、观众评价、实际成本等，给予每场2万元至6万元的公益性演出补贴。（责任单位：市文化旅游局）</w:t>
      </w:r>
    </w:p>
    <w:p w14:paraId="7604D2BC">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41．扩大西安文旅IP影响力。支持各区县、开发区和文旅市场主体聚焦西安文化的价值引领、现代表达和时尚体验，打造产品、业态、场景、活动、赛事等各具特色的文旅IP。加大对文物IP资源的保护力度和授权开发，培育文商旅体深度融合新IP。对兼具国际影响力、文旅传播力、消费吸引力的文旅IP，经市级相关部门认定后，给予运营主体最高不超过50万元一次性补贴。（责任单位：市委宣传部、市文化旅游局、市文物局、市体育局、市商务局）</w:t>
      </w:r>
    </w:p>
    <w:p w14:paraId="5126332E">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42．激发文旅体创新活力。对市级有关部门、单位和各区县、开发区在构建现代文化产业体系、推进文旅融合、推动文化传承发展、文化遗址保护利用、全媒体传播体系建设等领域，开展创新工作和特色活动的，给予最高不超过200万元一次性补助。对举办、承办重大文旅活动的，根据活动规模、示范效应及带来的社会经济效益等，采取“一事一议”方式给予支持。（责任单位：市委宣传部、市文化旅游局、市文物局）</w:t>
      </w:r>
    </w:p>
    <w:p w14:paraId="5189B2D1">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本支持政策自发布之日起执行，有效期至2026年12月31日。未尽事项以申报指南为准，由市委宣传部、市文化旅游局、市文物局、市体育局按照职责分工负责解释。</w:t>
      </w:r>
    </w:p>
    <w:p w14:paraId="6E0E0D50">
      <w:pPr>
        <w:widowControl/>
        <w:spacing w:line="240" w:lineRule="auto"/>
        <w:ind w:firstLine="0" w:firstLineChars="0"/>
        <w:jc w:val="left"/>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br w:type="page"/>
      </w:r>
    </w:p>
    <w:p w14:paraId="7929C79C">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t>西安市人民政府办公厅</w:t>
      </w:r>
      <w:r>
        <w:rPr>
          <w:rFonts w:ascii="Times New Roman" w:hAnsi="Times New Roman" w:eastAsia="方正小标宋简体" w:cs="Times New Roman"/>
          <w:spacing w:val="15"/>
          <w:kern w:val="2"/>
          <w:sz w:val="44"/>
          <w:szCs w:val="28"/>
          <w:lang w:val="en-US" w:eastAsia="zh-CN" w:bidi="ar-SA"/>
          <w14:ligatures w14:val="standardContextual"/>
        </w:rPr>
        <w:br w:type="textWrapping"/>
      </w:r>
      <w:r>
        <w:rPr>
          <w:rFonts w:ascii="Times New Roman" w:hAnsi="Times New Roman" w:eastAsia="方正小标宋简体" w:cs="Times New Roman"/>
          <w:spacing w:val="15"/>
          <w:kern w:val="2"/>
          <w:sz w:val="44"/>
          <w:szCs w:val="28"/>
          <w:lang w:val="en-US" w:eastAsia="zh-CN" w:bidi="ar-SA"/>
          <w14:ligatures w14:val="standardContextual"/>
        </w:rPr>
        <w:t>关于印发促进光伏产业发展若干措施的通知</w:t>
      </w:r>
    </w:p>
    <w:p w14:paraId="11505550">
      <w:pPr>
        <w:spacing w:line="570" w:lineRule="exact"/>
        <w:ind w:firstLine="640" w:firstLineChars="200"/>
        <w:rPr>
          <w:rFonts w:ascii="Times New Roman" w:hAnsi="Times New Roman" w:eastAsia="方正仿宋简体" w:cs="Times New Roman"/>
          <w:sz w:val="32"/>
          <w:szCs w:val="22"/>
          <w14:ligatures w14:val="standardContextual"/>
        </w:rPr>
      </w:pPr>
    </w:p>
    <w:p w14:paraId="0247DCD6">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各区、县人民政府，市人民政府各工作部门、各直属机构：</w:t>
      </w:r>
    </w:p>
    <w:p w14:paraId="61F9088D">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《西安市促进光伏产业发展若干措施》已经市政府同意，现印发给你们，请结合实际，认真抓好贯彻落实。</w:t>
      </w:r>
    </w:p>
    <w:p w14:paraId="3026E397">
      <w:pPr>
        <w:spacing w:line="570" w:lineRule="exact"/>
        <w:ind w:firstLine="640" w:firstLineChars="200"/>
        <w:jc w:val="right"/>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西安市人民政府办</w:t>
      </w:r>
    </w:p>
    <w:p w14:paraId="73910B38">
      <w:pPr>
        <w:spacing w:line="570" w:lineRule="exact"/>
        <w:ind w:firstLine="640" w:firstLineChars="200"/>
        <w:jc w:val="right"/>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2024年12月9日</w:t>
      </w:r>
    </w:p>
    <w:p w14:paraId="745219E2">
      <w:pPr>
        <w:widowControl w:val="0"/>
        <w:spacing w:after="160" w:line="570" w:lineRule="exact"/>
        <w:ind w:firstLine="940" w:firstLineChars="200"/>
        <w:jc w:val="center"/>
        <w:rPr>
          <w:rFonts w:ascii="Times New Roman" w:hAnsi="Times New Roman" w:eastAsia="方正小标宋简体" w:cs="Times New Roman"/>
          <w:spacing w:val="15"/>
          <w:kern w:val="2"/>
          <w:sz w:val="44"/>
          <w:szCs w:val="28"/>
          <w:lang w:val="en-US" w:eastAsia="zh-CN" w:bidi="ar-SA"/>
          <w14:ligatures w14:val="standardContextual"/>
        </w:rPr>
      </w:pPr>
      <w:r>
        <w:rPr>
          <w:rFonts w:ascii="Times New Roman" w:hAnsi="Times New Roman" w:eastAsia="方正小标宋简体" w:cs="Times New Roman"/>
          <w:spacing w:val="15"/>
          <w:kern w:val="2"/>
          <w:sz w:val="44"/>
          <w:szCs w:val="28"/>
          <w:lang w:val="en-US" w:eastAsia="zh-CN" w:bidi="ar-SA"/>
          <w14:ligatures w14:val="standardContextual"/>
        </w:rPr>
        <w:br w:type="textWrapping"/>
      </w:r>
      <w:r>
        <w:rPr>
          <w:rFonts w:hint="eastAsia" w:ascii="Times New Roman" w:hAnsi="Times New Roman" w:eastAsia="方正小标宋简体" w:cs="Times New Roman"/>
          <w:spacing w:val="15"/>
          <w:kern w:val="2"/>
          <w:sz w:val="44"/>
          <w:szCs w:val="28"/>
          <w:lang w:val="en-US" w:eastAsia="zh-CN" w:bidi="ar-SA"/>
          <w14:ligatures w14:val="standardContextual"/>
        </w:rPr>
        <w:t>西安市促进光伏产业发展若干措施</w:t>
      </w:r>
    </w:p>
    <w:p w14:paraId="3A2C3345">
      <w:pPr>
        <w:spacing w:line="570" w:lineRule="exact"/>
        <w:ind w:firstLine="640" w:firstLineChars="200"/>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为深入贯彻落实习近平生态文明思想，推动光伏发电规模化应用，促进光伏产业持续健康发展，结合我市实际，制定以下措施。</w:t>
      </w:r>
    </w:p>
    <w:p w14:paraId="05437A5A">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一、积极推进城镇建筑光伏开发利用</w:t>
      </w:r>
    </w:p>
    <w:p w14:paraId="624E4B50">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2024</w:t>
      </w:r>
      <w:r>
        <w:rPr>
          <w:rFonts w:hint="eastAsia" w:ascii="Times New Roman" w:hAnsi="Times New Roman" w:eastAsia="方正仿宋简体" w:cs="Times New Roman"/>
          <w:sz w:val="32"/>
          <w:szCs w:val="22"/>
          <w14:ligatures w14:val="standardContextual"/>
        </w:rPr>
        <w:t>年底前建成</w:t>
      </w:r>
      <w:r>
        <w:rPr>
          <w:rFonts w:ascii="Times New Roman" w:hAnsi="Times New Roman" w:eastAsia="方正仿宋简体" w:cs="Times New Roman"/>
          <w:sz w:val="32"/>
          <w:szCs w:val="22"/>
          <w14:ligatures w14:val="standardContextual"/>
        </w:rPr>
        <w:t>13</w:t>
      </w:r>
      <w:r>
        <w:rPr>
          <w:rFonts w:hint="eastAsia" w:ascii="Times New Roman" w:hAnsi="Times New Roman" w:eastAsia="方正仿宋简体" w:cs="Times New Roman"/>
          <w:sz w:val="32"/>
          <w:szCs w:val="22"/>
          <w14:ligatures w14:val="standardContextual"/>
        </w:rPr>
        <w:t>个城市既有建筑加装光伏示范项目。到</w:t>
      </w:r>
      <w:r>
        <w:rPr>
          <w:rFonts w:ascii="Times New Roman" w:hAnsi="Times New Roman" w:eastAsia="方正仿宋简体" w:cs="Times New Roman"/>
          <w:sz w:val="32"/>
          <w:szCs w:val="22"/>
          <w14:ligatures w14:val="standardContextual"/>
        </w:rPr>
        <w:t>2025</w:t>
      </w:r>
      <w:r>
        <w:rPr>
          <w:rFonts w:hint="eastAsia" w:ascii="Times New Roman" w:hAnsi="Times New Roman" w:eastAsia="方正仿宋简体" w:cs="Times New Roman"/>
          <w:sz w:val="32"/>
          <w:szCs w:val="22"/>
          <w14:ligatures w14:val="standardContextual"/>
        </w:rPr>
        <w:t>年，力争新建公共机构建筑、工业厂房屋顶光伏覆盖率不低于</w:t>
      </w:r>
      <w:r>
        <w:rPr>
          <w:rFonts w:ascii="Times New Roman" w:hAnsi="Times New Roman" w:eastAsia="方正仿宋简体" w:cs="Times New Roman"/>
          <w:sz w:val="32"/>
          <w:szCs w:val="22"/>
          <w14:ligatures w14:val="standardContextual"/>
        </w:rPr>
        <w:t>50%</w:t>
      </w:r>
      <w:r>
        <w:rPr>
          <w:rFonts w:hint="eastAsia" w:ascii="Times New Roman" w:hAnsi="Times New Roman" w:eastAsia="方正仿宋简体" w:cs="Times New Roman"/>
          <w:sz w:val="32"/>
          <w:szCs w:val="22"/>
          <w14:ligatures w14:val="standardContextual"/>
        </w:rPr>
        <w:t>，新建公共建筑屋顶光伏覆盖率不低于</w:t>
      </w:r>
      <w:r>
        <w:rPr>
          <w:rFonts w:ascii="Times New Roman" w:hAnsi="Times New Roman" w:eastAsia="方正仿宋简体" w:cs="Times New Roman"/>
          <w:sz w:val="32"/>
          <w:szCs w:val="22"/>
          <w14:ligatures w14:val="standardContextual"/>
        </w:rPr>
        <w:t>15%</w:t>
      </w:r>
      <w:r>
        <w:rPr>
          <w:rFonts w:hint="eastAsia" w:ascii="Times New Roman" w:hAnsi="Times New Roman" w:eastAsia="方正仿宋简体" w:cs="Times New Roman"/>
          <w:sz w:val="32"/>
          <w:szCs w:val="22"/>
          <w14:ligatures w14:val="standardContextual"/>
        </w:rPr>
        <w:t>。</w:t>
      </w:r>
      <w:r>
        <w:rPr>
          <w:rFont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市住建局、市工信局牵头，市发改委、市教育局、市卫生健康委、市交通局、市文化旅游局、市水务局、市商务局、市体育局，各区县政府、西咸新区及各开发区管委会配合</w:t>
      </w:r>
      <w:r>
        <w:rPr>
          <w:rFonts w:ascii="Times New Roman" w:hAnsi="Times New Roman" w:eastAsia="方正仿宋简体" w:cs="Times New Roman"/>
          <w:sz w:val="32"/>
          <w:szCs w:val="22"/>
          <w14:ligatures w14:val="standardContextual"/>
        </w:rPr>
        <w:t>)</w:t>
      </w:r>
    </w:p>
    <w:p w14:paraId="18894C8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二、稳步推进分布式光伏在农村地区的开发建设</w:t>
      </w:r>
    </w:p>
    <w:p w14:paraId="6321E083">
      <w:pPr>
        <w:spacing w:line="570" w:lineRule="exact"/>
        <w:ind w:firstLine="640" w:firstLineChars="200"/>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在全市具备电网消纳能力的村全面推广</w:t>
      </w:r>
      <w:r>
        <w:rPr>
          <w:rFonts w:hint="c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光伏</w:t>
      </w:r>
      <w:r>
        <w:rPr>
          <w:rFont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整村推进模式，按照项目总投资</w:t>
      </w:r>
      <w:r>
        <w:rPr>
          <w:rFonts w:ascii="Times New Roman" w:hAnsi="Times New Roman" w:eastAsia="方正仿宋简体" w:cs="Times New Roman"/>
          <w:sz w:val="32"/>
          <w:szCs w:val="22"/>
          <w14:ligatures w14:val="standardContextual"/>
        </w:rPr>
        <w:t>10%</w:t>
      </w:r>
      <w:r>
        <w:rPr>
          <w:rFonts w:hint="eastAsia" w:ascii="Times New Roman" w:hAnsi="Times New Roman" w:eastAsia="方正仿宋简体" w:cs="Times New Roman"/>
          <w:sz w:val="32"/>
          <w:szCs w:val="22"/>
          <w14:ligatures w14:val="standardContextual"/>
        </w:rPr>
        <w:t>的比例对村集体予以扶持。</w:t>
      </w:r>
      <w:r>
        <w:rPr>
          <w:rFont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市农业农村局、市发改委、市财政局牵头，各区县政府、西咸新区及各开发区管委会配合</w:t>
      </w:r>
      <w:r>
        <w:rPr>
          <w:rFonts w:ascii="Times New Roman" w:hAnsi="Times New Roman" w:eastAsia="方正仿宋简体" w:cs="Times New Roman"/>
          <w:sz w:val="32"/>
          <w:szCs w:val="22"/>
          <w14:ligatures w14:val="standardContextual"/>
        </w:rPr>
        <w:t>)</w:t>
      </w:r>
    </w:p>
    <w:p w14:paraId="3E9E7DCB">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hint="eastAsia" w:ascii="Times New Roman" w:hAnsi="Times New Roman" w:eastAsia="方正黑体简体" w:cs="Times New Roman"/>
          <w:kern w:val="2"/>
          <w:sz w:val="32"/>
          <w:szCs w:val="48"/>
          <w:lang w:val="en-US" w:eastAsia="zh-CN" w:bidi="ar-SA"/>
          <w14:ligatures w14:val="standardContextual"/>
        </w:rPr>
        <w:t>三、提高新建光伏电站建设标准</w:t>
      </w:r>
    </w:p>
    <w:p w14:paraId="7B622013">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对于使用实际光电转换效率</w:t>
      </w:r>
      <w:r>
        <w:rPr>
          <w:rFonts w:ascii="Times New Roman" w:hAnsi="Times New Roman" w:eastAsia="方正仿宋简体" w:cs="Times New Roman"/>
          <w:sz w:val="32"/>
          <w:szCs w:val="22"/>
          <w14:ligatures w14:val="standardContextual"/>
        </w:rPr>
        <w:t>24.2%</w:t>
      </w:r>
      <w:r>
        <w:rPr>
          <w:rFonts w:hint="eastAsia" w:ascii="Times New Roman" w:hAnsi="Times New Roman" w:eastAsia="方正仿宋简体" w:cs="Times New Roman"/>
          <w:sz w:val="32"/>
          <w:szCs w:val="22"/>
          <w14:ligatures w14:val="standardContextual"/>
        </w:rPr>
        <w:t>以上光伏组件的电站项目，按照</w:t>
      </w:r>
      <w:r>
        <w:rPr>
          <w:rFonts w:ascii="Times New Roman" w:hAnsi="Times New Roman" w:eastAsia="方正仿宋简体" w:cs="Times New Roman"/>
          <w:sz w:val="32"/>
          <w:szCs w:val="22"/>
          <w14:ligatures w14:val="standardContextual"/>
        </w:rPr>
        <w:t>0.1</w:t>
      </w:r>
      <w:r>
        <w:rPr>
          <w:rFonts w:hint="eastAsia" w:ascii="Times New Roman" w:hAnsi="Times New Roman" w:eastAsia="方正仿宋简体" w:cs="Times New Roman"/>
          <w:sz w:val="32"/>
          <w:szCs w:val="22"/>
          <w14:ligatures w14:val="standardContextual"/>
        </w:rPr>
        <w:t>元</w:t>
      </w:r>
      <w:r>
        <w:rPr>
          <w:rFont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瓦给予一次性建设补贴。</w:t>
      </w:r>
      <w:r>
        <w:rPr>
          <w:rFonts w:ascii="Times New Roman" w:hAnsi="Times New Roman" w:eastAsia="方正仿宋简体" w:cs="Times New Roman"/>
          <w:sz w:val="32"/>
          <w:szCs w:val="22"/>
          <w14:ligatures w14:val="standardContextual"/>
        </w:rPr>
        <w:t>(</w:t>
      </w:r>
      <w:r>
        <w:rPr>
          <w:rFonts w:hint="eastAsia" w:ascii="Times New Roman" w:hAnsi="Times New Roman" w:eastAsia="方正仿宋简体" w:cs="Times New Roman"/>
          <w:sz w:val="32"/>
          <w:szCs w:val="22"/>
          <w14:ligatures w14:val="standardContextual"/>
        </w:rPr>
        <w:t>市发改委、市财政局、市工信局牵头，国网西安供电公司，各区县政府、西咸新区及各开发区管委会配合）</w:t>
      </w:r>
    </w:p>
    <w:p w14:paraId="41EC95C1">
      <w:pPr>
        <w:spacing w:line="570" w:lineRule="exact"/>
        <w:ind w:firstLine="640" w:firstLineChars="200"/>
        <w:jc w:val="left"/>
        <w:rPr>
          <w:rFonts w:ascii="Times New Roman" w:hAnsi="Times New Roman" w:eastAsia="方正仿宋简体" w:cs="Times New Roman"/>
          <w:sz w:val="32"/>
          <w:szCs w:val="22"/>
          <w14:ligatures w14:val="standardContextual"/>
        </w:rPr>
      </w:pPr>
      <w:r>
        <w:rPr>
          <w:rFonts w:ascii="Times New Roman" w:hAnsi="Times New Roman" w:eastAsia="方正黑体简体" w:cs="Times New Roman"/>
          <w:sz w:val="32"/>
          <w:szCs w:val="48"/>
          <w14:ligatures w14:val="standardContextual"/>
        </w:rPr>
        <w:t>四、支持建设光伏电站配建储能系统</w:t>
      </w:r>
    </w:p>
    <w:p w14:paraId="323972F9">
      <w:pPr>
        <w:spacing w:line="570" w:lineRule="exact"/>
        <w:ind w:firstLine="640" w:firstLineChars="200"/>
        <w:jc w:val="left"/>
        <w:rPr>
          <w:rFonts w:hint="eastAsia" w:ascii="Times New Roman" w:hAnsi="Times New Roman" w:eastAsia="方正黑体简体" w:cs="Times New Roman"/>
          <w:sz w:val="32"/>
          <w:szCs w:val="48"/>
          <w14:ligatures w14:val="standardContextual"/>
        </w:rPr>
      </w:pPr>
      <w:r>
        <w:rPr>
          <w:rFonts w:ascii="Times New Roman" w:hAnsi="Times New Roman" w:eastAsia="方正仿宋简体" w:cs="Times New Roman"/>
          <w:sz w:val="32"/>
          <w:szCs w:val="22"/>
          <w14:ligatures w14:val="standardContextual"/>
        </w:rPr>
        <w:t>对于分布式光伏建设容量超过 1 兆瓦且配储比例超过 20%、时长 2 小时以上的光储项目，按照储能容量给予 0.1 元 / 瓦的一次性建设补贴，单个项目补贴额度不超过 100 万元。（市发改委、市财政局牵头，国网西安供电公司，各区县政府、西咸新区及各开发区管委会配合）</w:t>
      </w:r>
    </w:p>
    <w:p w14:paraId="1FEAEC69">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五、开展综合用能优化创新试点建设</w:t>
      </w:r>
    </w:p>
    <w:p w14:paraId="2925442A">
      <w:pPr>
        <w:spacing w:line="570" w:lineRule="exact"/>
        <w:ind w:firstLine="640" w:firstLineChars="200"/>
        <w:rPr>
          <w:rFonts w:hint="eastAsia"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面向融合电、气、暖多能互补为一体的综合智慧能源和冷热电联供项目，开展综合用能优化示范项目征集。对于入选的示范项目按照建设成本（不含土地建设成本）的 5% 给予一次性建设补贴，单个项目补贴额度不超过 100 万元。入选国家智能光伏试点示范项目和能源绿色低碳转型案例的项目优先纳入补贴范围。（市发改委、市城管执法局、市财政局牵头，国网西安供电公司，各区县政府、西咸新区及各开发区管委会配合）</w:t>
      </w:r>
    </w:p>
    <w:p w14:paraId="472DE19D">
      <w:pPr>
        <w:keepNext/>
        <w:keepLines/>
        <w:widowControl w:val="0"/>
        <w:spacing w:before="480" w:after="80" w:line="570" w:lineRule="exact"/>
        <w:ind w:firstLine="640" w:firstLineChars="200"/>
        <w:jc w:val="both"/>
        <w:outlineLvl w:val="0"/>
        <w:rPr>
          <w:rFonts w:ascii="Times New Roman" w:hAnsi="Times New Roman" w:eastAsia="方正黑体简体" w:cs="Times New Roman"/>
          <w:kern w:val="2"/>
          <w:sz w:val="32"/>
          <w:szCs w:val="48"/>
          <w:lang w:val="en-US" w:eastAsia="zh-CN" w:bidi="ar-SA"/>
          <w14:ligatures w14:val="standardContextual"/>
        </w:rPr>
      </w:pPr>
      <w:r>
        <w:rPr>
          <w:rFonts w:ascii="Times New Roman" w:hAnsi="Times New Roman" w:eastAsia="方正黑体简体" w:cs="Times New Roman"/>
          <w:kern w:val="2"/>
          <w:sz w:val="32"/>
          <w:szCs w:val="48"/>
          <w:lang w:val="en-US" w:eastAsia="zh-CN" w:bidi="ar-SA"/>
          <w14:ligatures w14:val="standardContextual"/>
        </w:rPr>
        <w:t>六、激发光伏企业创新活力和竞争优势</w:t>
      </w:r>
    </w:p>
    <w:p w14:paraId="29D083A3">
      <w:pPr>
        <w:spacing w:line="570" w:lineRule="exact"/>
        <w:ind w:firstLine="640" w:firstLineChars="200"/>
        <w:rPr>
          <w:rFonts w:ascii="Times New Roman" w:hAnsi="Times New Roman" w:eastAsia="方正仿宋简体" w:cs="Times New Roman"/>
          <w:sz w:val="32"/>
          <w:szCs w:val="22"/>
          <w14:ligatures w14:val="standardContextual"/>
        </w:rPr>
      </w:pPr>
      <w:r>
        <w:rPr>
          <w:rFonts w:ascii="Times New Roman" w:hAnsi="Times New Roman" w:eastAsia="方正仿宋简体" w:cs="Times New Roman"/>
          <w:sz w:val="32"/>
          <w:szCs w:val="22"/>
          <w14:ligatures w14:val="standardContextual"/>
        </w:rPr>
        <w:t>鼓励光伏产业链上下游企业加强配套协作，积极响应市场变化和需求开展技术创新，对标光伏制造行业规范条件研发生产高效率、低衰减的产品；支持企业推进装备制造的数字化转型，开展数字化普及、网络化协同、智能化提升等改造升级，扩建先进产能项目；鼓励本地高等院校与光伏企业开展校企联动，吸纳高校院所科技成果就地转化，扩大本地人才引进和培养。（市工信</w:t>
      </w:r>
      <w:r>
        <w:rPr>
          <w:rFonts w:hint="eastAsia" w:ascii="Times New Roman" w:hAnsi="Times New Roman" w:eastAsia="方正仿宋简体" w:cs="Times New Roman"/>
          <w:sz w:val="32"/>
          <w:szCs w:val="22"/>
          <w14:ligatures w14:val="standardContextual"/>
        </w:rPr>
        <w:t>局、市科技局、市财政局牵头，西咸新区、经开区、航天基地管委会配合</w:t>
      </w:r>
      <w:r>
        <w:rPr>
          <w:rFonts w:ascii="Times New Roman" w:hAnsi="Times New Roman" w:eastAsia="方正仿宋简体" w:cs="Times New Roman"/>
          <w:sz w:val="32"/>
          <w:szCs w:val="22"/>
          <w14:ligatures w14:val="standardContextual"/>
        </w:rPr>
        <w:t>)</w:t>
      </w:r>
    </w:p>
    <w:p w14:paraId="7CE36BB9">
      <w:pPr>
        <w:spacing w:line="570" w:lineRule="exact"/>
        <w:ind w:firstLine="640" w:firstLineChars="200"/>
        <w:rPr>
          <w:rFonts w:ascii="Times New Roman" w:hAnsi="Times New Roman" w:eastAsia="方正仿宋简体" w:cs="Times New Roman"/>
          <w:sz w:val="32"/>
          <w:szCs w:val="22"/>
          <w14:ligatures w14:val="standardContextual"/>
        </w:rPr>
      </w:pPr>
      <w:r>
        <w:rPr>
          <w:rFonts w:hint="eastAsia" w:ascii="Times New Roman" w:hAnsi="Times New Roman" w:eastAsia="方正仿宋简体" w:cs="Times New Roman"/>
          <w:sz w:val="32"/>
          <w:szCs w:val="22"/>
          <w14:ligatures w14:val="standardContextual"/>
        </w:rPr>
        <w:t>以上政策执行期限为</w:t>
      </w:r>
      <w:r>
        <w:rPr>
          <w:rFonts w:ascii="Times New Roman" w:hAnsi="Times New Roman" w:eastAsia="方正仿宋简体" w:cs="Times New Roman"/>
          <w:sz w:val="32"/>
          <w:szCs w:val="22"/>
          <w14:ligatures w14:val="standardContextual"/>
        </w:rPr>
        <w:t>1</w:t>
      </w:r>
      <w:r>
        <w:rPr>
          <w:rFonts w:hint="eastAsia" w:ascii="Times New Roman" w:hAnsi="Times New Roman" w:eastAsia="方正仿宋简体" w:cs="Times New Roman"/>
          <w:sz w:val="32"/>
          <w:szCs w:val="22"/>
          <w14:ligatures w14:val="standardContextual"/>
        </w:rPr>
        <w:t>年，有效期至</w:t>
      </w:r>
      <w:r>
        <w:rPr>
          <w:rFonts w:ascii="Times New Roman" w:hAnsi="Times New Roman" w:eastAsia="方正仿宋简体" w:cs="Times New Roman"/>
          <w:sz w:val="32"/>
          <w:szCs w:val="22"/>
          <w14:ligatures w14:val="standardContextual"/>
        </w:rPr>
        <w:t>2025</w:t>
      </w:r>
      <w:r>
        <w:rPr>
          <w:rFonts w:hint="eastAsia" w:ascii="Times New Roman" w:hAnsi="Times New Roman" w:eastAsia="方正仿宋简体" w:cs="Times New Roman"/>
          <w:sz w:val="32"/>
          <w:szCs w:val="22"/>
          <w14:ligatures w14:val="standardContextual"/>
        </w:rPr>
        <w:t>年</w:t>
      </w:r>
      <w:r>
        <w:rPr>
          <w:rFonts w:ascii="Times New Roman" w:hAnsi="Times New Roman" w:eastAsia="方正仿宋简体" w:cs="Times New Roman"/>
          <w:sz w:val="32"/>
          <w:szCs w:val="22"/>
          <w14:ligatures w14:val="standardContextual"/>
        </w:rPr>
        <w:t>12</w:t>
      </w:r>
      <w:r>
        <w:rPr>
          <w:rFonts w:hint="eastAsia" w:ascii="Times New Roman" w:hAnsi="Times New Roman" w:eastAsia="方正仿宋简体" w:cs="Times New Roman"/>
          <w:sz w:val="32"/>
          <w:szCs w:val="22"/>
          <w14:ligatures w14:val="standardContextual"/>
        </w:rPr>
        <w:t>月</w:t>
      </w:r>
      <w:r>
        <w:rPr>
          <w:rFonts w:ascii="Times New Roman" w:hAnsi="Times New Roman" w:eastAsia="方正仿宋简体" w:cs="Times New Roman"/>
          <w:sz w:val="32"/>
          <w:szCs w:val="22"/>
          <w14:ligatures w14:val="standardContextual"/>
        </w:rPr>
        <w:t>31</w:t>
      </w:r>
      <w:r>
        <w:rPr>
          <w:rFonts w:hint="eastAsia" w:ascii="Times New Roman" w:hAnsi="Times New Roman" w:eastAsia="方正仿宋简体" w:cs="Times New Roman"/>
          <w:sz w:val="32"/>
          <w:szCs w:val="22"/>
          <w14:ligatures w14:val="standardContextual"/>
        </w:rPr>
        <w:t>日</w:t>
      </w:r>
    </w:p>
    <w:p w14:paraId="1C2BD496">
      <w:pPr>
        <w:spacing w:line="570" w:lineRule="exact"/>
        <w:ind w:firstLine="640" w:firstLineChars="200"/>
        <w:rPr>
          <w:rFonts w:ascii="Times New Roman" w:hAnsi="Times New Roman" w:eastAsia="方正仿宋简体" w:cs="Times New Roman"/>
          <w:sz w:val="32"/>
          <w:szCs w:val="22"/>
          <w14:ligatures w14:val="standardContextual"/>
        </w:rPr>
      </w:pPr>
    </w:p>
    <w:p w14:paraId="4B64ABB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val="en-US" w:eastAsia="zh-CN"/>
        </w:rPr>
      </w:pPr>
      <w:r>
        <w:rPr>
          <w:rFonts w:hint="eastAsia" w:ascii="Times New Roman" w:hAnsi="Times New Roman" w:eastAsia="方正小标宋简体" w:cs="方正小标宋简体"/>
          <w:kern w:val="2"/>
          <w:sz w:val="44"/>
          <w:szCs w:val="44"/>
          <w:lang w:val="en-US" w:eastAsia="zh-CN"/>
        </w:rPr>
        <w:t>山东省科学技术厅等8部门关于印发《山东省生物育种产业科技创新行动计划（2025—2027年）》的通知</w:t>
      </w:r>
    </w:p>
    <w:p w14:paraId="7865CC0A">
      <w:pPr>
        <w:widowControl w:val="0"/>
        <w:bidi w:val="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各市人民政府，各县（市、区）人民政府，省政府各部门、各直属机构，各大企业，各高等院校：</w:t>
      </w:r>
    </w:p>
    <w:p w14:paraId="598FE73C">
      <w:pPr>
        <w:widowControl w:val="0"/>
        <w:bidi w:val="0"/>
        <w:jc w:val="both"/>
        <w:rPr>
          <w:rFonts w:hint="eastAsia" w:ascii="Times New Roman" w:hAnsi="Times New Roman" w:eastAsia="方正仿宋简体" w:cs="方正仿宋简体"/>
          <w:b w:val="0"/>
          <w:bCs w:val="0"/>
          <w:color w:val="000000"/>
          <w:kern w:val="2"/>
          <w:sz w:val="32"/>
          <w:szCs w:val="32"/>
          <w:lang w:eastAsia="zh-CN"/>
        </w:rPr>
      </w:pPr>
    </w:p>
    <w:p w14:paraId="130C9D80">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经省政府同意，现将《山东省生物育种产业科技创新行动计划（2025—2027年）》印发给你们，请结合实际认真贯彻落实。</w:t>
      </w:r>
    </w:p>
    <w:p w14:paraId="617EA586">
      <w:pPr>
        <w:widowControl w:val="0"/>
        <w:bidi w:val="0"/>
        <w:ind w:firstLine="720" w:firstLineChars="0"/>
        <w:jc w:val="both"/>
        <w:rPr>
          <w:rFonts w:hint="eastAsia" w:ascii="Times New Roman" w:hAnsi="Times New Roman" w:eastAsia="方正仿宋简体" w:cs="方正仿宋简体"/>
          <w:b w:val="0"/>
          <w:bCs w:val="0"/>
          <w:color w:val="000000"/>
          <w:kern w:val="2"/>
          <w:sz w:val="32"/>
          <w:szCs w:val="32"/>
          <w:lang w:eastAsia="zh-CN"/>
        </w:rPr>
      </w:pPr>
    </w:p>
    <w:p w14:paraId="79BE033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2BC8798A">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1E4B698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28B2DEA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30636A3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山东省自然资源厅</w:t>
      </w:r>
    </w:p>
    <w:p w14:paraId="640D408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山东省农业农村厅</w:t>
      </w:r>
    </w:p>
    <w:p w14:paraId="4527E33B">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山东省海洋局</w:t>
      </w:r>
    </w:p>
    <w:p w14:paraId="227DA30E">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山东省畜牧兽医局</w:t>
      </w:r>
    </w:p>
    <w:p w14:paraId="739D415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7C674E15">
      <w:pPr>
        <w:widowControl w:val="0"/>
        <w:tabs>
          <w:tab w:val="left" w:pos="2348"/>
        </w:tabs>
        <w:bidi w:val="0"/>
        <w:jc w:val="right"/>
        <w:rPr>
          <w:rFonts w:hint="eastAsia" w:ascii="Times New Roman" w:hAnsi="Times New Roman" w:eastAsia="微软雅黑" w:cs="微软雅黑"/>
          <w:i w:val="0"/>
          <w:iCs w:val="0"/>
          <w:caps w:val="0"/>
          <w:color w:val="333333"/>
          <w:spacing w:val="0"/>
          <w:kern w:val="0"/>
          <w:sz w:val="19"/>
          <w:szCs w:val="19"/>
          <w:lang w:eastAsia="en-US"/>
        </w:rPr>
      </w:pPr>
      <w:r>
        <w:rPr>
          <w:rFonts w:hint="eastAsia" w:ascii="Times New Roman" w:hAnsi="Times New Roman" w:eastAsia="方正仿宋简体" w:cs="方正仿宋简体"/>
          <w:b w:val="0"/>
          <w:bCs w:val="0"/>
          <w:color w:val="000000"/>
          <w:kern w:val="2"/>
          <w:sz w:val="32"/>
          <w:szCs w:val="32"/>
          <w:lang w:eastAsia="zh-CN"/>
        </w:rPr>
        <w:t>2024年12月6日</w:t>
      </w:r>
    </w:p>
    <w:p w14:paraId="4E80B59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333C651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山东省生物育种产业科技创新行动计划</w:t>
      </w:r>
    </w:p>
    <w:p w14:paraId="237760F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5D373EF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为抢抓“生物育种4.0”战略机遇，加快提升全省生物育种科技创新能力，引领生物育种未来产业快速发展，特制定本行动计划。</w:t>
      </w:r>
    </w:p>
    <w:p w14:paraId="18820D07">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2F312E8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以推动生物育种科技创新和产业创新深度融合，建设种业科技强省为总目标，构建以前沿探索、关键核心技术攻关、创新应用为主体的生物育种产学研协同创新体系，努力打造世界生物育种前沿技术创新、国家种业关键应用技术集成、黄淮海区域重大新品种供给、育种领军企业集聚的创新高地，树立大农业观、大食物观，科技赋能粮食产能提升和农产品有效供给，推动全省生物育种高水平科技自立自强和农业现代化大产业发展。力争到2027年，全省生物育种综合创新能力显著提升，原创基础理论取得重大进展，突破一批生物育种“卡脖子”技术，创新集成生物技术（BT）、信息技术（IT）、智能技术（AT）的智能设计育种技术体系，培育一批市场竞争力强的重大动植物新品种（种质），构建以企业为主体、市场为导向、产学研协同、“育繁推一体化”的商业化育种模式，加快培育新质生产力，实现我省生物种业高质量发展。</w:t>
      </w:r>
    </w:p>
    <w:p w14:paraId="35EB3DC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种质创新利用取得突破。精准鉴定评价粮经作物、家畜、水产等种质资源10000份以上，挖掘具有重要育种价值的关键基因70个以上，解析主要经济性状形成的遗传基础与调控机制，构建展现基因间相互作用关系的表达数据调控网络30个以上，创制综合性状优良的新种质（种群）100份以上。</w:t>
      </w:r>
    </w:p>
    <w:p w14:paraId="2A19C13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育种技术水平显著提升。开发基于不同物种高通量表型精准鉴定、全基因组选择等技术7个以上，建立具有自主知识产权生物育种核心技术5个以上，开发生物技术、信息技术、智能技术融合的模型和平台5个以上。研发具有自主知识产权的小麦、玉米、大豆等智能作物育种装备3套以上，生物育种速度较传统育种提高2—3倍。</w:t>
      </w:r>
    </w:p>
    <w:p w14:paraId="4579977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——重大品种创新实现跨越。取得转基因玉米、大豆生产应用安全证书7项以上，培育主要粮经蔬菜果品、家畜、水产等重大突破性新品种（系、配套系）30个以上。</w:t>
      </w:r>
    </w:p>
    <w:p w14:paraId="292EE2D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生物育种产业大幅跃升。培育国内领先的种业创新团队15个以上，引进生物育种关键领域高端人才10人以上。国家种业阵型、“育繁推一体化”种业企业创新能力显著增强，培育“育繁推一体化”种业企业2家。</w:t>
      </w:r>
    </w:p>
    <w:p w14:paraId="7FBB698A">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2DA3E04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聚焦国家种业振兴战略部署和世界生物育种科技前沿，坚持农林牧渔并举，构建多元化食物供给体系，围绕产业链部署创新链，一体化推进生物育种重大基础理论创新、关键共性技术攻关、突破性新品种培育、科技成果转化等全产业链布局，组织实施五大行动，为培育种业新质生产力提供支撑和坚强保障。</w:t>
      </w:r>
    </w:p>
    <w:p w14:paraId="296F726A">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（一）实施种质资源保护利用行动</w:t>
      </w:r>
    </w:p>
    <w:p w14:paraId="699ECBB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1.种质资源精准鉴定与关键基因挖掘。</w:t>
      </w:r>
      <w:r>
        <w:rPr>
          <w:rFonts w:hint="eastAsia" w:ascii="Times New Roman" w:hAnsi="Times New Roman" w:eastAsia="方正仿宋简体" w:cs="方正仿宋简体"/>
          <w:b w:val="0"/>
          <w:bCs w:val="0"/>
          <w:color w:val="000000"/>
          <w:kern w:val="2"/>
          <w:sz w:val="32"/>
          <w:szCs w:val="32"/>
          <w:rtl w:val="0"/>
          <w:lang w:val="en-US" w:eastAsia="zh-CN"/>
        </w:rPr>
        <w:t>研发智能化、高通量、动态无损测量的种质资源表型鉴定技术及装备，建设一批营养、加工等性状测试平台，开发低成本、高通量基因分型技术，构建基因型—表型预测模型，发掘具有重要育种价值的关键基因，解析不同地理群体遗传与资源特征。</w:t>
      </w:r>
    </w:p>
    <w:p w14:paraId="510793D5">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2.生物资源安全管理与引进利用。</w:t>
      </w:r>
      <w:r>
        <w:rPr>
          <w:rFonts w:hint="eastAsia" w:ascii="Times New Roman" w:hAnsi="Times New Roman" w:eastAsia="方正仿宋简体" w:cs="方正仿宋简体"/>
          <w:b w:val="0"/>
          <w:bCs w:val="0"/>
          <w:color w:val="000000"/>
          <w:kern w:val="2"/>
          <w:sz w:val="32"/>
          <w:szCs w:val="32"/>
          <w:rtl w:val="0"/>
          <w:lang w:val="en-US" w:eastAsia="zh-CN"/>
        </w:rPr>
        <w:t>加强种质资源的保存保护，保存粮经作物、家畜、水产等种质资源50000份以上，建设生物资源数据库，规范生物资源分级分类应用，研究生物安全预警技术，完善生物资源信息预警体系，保障全省生物资源安全和动态稳定。加强生物物种资源对外交流合作，支持种业企业引进优异种质资源，推进生物种质资源安全高效交流。</w:t>
      </w:r>
    </w:p>
    <w:p w14:paraId="045D6442">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（二）实施前沿技术引领创新行动</w:t>
      </w:r>
    </w:p>
    <w:p w14:paraId="0268EF1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1.基因编辑技术研发。</w:t>
      </w:r>
      <w:r>
        <w:rPr>
          <w:rFonts w:hint="eastAsia" w:ascii="Times New Roman" w:hAnsi="Times New Roman" w:eastAsia="方正仿宋简体" w:cs="方正仿宋简体"/>
          <w:b w:val="0"/>
          <w:bCs w:val="0"/>
          <w:color w:val="000000"/>
          <w:kern w:val="2"/>
          <w:sz w:val="32"/>
          <w:szCs w:val="32"/>
          <w:rtl w:val="0"/>
          <w:lang w:val="en-US" w:eastAsia="zh-CN"/>
        </w:rPr>
        <w:t>研发不受基因型和物种限制的高效植物遗传转化及多基因协同编辑新技术，开发具有自主知识产权的植物基因编辑系统。创新高效多位点编辑、精准基因替换等基因编辑技术，构建基于家畜原始生殖细胞、多能干细胞的新型编辑体系。研发不依赖于显微注射的新型外源大分子递送、编辑体高效筛选等基因编辑衍生新技术，构建水产高通量基因编辑技术体系。</w:t>
      </w:r>
    </w:p>
    <w:p w14:paraId="7876C14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2.现代高效育种技术研发。</w:t>
      </w:r>
      <w:r>
        <w:rPr>
          <w:rFonts w:hint="eastAsia" w:ascii="Times New Roman" w:hAnsi="Times New Roman" w:eastAsia="方正仿宋简体" w:cs="方正仿宋简体"/>
          <w:b w:val="0"/>
          <w:bCs w:val="0"/>
          <w:color w:val="000000"/>
          <w:kern w:val="2"/>
          <w:sz w:val="32"/>
          <w:szCs w:val="32"/>
          <w:rtl w:val="0"/>
          <w:lang w:val="en-US" w:eastAsia="zh-CN"/>
        </w:rPr>
        <w:t>深入开展转基因、基因组选择等关键共性育种技术研发。开发新一代植物远缘杂交育种技术，创新植物杂种优势固定、双单倍体育种、植物从头驯化和再驯化新技术。研发家畜体细胞克隆、体外性控胚胎生产、性腺类器官、干细胞体外育种等技术。完善水产性别控制、倍性育种、表观调控育种等技术，建立现代高效育种技术。</w:t>
      </w:r>
    </w:p>
    <w:p w14:paraId="284069A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3.智能设计育种技术体系构建。</w:t>
      </w:r>
      <w:r>
        <w:rPr>
          <w:rFonts w:hint="eastAsia" w:ascii="Times New Roman" w:hAnsi="Times New Roman" w:eastAsia="方正仿宋简体" w:cs="方正仿宋简体"/>
          <w:b w:val="0"/>
          <w:bCs w:val="0"/>
          <w:color w:val="000000"/>
          <w:kern w:val="2"/>
          <w:sz w:val="32"/>
          <w:szCs w:val="32"/>
          <w:rtl w:val="0"/>
          <w:lang w:val="en-US" w:eastAsia="zh-CN"/>
        </w:rPr>
        <w:t>研发人工智能图像识别等算法和分子模块聚合育种，获取表型和环境大数据，融合基因和遗传组学大数据，通过对遗传变异、多组学、种质资源等数据的组合，开发基于特征表征、多模态融合的新算法和模型，在主要粮经作物、家畜、水产等重点领域建立BT—IT—AT融合的智能设计育种技术体系。</w:t>
      </w:r>
    </w:p>
    <w:p w14:paraId="1E835A3C">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（三）实施突破性新品种培育行动</w:t>
      </w:r>
    </w:p>
    <w:p w14:paraId="22471D8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1.粮经蔬菜果品新品种培育。</w:t>
      </w:r>
      <w:r>
        <w:rPr>
          <w:rFonts w:hint="eastAsia" w:ascii="Times New Roman" w:hAnsi="Times New Roman" w:eastAsia="方正仿宋简体" w:cs="方正仿宋简体"/>
          <w:b w:val="0"/>
          <w:bCs w:val="0"/>
          <w:color w:val="000000"/>
          <w:kern w:val="2"/>
          <w:sz w:val="32"/>
          <w:szCs w:val="32"/>
          <w:rtl w:val="0"/>
          <w:lang w:val="en-US" w:eastAsia="zh-CN"/>
        </w:rPr>
        <w:t>培育高产、优质、节水、抗逆、抗除草剂、绿色、高效、宜机械化粮经作物突破性新品种，重点培育高产优质小麦、耐密抗倒玉米、高产高油大豆、宜机收抗除草剂棉花、优质蔬菜、大果抗裂软籽石榴等新品种10个以上。</w:t>
      </w:r>
    </w:p>
    <w:p w14:paraId="16D3097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2.林草花卉新品种培育。</w:t>
      </w:r>
      <w:r>
        <w:rPr>
          <w:rFonts w:hint="eastAsia" w:ascii="Times New Roman" w:hAnsi="Times New Roman" w:eastAsia="方正仿宋简体" w:cs="方正仿宋简体"/>
          <w:b w:val="0"/>
          <w:bCs w:val="0"/>
          <w:color w:val="000000"/>
          <w:kern w:val="2"/>
          <w:sz w:val="32"/>
          <w:szCs w:val="32"/>
          <w:rtl w:val="0"/>
          <w:lang w:val="en-US" w:eastAsia="zh-CN"/>
        </w:rPr>
        <w:t>培育具有高产、优质、高抗林草花卉突破性新品种，重点培育高值高质花卉、速生用材林木、高抗生态林草等新品种6个以上。</w:t>
      </w:r>
    </w:p>
    <w:p w14:paraId="5FE7533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3.家畜新品种（种质）培育。</w:t>
      </w:r>
      <w:r>
        <w:rPr>
          <w:rFonts w:hint="eastAsia" w:ascii="Times New Roman" w:hAnsi="Times New Roman" w:eastAsia="方正仿宋简体" w:cs="方正仿宋简体"/>
          <w:b w:val="0"/>
          <w:bCs w:val="0"/>
          <w:color w:val="000000"/>
          <w:kern w:val="2"/>
          <w:sz w:val="32"/>
          <w:szCs w:val="32"/>
          <w:rtl w:val="0"/>
          <w:lang w:val="en-US" w:eastAsia="zh-CN"/>
        </w:rPr>
        <w:t>培育快长、抗病、优质、高效家畜突破性新品种（种质），重点培育耐热高繁奶牛、快长高繁羊、抗病高繁高饲料利用率猪、德州驴等新品种（种质）4个以上。</w:t>
      </w:r>
    </w:p>
    <w:p w14:paraId="3597912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4.水产新品种（种质）培育。</w:t>
      </w:r>
      <w:r>
        <w:rPr>
          <w:rFonts w:hint="eastAsia" w:ascii="Times New Roman" w:hAnsi="Times New Roman" w:eastAsia="方正仿宋简体" w:cs="方正仿宋简体"/>
          <w:b w:val="0"/>
          <w:bCs w:val="0"/>
          <w:color w:val="000000"/>
          <w:kern w:val="2"/>
          <w:sz w:val="32"/>
          <w:szCs w:val="32"/>
          <w:rtl w:val="0"/>
          <w:lang w:val="en-US" w:eastAsia="zh-CN"/>
        </w:rPr>
        <w:t>培育速生、多抗、广适、适合深远海和陆基工厂化养殖的水产突破性新品种（种质），重点培育抗病耐高温大西洋鲑、虹鳟、半滑舌鳎、石斑鱼，速生耐高温牡蛎、扇贝、鲍，高营养品质刺参等新品种（种质）10个以上。</w:t>
      </w:r>
    </w:p>
    <w:p w14:paraId="2C4952BA">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（四）实施种业创新体系优化行动</w:t>
      </w:r>
    </w:p>
    <w:p w14:paraId="76D48BD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1.生物种业创新平台体系建设。</w:t>
      </w:r>
      <w:r>
        <w:rPr>
          <w:rFonts w:hint="eastAsia" w:ascii="Times New Roman" w:hAnsi="Times New Roman" w:eastAsia="方正仿宋简体" w:cs="方正仿宋简体"/>
          <w:b w:val="0"/>
          <w:bCs w:val="0"/>
          <w:color w:val="000000"/>
          <w:kern w:val="2"/>
          <w:sz w:val="32"/>
          <w:szCs w:val="32"/>
          <w:rtl w:val="0"/>
          <w:lang w:val="en-US" w:eastAsia="zh-CN"/>
        </w:rPr>
        <w:t>高水平建设小麦育种全国重点实验室、海水养殖生物育种与可持续产出全国重点实验室、国家盐碱地综合利用创新中心等高能级创新平台，支持符合相关规定的育种企业牵头建设省重点实验室、技术创新中心等省级创新平台，打造国家级、省部级一体化的生物种业创新平台体系。</w:t>
      </w:r>
    </w:p>
    <w:p w14:paraId="1EF5AEA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2.生物种业高端人才队伍引育。</w:t>
      </w:r>
      <w:r>
        <w:rPr>
          <w:rFonts w:hint="eastAsia" w:ascii="Times New Roman" w:hAnsi="Times New Roman" w:eastAsia="方正仿宋简体" w:cs="方正仿宋简体"/>
          <w:b w:val="0"/>
          <w:bCs w:val="0"/>
          <w:color w:val="000000"/>
          <w:kern w:val="2"/>
          <w:sz w:val="32"/>
          <w:szCs w:val="32"/>
          <w:rtl w:val="0"/>
          <w:lang w:val="en-US" w:eastAsia="zh-CN"/>
        </w:rPr>
        <w:t>坚持引育并举，通过“一事一议”、泰山系列人才等人才计划，重点引进基因编辑、人工智能、大数据分析、合成生物学等生物育种关键领域高端人才。强化双一流学科和相关团队建设，充分发挥高校、科研院所在人才培养中的作用，培育国内领先的种业创新团队15个以上，为生物育种产业创新发展培养拔尖创新人才。统筹好原始创新人才、高技能人才、应用型人才建设，鼓励企科深度合作，联合培养一批熟悉产业的博士、博士后人才。</w:t>
      </w:r>
    </w:p>
    <w:p w14:paraId="6421BA6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3.生物种业领域体制机制创新。</w:t>
      </w:r>
      <w:r>
        <w:rPr>
          <w:rFonts w:hint="eastAsia" w:ascii="Times New Roman" w:hAnsi="Times New Roman" w:eastAsia="方正仿宋简体" w:cs="方正仿宋简体"/>
          <w:b w:val="0"/>
          <w:bCs w:val="0"/>
          <w:color w:val="000000"/>
          <w:kern w:val="2"/>
          <w:sz w:val="32"/>
          <w:szCs w:val="32"/>
          <w:rtl w:val="0"/>
          <w:lang w:val="en-US" w:eastAsia="zh-CN"/>
        </w:rPr>
        <w:t>加强省级相关主管部门协商交流，统筹协调政策制定、计划组织实施等工作，强化总体设计，建立“技术突破、品种创制、市场模式、产业发展”全链条体系化种业创新机制，基础类、公益类项目由高校院所牵头，市场化程度高的项目由龙头企业牵头，打造产业整体竞争优势。依托山东科技大市场，加强供需对接、成果评估交易、融资路演和中介服务，完善生物育种技术转移服务体系，提高转化效率。</w:t>
      </w:r>
    </w:p>
    <w:p w14:paraId="4806BEDE">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（五）实施种业产业提升行动</w:t>
      </w:r>
    </w:p>
    <w:p w14:paraId="19EA90A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1.领军企业培育。</w:t>
      </w:r>
      <w:r>
        <w:rPr>
          <w:rFonts w:hint="eastAsia" w:ascii="Times New Roman" w:hAnsi="Times New Roman" w:eastAsia="方正仿宋简体" w:cs="方正仿宋简体"/>
          <w:b w:val="0"/>
          <w:bCs w:val="0"/>
          <w:color w:val="000000"/>
          <w:kern w:val="2"/>
          <w:sz w:val="32"/>
          <w:szCs w:val="32"/>
          <w:rtl w:val="0"/>
          <w:lang w:val="en-US" w:eastAsia="zh-CN"/>
        </w:rPr>
        <w:t>重点扶持一批科技含量高、市场潜力大、产业带动能力强的生物育种科技领军企业，强化政策、人才、技术、资金等多方面支持，加大科技计划对育种领军企业的支持力度。鼓励企业加大研发投入，深化与高校、科研院所的合作，加快基因编辑、智能设计育种等前沿技术在育种领域的应用，促进科技成果落地。</w:t>
      </w:r>
    </w:p>
    <w:p w14:paraId="26C1F5D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2.产业集群打造。</w:t>
      </w:r>
      <w:r>
        <w:rPr>
          <w:rFonts w:hint="eastAsia" w:ascii="Times New Roman" w:hAnsi="Times New Roman" w:eastAsia="方正仿宋简体" w:cs="方正仿宋简体"/>
          <w:b w:val="0"/>
          <w:bCs w:val="0"/>
          <w:color w:val="000000"/>
          <w:kern w:val="2"/>
          <w:sz w:val="32"/>
          <w:szCs w:val="32"/>
          <w:rtl w:val="0"/>
          <w:lang w:val="en-US" w:eastAsia="zh-CN"/>
        </w:rPr>
        <w:t>立足地区资源禀赋和产业特色优势，鼓励从事生物育种研究、开发、生产和销售的企业、科研机构和相关服务机构，通过资源共享、技术协作和市场联动，优化资源配置，推动全省在济南、青岛、烟台等市布局作物、家畜、水产等育种产业集群创新发展。</w:t>
      </w:r>
    </w:p>
    <w:p w14:paraId="6E2F9FC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3.科技金融助力。</w:t>
      </w:r>
      <w:r>
        <w:rPr>
          <w:rFonts w:hint="eastAsia" w:ascii="Times New Roman" w:hAnsi="Times New Roman" w:eastAsia="方正仿宋简体" w:cs="方正仿宋简体"/>
          <w:b w:val="0"/>
          <w:bCs w:val="0"/>
          <w:color w:val="000000"/>
          <w:kern w:val="2"/>
          <w:sz w:val="32"/>
          <w:szCs w:val="32"/>
          <w:rtl w:val="0"/>
          <w:lang w:val="en-US" w:eastAsia="zh-CN"/>
        </w:rPr>
        <w:t>鼓励科技金融向科技型种业企业倾斜，加快形成以生物育种产业投资为重点的科技金融服务体系，优化科融信综合服务平台，综合采取贷款贴息、保费补贴、风险补偿等财政支持方式，鼓励金融机构丰富产品、优化服务，引导风险投资基金加大对种业科技创新投入力度，为生物育种企业提供融资便利。强化科技、财政、金融政策协同，通过“拨投贷”联动机制，引导金融、产业、社会资本参与生物育种技术创新与产业化落地。</w:t>
      </w:r>
    </w:p>
    <w:p w14:paraId="2F421D9F">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ab/>
      </w:r>
      <w:r>
        <w:rPr>
          <w:rFonts w:hint="eastAsia" w:ascii="Times New Roman" w:hAnsi="Times New Roman" w:eastAsia="方正黑体简体" w:cs="Times New Roman"/>
          <w:kern w:val="44"/>
          <w:sz w:val="32"/>
          <w:szCs w:val="24"/>
          <w:rtl w:val="0"/>
          <w:lang w:val="en-US" w:eastAsia="zh-CN" w:bidi="ar-SA"/>
        </w:rPr>
        <w:t>三、重点举措</w:t>
      </w:r>
    </w:p>
    <w:p w14:paraId="5BE95B5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（一）加强组织协调。</w:t>
      </w:r>
      <w:r>
        <w:rPr>
          <w:rFonts w:hint="eastAsia" w:ascii="Times New Roman" w:hAnsi="Times New Roman" w:eastAsia="方正仿宋简体" w:cs="方正仿宋简体"/>
          <w:b w:val="0"/>
          <w:bCs w:val="0"/>
          <w:color w:val="000000"/>
          <w:kern w:val="2"/>
          <w:sz w:val="32"/>
          <w:szCs w:val="32"/>
          <w:rtl w:val="0"/>
          <w:lang w:val="en-US" w:eastAsia="zh-CN"/>
        </w:rPr>
        <w:t>在省委科技委领导下，加强生物育种科技创新，强化政策协同联动，发挥科技界、产业界、经济界专家作用，做好生物育种领域科技发展战略、重大任务、重大创新及产业化发展方向的布局。（牵头单位：省科技厅；配合单位：省教育厅、省财政厅、省自然资源厅、省农业农村厅、省海洋局、省畜牧局）</w:t>
      </w:r>
    </w:p>
    <w:p w14:paraId="0D1F6A1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（二）统筹要素保障。</w:t>
      </w:r>
      <w:r>
        <w:rPr>
          <w:rFonts w:hint="eastAsia" w:ascii="Times New Roman" w:hAnsi="Times New Roman" w:eastAsia="方正仿宋简体" w:cs="方正仿宋简体"/>
          <w:b w:val="0"/>
          <w:bCs w:val="0"/>
          <w:color w:val="000000"/>
          <w:kern w:val="2"/>
          <w:sz w:val="32"/>
          <w:szCs w:val="32"/>
          <w:rtl w:val="0"/>
          <w:lang w:val="en-US" w:eastAsia="zh-CN"/>
        </w:rPr>
        <w:t>加强规划任务与科技资源配置的有效衔接，支持企业积极争取牵头承担国家重点研发计划育种有关项目。优化省级科技创新发展资金配置，布局生物育种产业领域科技示范工程，在省自然科学基金中设立生物育种前沿研究专项，省农业良种工程中加大对生物育种的支持力度。发挥现有创投基金作用，给予生物育种产业创新创业金融支持。强化生物育种产业建设发展用地、用海、用工等要素保障。（牵头单位：省科技厅；配合单位：省发展改革委、省财政厅、省自然资源厅、省农业农村厅、省海洋局）</w:t>
      </w:r>
    </w:p>
    <w:p w14:paraId="3495E32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（三）强化政策支持。</w:t>
      </w:r>
      <w:r>
        <w:rPr>
          <w:rFonts w:hint="eastAsia" w:ascii="Times New Roman" w:hAnsi="Times New Roman" w:eastAsia="方正仿宋简体" w:cs="方正仿宋简体"/>
          <w:b w:val="0"/>
          <w:bCs w:val="0"/>
          <w:color w:val="000000"/>
          <w:kern w:val="2"/>
          <w:sz w:val="32"/>
          <w:szCs w:val="32"/>
          <w:rtl w:val="0"/>
          <w:lang w:val="en-US" w:eastAsia="zh-CN"/>
        </w:rPr>
        <w:t>聚焦生物育种产业发展，支持40周岁以下青年科技人才在重大项目中“挑大梁”“当主角”，形成老中青有机结合的人才队伍。从研发、市场、金融、组织机构等层面强化政策创新，重点加强生物安全、科技金融、成果转化、知识产权保护、人才引育等政策供给，建立完善生物育种产业政策体系。（牵头单位：省科技厅；配合单位：省教育厅、省财政厅、省农业农村厅）</w:t>
      </w:r>
    </w:p>
    <w:p w14:paraId="330B6C0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3807934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C2AAFD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0CAF83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A7A9B9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6A76D1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sectPr>
          <w:footerReference r:id="rId6" w:type="default"/>
          <w:pgSz w:w="11906" w:h="16838"/>
          <w:pgMar w:top="1120" w:right="1449" w:bottom="1960" w:left="1542" w:header="708" w:footer="1080" w:gutter="0"/>
          <w:pgNumType w:fmt="decimal"/>
          <w:cols w:space="720" w:num="1"/>
        </w:sectPr>
      </w:pPr>
    </w:p>
    <w:p w14:paraId="2B8822F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lang w:eastAsia="zh-CN"/>
        </w:rPr>
      </w:pPr>
      <w:r>
        <w:rPr>
          <w:rFonts w:hint="eastAsia" w:ascii="Times New Roman" w:hAnsi="Times New Roman" w:eastAsia="方正小标宋简体" w:cs="方正小标宋简体"/>
          <w:kern w:val="2"/>
          <w:sz w:val="44"/>
          <w:szCs w:val="44"/>
          <w:lang w:eastAsia="zh-CN"/>
        </w:rPr>
        <w:t>山东省科学技术厅等18部门关于印发《山东省人工智能产业科技创新行动计划（2025—2027年）》的通知</w:t>
      </w:r>
    </w:p>
    <w:p w14:paraId="268318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各市人民政府，各县（市、区）人民政府，省政府各部门、各直属机构，各大企业，各高等院校：</w:t>
      </w:r>
    </w:p>
    <w:p w14:paraId="4A599E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p>
    <w:p w14:paraId="1BE296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经省政府同意，现将《山东省人工智能产业科技创新行动计划（2025—2027年）》印发给你们，请结合实际认真贯彻落实。</w:t>
      </w:r>
    </w:p>
    <w:p w14:paraId="510D54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p>
    <w:p w14:paraId="0F2454FC">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5B9C3F5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410A886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中共山东省委网络安全和信息化委员会办公室</w:t>
      </w:r>
    </w:p>
    <w:p w14:paraId="03B4286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中共山东省委金融委员会办公室</w:t>
      </w:r>
    </w:p>
    <w:p w14:paraId="65010B6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590B658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05E68731">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211388D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0942CA5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7D948EC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山东省商务厅</w:t>
      </w:r>
    </w:p>
    <w:p w14:paraId="1915849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山东省卫生健康委员会</w:t>
      </w:r>
    </w:p>
    <w:p w14:paraId="45D7D2A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山东省人民政府国有资产监督管理委员会</w:t>
      </w:r>
    </w:p>
    <w:p w14:paraId="5DE8C9F0">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山东省市场监督管理局</w:t>
      </w:r>
    </w:p>
    <w:p w14:paraId="060634CB">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山东省大数据局</w:t>
      </w:r>
    </w:p>
    <w:p w14:paraId="1EC9A33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山东省海洋局</w:t>
      </w:r>
    </w:p>
    <w:p w14:paraId="0FD3A9C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山东省通信管理局</w:t>
      </w:r>
    </w:p>
    <w:p w14:paraId="1789FCF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中国人民银行山东省分行</w:t>
      </w:r>
    </w:p>
    <w:p w14:paraId="425CB5E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国家金融监督管理总局山东监管局</w:t>
      </w:r>
    </w:p>
    <w:p w14:paraId="5905E4A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0C880CDF">
      <w:pPr>
        <w:widowControl w:val="0"/>
        <w:tabs>
          <w:tab w:val="left" w:pos="2348"/>
        </w:tabs>
        <w:bidi w:val="0"/>
        <w:jc w:val="right"/>
        <w:rPr>
          <w:rFonts w:hint="eastAsia" w:ascii="Times New Roman" w:hAnsi="Times New Roman" w:eastAsia="微软雅黑" w:cs="微软雅黑"/>
          <w:i w:val="0"/>
          <w:iCs w:val="0"/>
          <w:caps w:val="0"/>
          <w:color w:val="333333"/>
          <w:spacing w:val="0"/>
          <w:kern w:val="0"/>
          <w:sz w:val="19"/>
          <w:szCs w:val="19"/>
          <w:lang w:eastAsia="en-US"/>
        </w:rPr>
      </w:pPr>
      <w:r>
        <w:rPr>
          <w:rFonts w:hint="eastAsia" w:ascii="Times New Roman" w:hAnsi="Times New Roman" w:eastAsia="方正仿宋简体" w:cs="方正仿宋简体"/>
          <w:b w:val="0"/>
          <w:bCs w:val="0"/>
          <w:color w:val="000000"/>
          <w:kern w:val="2"/>
          <w:sz w:val="32"/>
          <w:szCs w:val="32"/>
          <w:lang w:eastAsia="zh-CN"/>
        </w:rPr>
        <w:t>2024年12月6日</w:t>
      </w:r>
    </w:p>
    <w:p w14:paraId="5BEBCE6F">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32CC74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山东省人工智能产业科技创新行动计划</w:t>
      </w:r>
    </w:p>
    <w:p w14:paraId="3548654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6CA60B9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为充分发挥科技创新对人工智能产业发展的引领支撑作用，加快培育新质生产力，特制定本行动计划。</w:t>
      </w:r>
    </w:p>
    <w:p w14:paraId="06D34E55">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20B06C7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瞄准人工智能前沿方向，以突破人工智能关键技术为核心，以拓展人工智能示范应用为路径，以推动人工智能与实体经济深度融合为主攻方向，全力构筑开放多元、安全持久的产业生态，打造全国新一代人工智能创新发展高地，促进全省新质生产力加快发展。力争到2027年，全省算力算法数据有效支撑，创新体系不断完善，场景赋能的广度和深度全面拓展。在基础理论、关键核心技术等方面取得10项以上原创性重大科技成果；全省算力规模达到14EFlops（每秒百亿亿次浮点运算），智能算力占比达到40%；打造具有国内竞争力的行业级大模型10个以上；培育20家人工智能领军企业；建成100家重大科技创新平台；新引育90名国家级、150名省级科技人才；打造500个左右全国领先的深度融合应用场景；打造一批细分领域产业集群，人工智能核心产业产值规模突破1000亿元，带动相关产业规模超万亿元，成为全国重要的人工智能科技创新与产业应用融合发展高地。</w:t>
      </w:r>
    </w:p>
    <w:p w14:paraId="3D18F2CB">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7DC502C3">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（一）实施软硬协同“策源攀高”创新行动</w:t>
      </w:r>
    </w:p>
    <w:p w14:paraId="1541291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1.强化前沿基础研究和技术预见。</w:t>
      </w:r>
      <w:r>
        <w:rPr>
          <w:rFonts w:hint="eastAsia" w:ascii="Times New Roman" w:hAnsi="Times New Roman" w:eastAsia="方正仿宋简体" w:cs="方正仿宋简体"/>
          <w:b w:val="0"/>
          <w:bCs w:val="0"/>
          <w:color w:val="000000"/>
          <w:kern w:val="2"/>
          <w:sz w:val="32"/>
          <w:szCs w:val="32"/>
          <w:rtl w:val="0"/>
          <w:lang w:val="en-US" w:eastAsia="zh-CN"/>
        </w:rPr>
        <w:t>聚焦多模态智能、生成式智能、类脑智能、具身智能、群体智能等前沿基础理论，每年布局150项以上基础研究项目。充分发挥高校、实验室、基础科学研究中心等创新载体作用，加强学科优化与交叉融合，围绕下一代人工智能方法开展目标导向的有组织科研，力争突破一批原创性成果。（牵头单位：省科技厅，责任单位：省教育厅）</w:t>
      </w:r>
    </w:p>
    <w:p w14:paraId="59CDE75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2.开展基础软件关键技术攻关。</w:t>
      </w:r>
      <w:r>
        <w:rPr>
          <w:rFonts w:hint="eastAsia" w:ascii="Times New Roman" w:hAnsi="Times New Roman" w:eastAsia="方正仿宋简体" w:cs="方正仿宋简体"/>
          <w:b w:val="0"/>
          <w:bCs w:val="0"/>
          <w:color w:val="000000"/>
          <w:kern w:val="2"/>
          <w:sz w:val="32"/>
          <w:szCs w:val="32"/>
          <w:rtl w:val="0"/>
          <w:lang w:val="en-US" w:eastAsia="zh-CN"/>
        </w:rPr>
        <w:t>实施人工智能基础软件扶持计划，重点围绕智能操作系统、智能云计算系统、智能物联网系统、高性能向量数据库、中间件、智能体等关键基础软件开展攻关，加强软件全栈技术创新。打造一批软硬件一体化产品方案，强化人工智能软件和硬件相互适配、性能优化和应用推广。（牵头单位：省科技厅，责任单位：省发展改革委、省工业和信息化厅）</w:t>
      </w:r>
    </w:p>
    <w:p w14:paraId="371D1C7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3.加强智能硬件创新布局。</w:t>
      </w:r>
      <w:r>
        <w:rPr>
          <w:rFonts w:hint="eastAsia" w:ascii="Times New Roman" w:hAnsi="Times New Roman" w:eastAsia="方正仿宋简体" w:cs="方正仿宋简体"/>
          <w:b w:val="0"/>
          <w:bCs w:val="0"/>
          <w:color w:val="000000"/>
          <w:kern w:val="2"/>
          <w:sz w:val="32"/>
          <w:szCs w:val="32"/>
          <w:rtl w:val="0"/>
          <w:lang w:val="en-US" w:eastAsia="zh-CN"/>
        </w:rPr>
        <w:t>实施智能硬件加速创新计划，采取“技术攻关+产业化应用”项目形式，培育若干具有牵引性重大产品。打造国产化智能服务器矩阵，突破智能加速架构、计算系统等关键技术，提升智能硬件国产化水平。打造具身智能机器人矩阵，推动大模型与机器人本体深度结合，研发具有商业价值的整机产品。打造全屋智能产品矩阵，开展大模型高比例压缩、多智能体算法等技术攻关，促进消费级智能硬件加速发展。支持AI芯片、智能传感器、智能无人机等高频应用产品研发，将符合条件的软硬适配产品纳入首台（套）支持范围。（牵头单位：省科技厅，责任单位：省发展改革委、省工业和信息化厅、省财政厅）</w:t>
      </w:r>
    </w:p>
    <w:p w14:paraId="294C2298">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（二）实施智能底座“‌夯基垒台”创新行动</w:t>
      </w:r>
    </w:p>
    <w:p w14:paraId="099328D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1.提升算力资源统筹供给能力。</w:t>
      </w:r>
      <w:r>
        <w:rPr>
          <w:rFonts w:hint="eastAsia" w:ascii="Times New Roman" w:hAnsi="Times New Roman" w:eastAsia="方正仿宋简体" w:cs="方正仿宋简体"/>
          <w:b w:val="0"/>
          <w:bCs w:val="0"/>
          <w:color w:val="000000"/>
          <w:kern w:val="2"/>
          <w:sz w:val="32"/>
          <w:szCs w:val="32"/>
          <w:rtl w:val="0"/>
          <w:lang w:val="en-US" w:eastAsia="zh-CN"/>
        </w:rPr>
        <w:t>加大算网融合调度、算力跨域智能化等技术攻关，支持省内企事业单位建设运营超大规模混合算力海洋人工智能公共算力开放创新平台（筹）、山东算网平台等算力平台，增强企业内部算力统筹、调度和共享效能。支持重点地区开展智算中心集约化建设，通过“算力券”等开展普惠支持，降低算力使用成本。（牵头单位：省大数据局、省工业和信息化厅，责任单位：省发展改革委、省科技厅、省通信管理局）</w:t>
      </w:r>
    </w:p>
    <w:p w14:paraId="7DA380E1">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2.加快算法创新与应用。</w:t>
      </w:r>
      <w:r>
        <w:rPr>
          <w:rFonts w:hint="eastAsia" w:ascii="Times New Roman" w:hAnsi="Times New Roman" w:eastAsia="方正仿宋简体" w:cs="方正仿宋简体"/>
          <w:b w:val="0"/>
          <w:bCs w:val="0"/>
          <w:color w:val="000000"/>
          <w:kern w:val="2"/>
          <w:sz w:val="32"/>
          <w:szCs w:val="32"/>
          <w:rtl w:val="0"/>
          <w:lang w:val="en-US" w:eastAsia="zh-CN"/>
        </w:rPr>
        <w:t>鼓励企业建设算法创新基地、公共算法服务平台等，推动行业共性算法研发和供给，形成一批具有推广效应的算法产品和工具。举办人工智能算法大赛，聚焦关键算法与应用场景设计赛题，吸引全国优秀企业、团队参赛，以赛助研、引才、育产。到2027年，打造具有推广效应的100个算法产品。（牵头单位：省科技厅、省工业和信息化厅）</w:t>
      </w:r>
    </w:p>
    <w:p w14:paraId="0FCF2F1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3.推动数据要素开放流通。</w:t>
      </w:r>
      <w:r>
        <w:rPr>
          <w:rFonts w:hint="eastAsia" w:ascii="Times New Roman" w:hAnsi="Times New Roman" w:eastAsia="方正仿宋简体" w:cs="方正仿宋简体"/>
          <w:b w:val="0"/>
          <w:bCs w:val="0"/>
          <w:color w:val="000000"/>
          <w:kern w:val="2"/>
          <w:sz w:val="32"/>
          <w:szCs w:val="32"/>
          <w:rtl w:val="0"/>
          <w:lang w:val="en-US" w:eastAsia="zh-CN"/>
        </w:rPr>
        <w:t>建强用好省公共数据开放平台，强化区块链、隐私计算等技术研究应用，推动公共数据“应开放尽开放”。加快建立数据确权、定价、交易等规则，开展数据资产登记、授权运营、流通交易等改革。加快培育数据商和第三方专业服务机构，提供数据采、存、洗、标、训等服务。在交通、海洋等领域率先打造高质量行业数据集，构建多模态中文语料数据库。（牵头单位：省大数据局，责任单位：省工业和信息化厅）</w:t>
      </w:r>
    </w:p>
    <w:p w14:paraId="67E30394">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（三）实施大模型“扬帆领航”创新行动</w:t>
      </w:r>
    </w:p>
    <w:p w14:paraId="367113B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1.实施大模型创新扶持计划。</w:t>
      </w:r>
      <w:r>
        <w:rPr>
          <w:rFonts w:hint="eastAsia" w:ascii="Times New Roman" w:hAnsi="Times New Roman" w:eastAsia="方正仿宋简体" w:cs="方正仿宋简体"/>
          <w:b w:val="0"/>
          <w:bCs w:val="0"/>
          <w:color w:val="000000"/>
          <w:kern w:val="2"/>
          <w:sz w:val="32"/>
          <w:szCs w:val="32"/>
          <w:rtl w:val="0"/>
          <w:lang w:val="en-US" w:eastAsia="zh-CN"/>
        </w:rPr>
        <w:t>在省重点研发计划、省新旧动能转换重大产业攻关项目等中重点支持大模型创新，加强深度学习计算框架、大模型高效训练和推理加速等关键技术攻关，打造全链路自研大模型技术体系。（牵头单位：省发展改革委、省科技厅，责任单位：省工业和信息化厅）支持优势创新主体主导或参与大模型相关标准制订。（牵头单位：省市场监管局，责任单位：省科技厅、省工业和信息化厅）</w:t>
      </w:r>
    </w:p>
    <w:p w14:paraId="7C542F3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2.实施大模型应用推进计划。</w:t>
      </w:r>
      <w:r>
        <w:rPr>
          <w:rFonts w:hint="eastAsia" w:ascii="Times New Roman" w:hAnsi="Times New Roman" w:eastAsia="方正仿宋简体" w:cs="方正仿宋简体"/>
          <w:b w:val="0"/>
          <w:bCs w:val="0"/>
          <w:color w:val="000000"/>
          <w:kern w:val="2"/>
          <w:sz w:val="32"/>
          <w:szCs w:val="32"/>
          <w:rtl w:val="0"/>
          <w:lang w:val="en-US" w:eastAsia="zh-CN"/>
        </w:rPr>
        <w:t>重点支持在智能制造、智慧政务、智慧家庭、智慧海洋等领域打造标杆性垂域大模型产品和服务。支持优势企业打造MaaS一站式服务，助力生态伙伴构建专属大模型及开发智能应用。（牵头单位：省发展改革委、省工业和信息化厅，责任单位：省科技厅）支持国有企事业单位采用经测试评估的大模型产品和服务。（牵头单位：省国资委）</w:t>
      </w:r>
    </w:p>
    <w:p w14:paraId="0966C06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3.打造山东大模型试验场。</w:t>
      </w:r>
      <w:r>
        <w:rPr>
          <w:rFonts w:hint="eastAsia" w:ascii="Times New Roman" w:hAnsi="Times New Roman" w:eastAsia="方正仿宋简体" w:cs="方正仿宋简体"/>
          <w:b w:val="0"/>
          <w:bCs w:val="0"/>
          <w:color w:val="000000"/>
          <w:kern w:val="2"/>
          <w:sz w:val="32"/>
          <w:szCs w:val="32"/>
          <w:rtl w:val="0"/>
          <w:lang w:val="en-US" w:eastAsia="zh-CN"/>
        </w:rPr>
        <w:t>加强评测保障技术研究，重点对人工智能系统稳定、可解释性增强、安全可信等技术加强攻关，开发大模型评测工具集。（牵头单位：省科技厅）鼓励济南市、青岛市建设大模型评测开放服务平台，加速大模型技术优化与应用落地。鼓励第三方非营利机构开展模型评测算法研究，参与建立大模型评测标准。（牵头单位：省工业和信息化厅，责任单位：省发展改革委、省大数据局）</w:t>
      </w:r>
    </w:p>
    <w:p w14:paraId="173277F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仿宋简体" w:cs="方正仿宋简体"/>
          <w:b w:val="0"/>
          <w:bCs w:val="0"/>
          <w:color w:val="000000"/>
          <w:kern w:val="2"/>
          <w:sz w:val="32"/>
          <w:szCs w:val="32"/>
          <w:rtl w:val="0"/>
          <w:lang w:val="en-US" w:eastAsia="zh-CN" w:bidi="ar-SA"/>
        </w:rPr>
      </w:pPr>
      <w:r>
        <w:rPr>
          <w:rFonts w:hint="eastAsia" w:ascii="Times New Roman" w:hAnsi="Times New Roman" w:eastAsia="方正楷体简字" w:cs="Times New Roman"/>
          <w:b/>
          <w:sz w:val="32"/>
          <w:szCs w:val="24"/>
          <w:rtl w:val="0"/>
          <w:lang w:val="en-US" w:eastAsia="zh-CN" w:bidi="ar-SA"/>
        </w:rPr>
        <w:t>（四）实施企业主体“培优育强”创新行动</w:t>
      </w:r>
    </w:p>
    <w:p w14:paraId="5F6E7DE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1.加强人工智能企业梯度培育。</w:t>
      </w:r>
      <w:r>
        <w:rPr>
          <w:rFonts w:hint="eastAsia" w:ascii="Times New Roman" w:hAnsi="Times New Roman" w:eastAsia="方正仿宋简体" w:cs="方正仿宋简体"/>
          <w:b w:val="0"/>
          <w:bCs w:val="0"/>
          <w:color w:val="000000"/>
          <w:kern w:val="2"/>
          <w:sz w:val="32"/>
          <w:szCs w:val="32"/>
          <w:rtl w:val="0"/>
          <w:lang w:val="en-US" w:eastAsia="zh-CN"/>
        </w:rPr>
        <w:t>建立人工智能“硬科技”企业库，推动中小企业扩量、提质、升级，打造领军企业方阵。对首次认定的高新技术企业、“瞪羚”企业、“独角兽”企业，按相关政策给予激励。加强人工智能领域科技企业孵化载体建设，到2027年，培育5家以上专业科技企业孵化器，孵化50家以上科技型企业。（牵头单位：省科技厅、省工业和信息化厅，责任单位：省发展改革委、省财政厅）</w:t>
      </w:r>
    </w:p>
    <w:p w14:paraId="1CDC64C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2.提升企业技术创新能力。</w:t>
      </w:r>
      <w:r>
        <w:rPr>
          <w:rFonts w:hint="eastAsia" w:ascii="Times New Roman" w:hAnsi="Times New Roman" w:eastAsia="方正仿宋简体" w:cs="方正仿宋简体"/>
          <w:b w:val="0"/>
          <w:bCs w:val="0"/>
          <w:color w:val="000000"/>
          <w:kern w:val="2"/>
          <w:sz w:val="32"/>
          <w:szCs w:val="32"/>
          <w:rtl w:val="0"/>
          <w:lang w:val="en-US" w:eastAsia="zh-CN"/>
        </w:rPr>
        <w:t>支持人工智能企业加大研发投入，每年实施一批人工智能领域科技型中小企业创新能力提升工程项目，支持中小企业加强产学研协同创新。滚动编制人工智能关键核心技术攻关清单，分批次布局人工智能领域重大科技攻关项目，支持企业牵头或参与重大创新任务。（牵头单位：省科技厅）</w:t>
      </w:r>
    </w:p>
    <w:p w14:paraId="50D006F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（五）实施产业生态“能级跃升”创新行动</w:t>
      </w:r>
    </w:p>
    <w:p w14:paraId="22FA56DF">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1.加强人工智能创新平台体系化建设。</w:t>
      </w:r>
      <w:r>
        <w:rPr>
          <w:rFonts w:hint="eastAsia" w:ascii="Times New Roman" w:hAnsi="Times New Roman" w:eastAsia="方正仿宋简体" w:cs="方正仿宋简体"/>
          <w:b w:val="0"/>
          <w:bCs w:val="0"/>
          <w:color w:val="000000"/>
          <w:kern w:val="2"/>
          <w:sz w:val="32"/>
          <w:szCs w:val="32"/>
          <w:rtl w:val="0"/>
          <w:lang w:val="en-US" w:eastAsia="zh-CN"/>
        </w:rPr>
        <w:t>加强基础计算架构、工业大脑国家新一代人工智能开放创新平台建设，支持大规模个性化定制系统与技术、高端服务器系统全国重点实验室加强底层技术攻关。支持骨干企业与高等院校加强合作，共建校地人工智能研究院。到2027年，争创1—2个国家级重大创新平台，建设2个校地人工智能研究院，布局1—2家省实验室、30家左右省重点实验室、20家左右省技术创新中心。（牵头单位：省科技厅、省工业和信息化厅，责任单位：省发展改革委、省教育厅）</w:t>
      </w:r>
    </w:p>
    <w:p w14:paraId="6BD07DA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2.塑强人工智能全产业链。</w:t>
      </w:r>
      <w:r>
        <w:rPr>
          <w:rFonts w:hint="eastAsia" w:ascii="Times New Roman" w:hAnsi="Times New Roman" w:eastAsia="方正仿宋简体" w:cs="方正仿宋简体"/>
          <w:b w:val="0"/>
          <w:bCs w:val="0"/>
          <w:color w:val="000000"/>
          <w:kern w:val="2"/>
          <w:sz w:val="32"/>
          <w:szCs w:val="32"/>
          <w:rtl w:val="0"/>
          <w:lang w:val="en-US" w:eastAsia="zh-CN"/>
        </w:rPr>
        <w:t>支持济南、青岛等市打造创新生态区，鼓励优势单位建立行业级企业级“算力、算法、数据”融合调度平台，构建产业链闭环生态。加强全产业链“建强补延”力度，加大AI芯片、大模型、基础软件等产业项目招引力度，重点引进培育一批创新型企业总部及地区总部。（省发展改革委、省科技厅、省工业和信息化厅、省商务厅按职责分工负责）</w:t>
      </w:r>
    </w:p>
    <w:p w14:paraId="001A949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3.加快建设人工智能未来产业园区。</w:t>
      </w:r>
      <w:r>
        <w:rPr>
          <w:rFonts w:hint="eastAsia" w:ascii="Times New Roman" w:hAnsi="Times New Roman" w:eastAsia="方正仿宋简体" w:cs="方正仿宋简体"/>
          <w:b w:val="0"/>
          <w:bCs w:val="0"/>
          <w:color w:val="000000"/>
          <w:kern w:val="2"/>
          <w:sz w:val="32"/>
          <w:szCs w:val="32"/>
          <w:rtl w:val="0"/>
          <w:lang w:val="en-US" w:eastAsia="zh-CN"/>
        </w:rPr>
        <w:t>高水平建设济南国家新一代人工智能创新发展试验区和济南—青岛人工智能创新应用先导区。依托高新区、大学科技园等，开展未来产业科技园区建设。加快重点产业园区建设，支持济南、青岛、烟台等市打造未来产业先导区，培育“细分产业+人工智能”集群。到2027年，培育3家左右人工智能产业科技园区。（省发展改革委、省科技厅、省工业和信息化厅按职责分工负责）</w:t>
      </w:r>
    </w:p>
    <w:p w14:paraId="03D5F38B">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（六）实施应用场景“牵引赋能”创新行动</w:t>
      </w:r>
    </w:p>
    <w:p w14:paraId="53ACBB5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1.强化人工智能场景源头供给。</w:t>
      </w:r>
      <w:r>
        <w:rPr>
          <w:rFonts w:hint="eastAsia" w:ascii="Times New Roman" w:hAnsi="Times New Roman" w:eastAsia="方正仿宋简体" w:cs="方正仿宋简体"/>
          <w:b w:val="0"/>
          <w:bCs w:val="0"/>
          <w:color w:val="000000"/>
          <w:kern w:val="2"/>
          <w:sz w:val="32"/>
          <w:szCs w:val="32"/>
          <w:rtl w:val="0"/>
          <w:lang w:val="en-US" w:eastAsia="zh-CN"/>
        </w:rPr>
        <w:t>推动政府治理、社会民生、产业升级等场景应开尽开。通过“百企百景”洽谈对接会等方式，建立常态化场景“机会与需求清单”滚动发布机制，定期推介优秀场景与产品，引领场景创新成果持续涌现。（牵头单位：省工业和信息化厅，责任单位：省发展改革委、省大数据局）</w:t>
      </w:r>
    </w:p>
    <w:p w14:paraId="34ACE67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2.深入推动“人工智能+”场景应用。</w:t>
      </w:r>
      <w:r>
        <w:rPr>
          <w:rFonts w:hint="eastAsia" w:ascii="Times New Roman" w:hAnsi="Times New Roman" w:eastAsia="方正仿宋简体" w:cs="方正仿宋简体"/>
          <w:b w:val="0"/>
          <w:bCs w:val="0"/>
          <w:color w:val="000000"/>
          <w:kern w:val="2"/>
          <w:sz w:val="32"/>
          <w:szCs w:val="32"/>
          <w:rtl w:val="0"/>
          <w:lang w:val="en-US" w:eastAsia="zh-CN"/>
        </w:rPr>
        <w:t>以场景应用牵引人工智能技术创新，围绕工业制造、现代海洋、医疗健康等领域开展标杆场景工程，形成一批可复制与推广的人工智能典型应用场景。鼓励各市在重点领域先行先试，开展全域全时“人工智能+”场景应用。（牵头单位：省发展改革委、省工业和信息化厅，责任单位：省科技厅、省教育厅、省卫生健康委、省海洋局等）鼓励省属重点企业、单位率先培育标杆场景。（牵头单位：省国资委）</w:t>
      </w:r>
    </w:p>
    <w:p w14:paraId="0E0FEB0D">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（七）实施资源要素“提质增效”创新行动</w:t>
      </w:r>
    </w:p>
    <w:p w14:paraId="3F600CC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1.打造人工智能人才高地。</w:t>
      </w:r>
      <w:r>
        <w:rPr>
          <w:rFonts w:hint="eastAsia" w:ascii="Times New Roman" w:hAnsi="Times New Roman" w:eastAsia="方正仿宋简体" w:cs="方正仿宋简体"/>
          <w:b w:val="0"/>
          <w:bCs w:val="0"/>
          <w:color w:val="000000"/>
          <w:kern w:val="2"/>
          <w:sz w:val="32"/>
          <w:szCs w:val="32"/>
          <w:rtl w:val="0"/>
          <w:lang w:val="en-US" w:eastAsia="zh-CN"/>
        </w:rPr>
        <w:t>深化“揭榜挂帅”核心技术攻关机制，精准引进集聚高层次人才团队开展定向攻关。加大力度引进人工智能领域海外高层次人才。持续优化泰山人才工程实施布局，加大对人工智能领域高层次人才遴选支持力度。扩大人工智能领域招生规模，深化工程硕博士培养改革试点，加大学科交叉和校企联合复合型人才培养。发挥企业引才用才主体作用，支持骨干企业设立博士后科研工作站，按规定组建人工智能专业职称评审委员会。（牵头单位：省委组织部，责任单位：省教育厅、省科技厅、省工业和信息化厅、省人力资源社会保障厅、省国资委）</w:t>
      </w:r>
    </w:p>
    <w:p w14:paraId="14359E4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2.强化科技金融支撑保障。</w:t>
      </w:r>
      <w:r>
        <w:rPr>
          <w:rFonts w:hint="eastAsia" w:ascii="Times New Roman" w:hAnsi="Times New Roman" w:eastAsia="方正仿宋简体" w:cs="方正仿宋简体"/>
          <w:b w:val="0"/>
          <w:bCs w:val="0"/>
          <w:color w:val="000000"/>
          <w:kern w:val="2"/>
          <w:sz w:val="32"/>
          <w:szCs w:val="32"/>
          <w:rtl w:val="0"/>
          <w:lang w:val="en-US" w:eastAsia="zh-CN"/>
        </w:rPr>
        <w:t>优化科融信综合服务平台，综合采取贷款贴息、保费补贴、风险补偿等支持方式，鼓励金融机构丰富产品，为人工智能企业提供融资便利。强化科技、财政、金融政策协同，通过“拨投贷”联动机制，引导金融、产业、社会资本参与人工智能技术创新与产业化落地。（牵头单位：省科技厅、中国人民银行山东省分行，责任单位：省委金融办、省财政厅、山东金融监管局）</w:t>
      </w:r>
    </w:p>
    <w:p w14:paraId="28FB2C6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3.促进科技创新成果转化。</w:t>
      </w:r>
      <w:r>
        <w:rPr>
          <w:rFonts w:hint="eastAsia" w:ascii="Times New Roman" w:hAnsi="Times New Roman" w:eastAsia="方正仿宋简体" w:cs="方正仿宋简体"/>
          <w:b w:val="0"/>
          <w:bCs w:val="0"/>
          <w:color w:val="000000"/>
          <w:kern w:val="2"/>
          <w:sz w:val="32"/>
          <w:szCs w:val="32"/>
          <w:rtl w:val="0"/>
          <w:lang w:val="en-US" w:eastAsia="zh-CN"/>
        </w:rPr>
        <w:t>发挥科技大市场供需对接作用，持续完善“山东好成果”遴选发布机制，畅通专利成果供需对接渠道，加速人工智能科技成果转化和产业化。面向具身智能等领域加强布局概念验证中心、中试基地，一体化推进重大成果产出、评价和运用转化。（牵头单位：省科技厅，责任单位：省市场监管局）</w:t>
      </w:r>
    </w:p>
    <w:p w14:paraId="1A1D73B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4.提升科技伦理治理能力水平。</w:t>
      </w:r>
      <w:r>
        <w:rPr>
          <w:rFonts w:hint="eastAsia" w:ascii="Times New Roman" w:hAnsi="Times New Roman" w:eastAsia="方正仿宋简体" w:cs="方正仿宋简体"/>
          <w:b w:val="0"/>
          <w:bCs w:val="0"/>
          <w:color w:val="000000"/>
          <w:kern w:val="2"/>
          <w:sz w:val="32"/>
          <w:szCs w:val="32"/>
          <w:rtl w:val="0"/>
          <w:lang w:val="en-US" w:eastAsia="zh-CN"/>
        </w:rPr>
        <w:t>加强人工智能科技伦理安全规范及社会治理实践研究，建立风险评估与管理机制，提升对人工智能领域相关科技活动的动态跟踪、风险评估和伦理事件应急处置能力。引导科技人员自觉遵守科研诚信和科技伦理规范，开展负责任的人工智能理论研究与技术创新。（牵头单位：省科技厅）</w:t>
      </w:r>
    </w:p>
    <w:p w14:paraId="26CD6FF5">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三、重点举措</w:t>
      </w:r>
    </w:p>
    <w:p w14:paraId="638587D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（一）加强组织实施。</w:t>
      </w:r>
      <w:r>
        <w:rPr>
          <w:rFonts w:hint="eastAsia" w:ascii="Times New Roman" w:hAnsi="Times New Roman" w:eastAsia="方正仿宋简体" w:cs="方正仿宋简体"/>
          <w:b w:val="0"/>
          <w:bCs w:val="0"/>
          <w:color w:val="000000"/>
          <w:kern w:val="2"/>
          <w:sz w:val="32"/>
          <w:szCs w:val="32"/>
          <w:rtl w:val="0"/>
          <w:lang w:val="en-US" w:eastAsia="zh-CN"/>
        </w:rPr>
        <w:t>在省委科技委领导下，强化人工智能科技创新，加强与人工智能领域专项工作协同，统筹项目、平台、人才等创新资源，抓好行动计划具体实施。（牵头单位：省科技厅，责任单位：省委组织部、省发展改革委、省工业和信息化厅等）</w:t>
      </w:r>
    </w:p>
    <w:p w14:paraId="0F25E7F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（二）强化政策支持。</w:t>
      </w:r>
      <w:r>
        <w:rPr>
          <w:rFonts w:hint="eastAsia" w:ascii="Times New Roman" w:hAnsi="Times New Roman" w:eastAsia="方正仿宋简体" w:cs="方正仿宋简体"/>
          <w:b w:val="0"/>
          <w:bCs w:val="0"/>
          <w:color w:val="000000"/>
          <w:kern w:val="2"/>
          <w:sz w:val="32"/>
          <w:szCs w:val="32"/>
          <w:rtl w:val="0"/>
          <w:lang w:val="en-US" w:eastAsia="zh-CN"/>
        </w:rPr>
        <w:t>优化省级科技创新发展资金配置，加大对人工智能领域技术攻关的引导力度，每年实施不少于50项省级科技创新项目。设立人工智能方向产业基金，引导长期资本、耐心资本强化人工智能领域早期硬科技投资。（牵头单位：省科技厅、省财政厅，责任单位：省发展改革委）</w:t>
      </w:r>
    </w:p>
    <w:p w14:paraId="3EB8484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（三）营造最好氛围。</w:t>
      </w:r>
      <w:r>
        <w:rPr>
          <w:rFonts w:hint="eastAsia" w:ascii="Times New Roman" w:hAnsi="Times New Roman" w:eastAsia="方正仿宋简体" w:cs="方正仿宋简体"/>
          <w:b w:val="0"/>
          <w:bCs w:val="0"/>
          <w:color w:val="000000"/>
          <w:kern w:val="2"/>
          <w:sz w:val="32"/>
          <w:szCs w:val="32"/>
          <w:rtl w:val="0"/>
          <w:lang w:val="en-US" w:eastAsia="zh-CN"/>
        </w:rPr>
        <w:t>通过科技活动周、全国科普日等活动，强化人工智能科普教育。高水平举办“创业齐鲁·共赢未来”高层次人才创业大赛、人工智能创新创业大赛等活动，深化科技交流合作，持续营造人工智能高质量发展的最好氛围。（牵头单位：省科技厅、省工业和信息化厅）</w:t>
      </w:r>
    </w:p>
    <w:p w14:paraId="76EFC7A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（四）强化安全监管。</w:t>
      </w:r>
      <w:r>
        <w:rPr>
          <w:rFonts w:hint="eastAsia" w:ascii="Times New Roman" w:hAnsi="Times New Roman" w:eastAsia="方正仿宋简体" w:cs="方正仿宋简体"/>
          <w:b w:val="0"/>
          <w:bCs w:val="0"/>
          <w:color w:val="000000"/>
          <w:kern w:val="2"/>
          <w:sz w:val="32"/>
          <w:szCs w:val="32"/>
          <w:rtl w:val="0"/>
          <w:lang w:val="en-US" w:eastAsia="zh-CN"/>
        </w:rPr>
        <w:t>建立健全公开透明的人工智能监管体系，做好大模型产品服务与算法的登记备案、安全评估及潜在风险预测的审查，坚持安全可信和创新发展并重。引导人工智能相关企业和组织强化标准文件、技术规范和风险应对指南制定工作。（牵头单位：省委网信办）</w:t>
      </w:r>
    </w:p>
    <w:p w14:paraId="68EACBF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p>
    <w:p w14:paraId="0D2CB98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B294E7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B1BD7E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F5DE7DD">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53D95B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18541CD">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023391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5BC4A66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185493DA">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4C84CE5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62BB86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E3E335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7914859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0E190F4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60B918DE">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269A21AF">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kern w:val="2"/>
          <w:sz w:val="44"/>
          <w:szCs w:val="44"/>
          <w:rtl w:val="0"/>
          <w:lang w:val="en-US" w:eastAsia="zh-CN"/>
        </w:rPr>
        <w:sectPr>
          <w:pgSz w:w="11906" w:h="16838"/>
          <w:pgMar w:top="1120" w:right="1449" w:bottom="1960" w:left="1542" w:header="708" w:footer="1080" w:gutter="0"/>
          <w:pgNumType w:fmt="decimal"/>
          <w:cols w:space="720" w:num="1"/>
        </w:sectPr>
      </w:pPr>
    </w:p>
    <w:p w14:paraId="290B52D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山东省科学技术厅等13部门关于印发《山东省工业母机产业科技创新行动计划（2025—2027年）》的通知</w:t>
      </w:r>
    </w:p>
    <w:p w14:paraId="20484D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各市人民政府，各县（市、区）人民政府，省政府各部门、各直属机构，各大企业，各高等院校：</w:t>
      </w:r>
    </w:p>
    <w:p w14:paraId="074ED3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0"/>
        <w:jc w:val="left"/>
        <w:rPr>
          <w:rFonts w:hint="eastAsia" w:ascii="Times New Roman" w:hAnsi="Times New Roman" w:eastAsia="方正仿宋简体" w:cs="方正仿宋简体"/>
          <w:b w:val="0"/>
          <w:bCs w:val="0"/>
          <w:color w:val="000000"/>
          <w:kern w:val="2"/>
          <w:sz w:val="32"/>
          <w:szCs w:val="32"/>
          <w:lang w:val="en-US" w:eastAsia="zh-CN" w:bidi="ar-SA"/>
        </w:rPr>
      </w:pPr>
    </w:p>
    <w:p w14:paraId="223898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r>
        <w:rPr>
          <w:rFonts w:hint="eastAsia" w:ascii="Times New Roman" w:hAnsi="Times New Roman" w:eastAsia="方正仿宋简体" w:cs="方正仿宋简体"/>
          <w:b w:val="0"/>
          <w:bCs w:val="0"/>
          <w:color w:val="000000"/>
          <w:kern w:val="2"/>
          <w:sz w:val="32"/>
          <w:szCs w:val="32"/>
          <w:lang w:val="en-US" w:eastAsia="zh-CN" w:bidi="ar-SA"/>
        </w:rPr>
        <w:t>经省政府同意，现将《山东省工业母机产业科技创新行动计划（2025—2027年）》印发给你们，请结合实际认真贯彻落实。</w:t>
      </w:r>
    </w:p>
    <w:p w14:paraId="0DEF51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20" w:afterAutospacing="0" w:line="368" w:lineRule="atLeast"/>
        <w:ind w:left="0" w:right="0" w:firstLine="720" w:firstLineChars="0"/>
        <w:jc w:val="left"/>
        <w:rPr>
          <w:rFonts w:hint="eastAsia" w:ascii="Times New Roman" w:hAnsi="Times New Roman" w:eastAsia="方正仿宋简体" w:cs="方正仿宋简体"/>
          <w:b w:val="0"/>
          <w:bCs w:val="0"/>
          <w:color w:val="000000"/>
          <w:kern w:val="2"/>
          <w:sz w:val="32"/>
          <w:szCs w:val="32"/>
          <w:lang w:val="en-US" w:eastAsia="zh-CN" w:bidi="ar-SA"/>
        </w:rPr>
      </w:pPr>
    </w:p>
    <w:p w14:paraId="7ED0B81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山东省科学技术厅</w:t>
      </w:r>
    </w:p>
    <w:p w14:paraId="01D2928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中共山东省委组织部</w:t>
      </w:r>
    </w:p>
    <w:p w14:paraId="6F4FDAAE">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中共山东省委金融委员会办公室</w:t>
      </w:r>
    </w:p>
    <w:p w14:paraId="268FECF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山东省发展和改革委员会</w:t>
      </w:r>
    </w:p>
    <w:p w14:paraId="5F3B3CC9">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山东省教育厅</w:t>
      </w:r>
    </w:p>
    <w:p w14:paraId="331A8BA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山东省工业和信息化厅</w:t>
      </w:r>
    </w:p>
    <w:p w14:paraId="515459C4">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山东省财政厅</w:t>
      </w:r>
    </w:p>
    <w:p w14:paraId="2692D06D">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山东省人力资源和社会保障厅</w:t>
      </w:r>
    </w:p>
    <w:p w14:paraId="02C0D29F">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山东省人民政府国有资产监督管理委员会</w:t>
      </w:r>
    </w:p>
    <w:p w14:paraId="73758C67">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山东省市场监督管理局</w:t>
      </w:r>
    </w:p>
    <w:p w14:paraId="5918B2AE">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中国人民银行山东省分行</w:t>
      </w:r>
    </w:p>
    <w:p w14:paraId="479850C2">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国家金融监督管理总局山东监管局</w:t>
      </w:r>
    </w:p>
    <w:p w14:paraId="691BC7E6">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国家税务总局山东省税务局</w:t>
      </w:r>
    </w:p>
    <w:p w14:paraId="01F2AC8B">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p>
    <w:p w14:paraId="1B2DF9E8">
      <w:pPr>
        <w:widowControl w:val="0"/>
        <w:tabs>
          <w:tab w:val="left" w:pos="2348"/>
        </w:tabs>
        <w:bidi w:val="0"/>
        <w:jc w:val="right"/>
        <w:rPr>
          <w:rFonts w:hint="eastAsia" w:ascii="Times New Roman" w:hAnsi="Times New Roman" w:eastAsia="方正仿宋简体" w:cs="方正仿宋简体"/>
          <w:b w:val="0"/>
          <w:bCs w:val="0"/>
          <w:color w:val="000000"/>
          <w:kern w:val="2"/>
          <w:sz w:val="32"/>
          <w:szCs w:val="32"/>
          <w:lang w:eastAsia="zh-CN"/>
        </w:rPr>
      </w:pPr>
      <w:r>
        <w:rPr>
          <w:rFonts w:hint="eastAsia" w:ascii="Times New Roman" w:hAnsi="Times New Roman" w:eastAsia="方正仿宋简体" w:cs="方正仿宋简体"/>
          <w:b w:val="0"/>
          <w:bCs w:val="0"/>
          <w:color w:val="000000"/>
          <w:kern w:val="2"/>
          <w:sz w:val="32"/>
          <w:szCs w:val="32"/>
          <w:lang w:eastAsia="zh-CN"/>
        </w:rPr>
        <w:t>2024年12月6日</w:t>
      </w:r>
    </w:p>
    <w:p w14:paraId="386DFE7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p>
    <w:p w14:paraId="47BA250A">
      <w:pPr>
        <w:keepNext w:val="0"/>
        <w:keepLines w:val="0"/>
        <w:pageBreakBefore w:val="0"/>
        <w:widowControl w:val="0"/>
        <w:kinsoku/>
        <w:wordWrap/>
        <w:overflowPunct/>
        <w:topLinePunct w:val="0"/>
        <w:autoSpaceDE/>
        <w:autoSpaceDN/>
        <w:bidi w:val="0"/>
        <w:adjustRightInd/>
        <w:snapToGrid w:val="0"/>
        <w:spacing w:line="570" w:lineRule="exact"/>
        <w:jc w:val="both"/>
        <w:textAlignment w:val="auto"/>
        <w:rPr>
          <w:rFonts w:hint="eastAsia" w:ascii="Times New Roman" w:hAnsi="Times New Roman" w:eastAsia="方正小标宋简体" w:cs="方正小标宋简体"/>
          <w:kern w:val="2"/>
          <w:sz w:val="44"/>
          <w:szCs w:val="44"/>
          <w:rtl w:val="0"/>
          <w:lang w:val="en-US" w:eastAsia="zh-CN"/>
        </w:rPr>
      </w:pPr>
    </w:p>
    <w:p w14:paraId="0355151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山东省工业母机产业科技创新行动计划</w:t>
      </w:r>
    </w:p>
    <w:p w14:paraId="13627D5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kern w:val="2"/>
          <w:sz w:val="44"/>
          <w:szCs w:val="44"/>
          <w:rtl w:val="0"/>
          <w:lang w:val="en-US" w:eastAsia="zh-CN"/>
        </w:rPr>
      </w:pPr>
      <w:r>
        <w:rPr>
          <w:rFonts w:hint="eastAsia" w:ascii="Times New Roman" w:hAnsi="Times New Roman" w:eastAsia="方正小标宋简体" w:cs="方正小标宋简体"/>
          <w:kern w:val="2"/>
          <w:sz w:val="44"/>
          <w:szCs w:val="44"/>
          <w:rtl w:val="0"/>
          <w:lang w:val="en-US" w:eastAsia="zh-CN"/>
        </w:rPr>
        <w:t>（2025—2027年）</w:t>
      </w:r>
    </w:p>
    <w:p w14:paraId="28C8059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为贯彻落实省委、省政府关于建设先进制造业强省和推进新型工业化的工作部署，发挥工业母机对制造业的基础支撑作用，以科技创新引领工业母机产业高质量发展，因地制宜培育新质生产力，制定本行动计划。</w:t>
      </w:r>
    </w:p>
    <w:p w14:paraId="7F8A6202">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一、主要目标</w:t>
      </w:r>
    </w:p>
    <w:p w14:paraId="5CA0878E">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坚持以构建国内一流的工业母机技术创新体系为目标，聚力抓好关键技术攻关、核心部件提质、整机装备集成与应用推广，加快推动科技创新与产业创新深度融合，着力将山东打造成为全国具有重要影响力的工业母机科技创新高地。力争到2027年，山东省工业母机产业科技创新能力显著提升，建成一批高水平科技创新平台，突破一批关键核心技术，推出一批具有国际竞争力的高端工业母机产品，打造具有全球竞争力的开放创新生态。</w:t>
      </w:r>
    </w:p>
    <w:p w14:paraId="75D213E8">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——创新制度更加优化。基本建成全国领先、适配工业母机产业特点的理论研究、技术研发、成果转化、产业应用创新制度体系，形成较为完善的长效投入、创新激励、人才引育、产权保护等机制。</w:t>
      </w:r>
    </w:p>
    <w:p w14:paraId="1DCB829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创新体系更加完善。建设20家以上国家和省级实验室、技术创新中心、制造业创新中心等创新平台；新增省级以上高层次人才20名以上；培育1—2家科技领军企业，新增100家以上高新技术企业、100家专精特新中小企业和专精特新“小巨人”企业、10家以上“单项冠军”企业。</w:t>
      </w:r>
    </w:p>
    <w:p w14:paraId="721C56BD">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创新成效更加显著。打造20个以上国产工业母机成套、成线、成规模典型应用。持续提升重点领域高端工业母机应用保障能力，培育50个省级首台（套）工业母机产品，突破10项以上国内领先、国际知名的高端产品。到2027年工业母机行业各项经济技术指标稳居国内前列。</w:t>
      </w:r>
    </w:p>
    <w:p w14:paraId="12CEE6DB">
      <w:pPr>
        <w:keepNext/>
        <w:keepLines/>
        <w:bidi w:val="0"/>
        <w:spacing w:beforeLines="0" w:beforeAutospacing="0" w:afterLines="0" w:afterAutospacing="0" w:line="240" w:lineRule="auto"/>
        <w:ind w:firstLine="640" w:firstLineChars="200"/>
        <w:outlineLvl w:val="0"/>
        <w:rPr>
          <w:rFonts w:hint="eastAsia" w:ascii="Times New Roman" w:hAnsi="Times New Roman" w:eastAsia="方正黑体简体" w:cs="Times New Roman"/>
          <w:kern w:val="44"/>
          <w:sz w:val="32"/>
          <w:szCs w:val="24"/>
          <w:rtl w:val="0"/>
          <w:lang w:val="en-US" w:eastAsia="zh-CN" w:bidi="ar-SA"/>
        </w:rPr>
      </w:pPr>
      <w:r>
        <w:rPr>
          <w:rFonts w:hint="eastAsia" w:ascii="Times New Roman" w:hAnsi="Times New Roman" w:eastAsia="方正黑体简体" w:cs="Times New Roman"/>
          <w:kern w:val="44"/>
          <w:sz w:val="32"/>
          <w:szCs w:val="24"/>
          <w:rtl w:val="0"/>
          <w:lang w:val="en-US" w:eastAsia="zh-CN" w:bidi="ar-SA"/>
        </w:rPr>
        <w:t>二、重点任务</w:t>
      </w:r>
    </w:p>
    <w:p w14:paraId="6E24FDD4">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（一）实施产业基础研究强基行动</w:t>
      </w:r>
    </w:p>
    <w:p w14:paraId="27C1057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1.基础理论研究保障。</w:t>
      </w:r>
      <w:r>
        <w:rPr>
          <w:rFonts w:hint="eastAsia" w:ascii="Times New Roman" w:hAnsi="Times New Roman" w:eastAsia="方正仿宋简体" w:cs="方正仿宋简体"/>
          <w:b w:val="0"/>
          <w:bCs w:val="0"/>
          <w:color w:val="000000"/>
          <w:kern w:val="2"/>
          <w:sz w:val="32"/>
          <w:szCs w:val="32"/>
          <w:rtl w:val="0"/>
          <w:lang w:val="en-US" w:eastAsia="zh-CN"/>
        </w:rPr>
        <w:t>瞄准工业母机原始创新需求，突破多能场耦合材料去除机理、金属材料全流程组织性能演变机理、复合材料固化成形与装配行为、增材制造多层次跨尺度形性演化机理、微纳制造机理、高速高精运动控制理论、模态耦合分析及热误差控制等基础理论。到2027年，形成10项以上原创性理论成果，为工业母机产业创新发展提供源动力。</w:t>
      </w:r>
    </w:p>
    <w:p w14:paraId="549F32E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2.关键共性技术攻关。</w:t>
      </w:r>
      <w:r>
        <w:rPr>
          <w:rFonts w:hint="eastAsia" w:ascii="Times New Roman" w:hAnsi="Times New Roman" w:eastAsia="方正仿宋简体" w:cs="方正仿宋简体"/>
          <w:b w:val="0"/>
          <w:bCs w:val="0"/>
          <w:color w:val="000000"/>
          <w:kern w:val="2"/>
          <w:sz w:val="32"/>
          <w:szCs w:val="32"/>
          <w:rtl w:val="0"/>
          <w:lang w:val="en-US" w:eastAsia="zh-CN"/>
        </w:rPr>
        <w:t>围绕工业母机高精度高可靠性等关键需求，攻关高刚度高阻尼床身协同优化、微纳级精密运动控制、多源误差溯源与补偿、精度保持性提升、动态特性分析与测试等关键共性技术，提高工业母机正向设计创新能力。到2027年，工业母机主要产品制造精度、重复定位精度达到微米级，关键技术、性能指标国内领先。</w:t>
      </w:r>
    </w:p>
    <w:p w14:paraId="5B0BAA5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3.交叉前沿技术引领。</w:t>
      </w:r>
      <w:r>
        <w:rPr>
          <w:rFonts w:hint="eastAsia" w:ascii="Times New Roman" w:hAnsi="Times New Roman" w:eastAsia="方正仿宋简体" w:cs="方正仿宋简体"/>
          <w:b w:val="0"/>
          <w:bCs w:val="0"/>
          <w:color w:val="000000"/>
          <w:kern w:val="2"/>
          <w:sz w:val="32"/>
          <w:szCs w:val="32"/>
          <w:rtl w:val="0"/>
          <w:lang w:val="en-US" w:eastAsia="zh-CN"/>
        </w:rPr>
        <w:t>重点开展AI大模型、智能感知与决策、工业互联通信、故障诊断与预测性维护、数字孪生、全寿命周期绿色设计等技术在工业母机领域的创新应用研究。到2027年，实现在10类工业母机主要装备中的应用，推动工业母机的高端化、智能化、绿色化发展。</w:t>
      </w:r>
    </w:p>
    <w:p w14:paraId="0A00711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（二）实施核心基础部件提质行动</w:t>
      </w:r>
    </w:p>
    <w:p w14:paraId="7AFD04D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1.关键基础部件。</w:t>
      </w:r>
      <w:r>
        <w:rPr>
          <w:rFonts w:hint="eastAsia" w:ascii="Times New Roman" w:hAnsi="Times New Roman" w:eastAsia="方正仿宋简体" w:cs="方正仿宋简体"/>
          <w:b w:val="0"/>
          <w:bCs w:val="0"/>
          <w:color w:val="000000"/>
          <w:kern w:val="2"/>
          <w:sz w:val="32"/>
          <w:szCs w:val="32"/>
          <w:rtl w:val="0"/>
          <w:lang w:val="en-US" w:eastAsia="zh-CN"/>
        </w:rPr>
        <w:t>突破界面耐摩擦磨损、高效冷却润滑、高精度位移测量等关键技术，研发高速/重载丝杠导轨副、高速精密电主轴、高性能直驱回转工作台、高精度五轴摆头等功能部件，提高省内配套能力；突破多源数据融合处理、刀具构型设计等关键技术，研发多传感智能刀柄、高性能复杂刀具等工具，提高工业母机加工精度。到2027年，形成高端基础部件产品20项以上，保障工业母机自主安全可控。</w:t>
      </w:r>
    </w:p>
    <w:p w14:paraId="652BC7F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2.高端专用部件。</w:t>
      </w:r>
      <w:r>
        <w:rPr>
          <w:rFonts w:hint="eastAsia" w:ascii="Times New Roman" w:hAnsi="Times New Roman" w:eastAsia="方正仿宋简体" w:cs="方正仿宋简体"/>
          <w:b w:val="0"/>
          <w:bCs w:val="0"/>
          <w:color w:val="000000"/>
          <w:kern w:val="2"/>
          <w:sz w:val="32"/>
          <w:szCs w:val="32"/>
          <w:rtl w:val="0"/>
          <w:lang w:val="en-US" w:eastAsia="zh-CN"/>
        </w:rPr>
        <w:t>突破光谱增益窄化控制、光机协同算法、矢量光场调控等关键技术，研制超快和大功率激光器、高精度五轴激光切割头、超快激光加工头、高功率激光熔覆头、高动态特性纳米运动平台、高速高精振镜等激光、电子制造领域专用部件。到2027年，形成高端专用部件产品10项以上，实现市场批量化推广应用。</w:t>
      </w:r>
    </w:p>
    <w:p w14:paraId="36F4619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3.专用工业软件。</w:t>
      </w:r>
      <w:r>
        <w:rPr>
          <w:rFonts w:hint="eastAsia" w:ascii="Times New Roman" w:hAnsi="Times New Roman" w:eastAsia="方正仿宋简体" w:cs="方正仿宋简体"/>
          <w:b w:val="0"/>
          <w:bCs w:val="0"/>
          <w:color w:val="000000"/>
          <w:kern w:val="2"/>
          <w:sz w:val="32"/>
          <w:szCs w:val="32"/>
          <w:rtl w:val="0"/>
          <w:lang w:val="en-US" w:eastAsia="zh-CN"/>
        </w:rPr>
        <w:t>攻关多轴多通道高速精密插补、自适应加工、复杂工艺规划及参数优化等智能算法，开发超精密加工、电加工、激光加工等专用数控系统；研发虚拟仿真、自进化式工艺数据库、智能监控与运维等软件产品。到2027年，形成专用数控系统及软件产品10项以上，引导整机企业“先试先用”，实现在产业链上下游推广应用。</w:t>
      </w:r>
    </w:p>
    <w:p w14:paraId="29AEF177">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（三）实施标志性产品引领行动</w:t>
      </w:r>
    </w:p>
    <w:p w14:paraId="1082A02B">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1.高端数控切削机床。</w:t>
      </w:r>
      <w:r>
        <w:rPr>
          <w:rFonts w:hint="eastAsia" w:ascii="Times New Roman" w:hAnsi="Times New Roman" w:eastAsia="方正仿宋简体" w:cs="方正仿宋简体"/>
          <w:b w:val="0"/>
          <w:bCs w:val="0"/>
          <w:color w:val="000000"/>
          <w:kern w:val="2"/>
          <w:sz w:val="32"/>
          <w:szCs w:val="32"/>
          <w:rtl w:val="0"/>
          <w:lang w:val="en-US" w:eastAsia="zh-CN"/>
        </w:rPr>
        <w:t>突破高刚度轻量化设计、精度保持与动态误差补偿、低应力装配等关键技术，研制大型高精度五轴龙门及重载龙门加工中心、高速车铣复合加工中心、高精度卧式铣镗加工中心、大长径比深孔加工机床、复杂曲面精密磨削机床等系列高端数控切削机床。到2027年，山东省高端数控切削机床产品可靠性和精度保持性提升20%以上，主要技术指标达到国际先进水平，加快实现主要产品的国产化替代。</w:t>
      </w:r>
    </w:p>
    <w:p w14:paraId="5594A034">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2.高性能成形装备。</w:t>
      </w:r>
      <w:r>
        <w:rPr>
          <w:rFonts w:hint="eastAsia" w:ascii="Times New Roman" w:hAnsi="Times New Roman" w:eastAsia="方正仿宋简体" w:cs="方正仿宋简体"/>
          <w:b w:val="0"/>
          <w:bCs w:val="0"/>
          <w:color w:val="000000"/>
          <w:kern w:val="2"/>
          <w:sz w:val="32"/>
          <w:szCs w:val="32"/>
          <w:rtl w:val="0"/>
          <w:lang w:val="en-US" w:eastAsia="zh-CN"/>
        </w:rPr>
        <w:t>突破力位混合控制、大容量高动态整线能量平衡、大型复材形性协同调控等关键技术，研制新一代大型高速伺服冲压、复合材料大幅面成形、高强钢冷成形、超高强钢热成形等高端成形装备。到2027年，形成大型复材、高强钢、板料快速伺服冲压成形等5类以上高端装备，达到国际领先水平，核心零部件国产化率90%以上；大型高速伺服冲压成形线生产节拍达到20次/分，综合能耗降低20%以上。</w:t>
      </w:r>
    </w:p>
    <w:p w14:paraId="3D26CA9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3.大型金属增材装备。</w:t>
      </w:r>
      <w:r>
        <w:rPr>
          <w:rFonts w:hint="eastAsia" w:ascii="Times New Roman" w:hAnsi="Times New Roman" w:eastAsia="方正仿宋简体" w:cs="方正仿宋简体"/>
          <w:b w:val="0"/>
          <w:bCs w:val="0"/>
          <w:color w:val="000000"/>
          <w:kern w:val="2"/>
          <w:sz w:val="32"/>
          <w:szCs w:val="32"/>
          <w:rtl w:val="0"/>
          <w:lang w:val="en-US" w:eastAsia="zh-CN"/>
        </w:rPr>
        <w:t>重点突破高精密激光“增—等—减”复合制造、金属多材料激光增材制造、固相搅拌摩擦增材、超高速激光熔覆等装备研发的关键技术，研制多电弧协同、超高速激光熔覆、多激光大幅面、连续—超快激光复合等增材装备，构建从材料、工艺到器件与装备的高性能增材制造技术体系。到2027年，形成5种以上具有国际竞争优势的增材制造装备，打造山东省工业母机领域新的重要增长点。</w:t>
      </w:r>
    </w:p>
    <w:p w14:paraId="31F1F5C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4.特种加工装备。</w:t>
      </w:r>
      <w:r>
        <w:rPr>
          <w:rFonts w:hint="eastAsia" w:ascii="Times New Roman" w:hAnsi="Times New Roman" w:eastAsia="方正仿宋简体" w:cs="方正仿宋简体"/>
          <w:b w:val="0"/>
          <w:bCs w:val="0"/>
          <w:color w:val="000000"/>
          <w:kern w:val="2"/>
          <w:sz w:val="32"/>
          <w:szCs w:val="32"/>
          <w:rtl w:val="0"/>
          <w:lang w:val="en-US" w:eastAsia="zh-CN"/>
        </w:rPr>
        <w:t>突破光机电耦合控制、异质材料焊接、复合能场制造等关键技术，重点研发大尺寸碳化硅水导激光加工机床、超快激光制孔/刻蚀机床、大功率激光—电弧复合焊接装备、超硬刀具五轴加工中心、三维五轴激光切割中心、低损伤芯片晶圆切割设备等特种加工装备。到2027年，形成10种以上高性能的特种加工装备，满足航空航天、能源、半导体等领域极端加工需求。</w:t>
      </w:r>
    </w:p>
    <w:p w14:paraId="67BE89D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楷体简字" w:cs="Times New Roman"/>
          <w:b/>
          <w:sz w:val="32"/>
          <w:szCs w:val="24"/>
          <w:rtl w:val="0"/>
          <w:lang w:val="en-US" w:eastAsia="zh-CN" w:bidi="ar-SA"/>
        </w:rPr>
      </w:pPr>
      <w:r>
        <w:rPr>
          <w:rFonts w:hint="eastAsia" w:ascii="Times New Roman" w:hAnsi="Times New Roman" w:eastAsia="方正楷体简字" w:cs="Times New Roman"/>
          <w:b/>
          <w:sz w:val="32"/>
          <w:szCs w:val="24"/>
          <w:rtl w:val="0"/>
          <w:lang w:val="en-US" w:eastAsia="zh-CN" w:bidi="ar-SA"/>
        </w:rPr>
        <w:t>（四）实施重点产业链应用行动</w:t>
      </w:r>
    </w:p>
    <w:p w14:paraId="3CF384C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1.商用车与工程机械应用。</w:t>
      </w:r>
      <w:r>
        <w:rPr>
          <w:rFonts w:hint="eastAsia" w:ascii="Times New Roman" w:hAnsi="Times New Roman" w:eastAsia="方正仿宋简体" w:cs="方正仿宋简体"/>
          <w:b w:val="0"/>
          <w:bCs w:val="0"/>
          <w:color w:val="000000"/>
          <w:kern w:val="2"/>
          <w:sz w:val="32"/>
          <w:szCs w:val="32"/>
          <w:rtl w:val="0"/>
          <w:lang w:val="en-US" w:eastAsia="zh-CN"/>
        </w:rPr>
        <w:t>围绕商用车、推土机、装载机等高端工程机械大批量定制化生产需求，突破加工工艺集成、生产节拍智能匹配、在线检测等关键技术，研发重型变速箱、主机架、车桥等大型构件制造成套装备，建立“加工—装配—检测”一体化制造产线，显著提升生产效率，进一步扩大商用车与工程机械产业优势。</w:t>
      </w:r>
    </w:p>
    <w:p w14:paraId="48B3839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2.发动机与能源装备应用。</w:t>
      </w:r>
      <w:r>
        <w:rPr>
          <w:rFonts w:hint="eastAsia" w:ascii="Times New Roman" w:hAnsi="Times New Roman" w:eastAsia="方正仿宋简体" w:cs="方正仿宋简体"/>
          <w:b w:val="0"/>
          <w:bCs w:val="0"/>
          <w:color w:val="000000"/>
          <w:kern w:val="2"/>
          <w:sz w:val="32"/>
          <w:szCs w:val="32"/>
          <w:rtl w:val="0"/>
          <w:lang w:val="en-US" w:eastAsia="zh-CN"/>
        </w:rPr>
        <w:t>围绕重型发动机、燃气轮机、风力发电机等核心零部件高精密、高一致性制造需求，研发缸体深孔镗削、大型曲轴加工、叶片五轴加工等核心工艺与专用装备，建立典型产品制造工艺数据库，建设柔性制造单元，推动国产高端数控机床成套应用，部分产线国产装备占比超过90%，提升产业链供应链韧性。</w:t>
      </w:r>
    </w:p>
    <w:p w14:paraId="3D94466A">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3.航空航天应用。</w:t>
      </w:r>
      <w:r>
        <w:rPr>
          <w:rFonts w:hint="eastAsia" w:ascii="Times New Roman" w:hAnsi="Times New Roman" w:eastAsia="方正仿宋简体" w:cs="方正仿宋简体"/>
          <w:b w:val="0"/>
          <w:bCs w:val="0"/>
          <w:color w:val="000000"/>
          <w:kern w:val="2"/>
          <w:sz w:val="32"/>
          <w:szCs w:val="32"/>
          <w:rtl w:val="0"/>
          <w:lang w:val="en-US" w:eastAsia="zh-CN"/>
        </w:rPr>
        <w:t>围绕大型客机翼身整流罩、航空发动机叶片叶盘、飞机起落架等复杂零部件的高效率、高精度制造需求，研发大型复杂构件加工专机、叶片矩形阵列磨削抛光机床，建立智能化柔性混线制造产线，为国产大型宽体客机、航空发动机等高端装备制造领域提供高性能装备支撑。</w:t>
      </w:r>
    </w:p>
    <w:p w14:paraId="4907506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4.轨道交通应用。</w:t>
      </w:r>
      <w:r>
        <w:rPr>
          <w:rFonts w:hint="eastAsia" w:ascii="Times New Roman" w:hAnsi="Times New Roman" w:eastAsia="方正仿宋简体" w:cs="方正仿宋简体"/>
          <w:b w:val="0"/>
          <w:bCs w:val="0"/>
          <w:color w:val="000000"/>
          <w:kern w:val="2"/>
          <w:sz w:val="32"/>
          <w:szCs w:val="32"/>
          <w:rtl w:val="0"/>
          <w:lang w:val="en-US" w:eastAsia="zh-CN"/>
        </w:rPr>
        <w:t>聚焦新一代高速列车车轴、转向架、车体和大型盾构机盾体、刀盘、设备桥等大型关键复杂零部件的高可靠、高精密加工需求，攻克高表面完整性加工、机床远程运维等关键技术，建立涵盖自动焊接、加工、装配、检测的智能化多工艺集成制造产线，大幅提升关键设备国产化替代率。</w:t>
      </w:r>
    </w:p>
    <w:p w14:paraId="17724640">
      <w:pPr>
        <w:keepNext/>
        <w:keepLines/>
        <w:bidi w:val="0"/>
        <w:spacing w:beforeLines="0" w:beforeAutospacing="0" w:afterLines="0" w:afterAutospacing="0" w:line="240" w:lineRule="auto"/>
        <w:ind w:firstLine="643" w:firstLineChars="200"/>
        <w:outlineLvl w:val="1"/>
        <w:rPr>
          <w:rFonts w:hint="eastAsia" w:ascii="Times New Roman" w:hAnsi="Times New Roman" w:eastAsia="方正仿宋简体" w:cs="方正仿宋简体"/>
          <w:b w:val="0"/>
          <w:bCs w:val="0"/>
          <w:color w:val="000000"/>
          <w:kern w:val="2"/>
          <w:sz w:val="32"/>
          <w:szCs w:val="32"/>
          <w:rtl w:val="0"/>
          <w:lang w:val="en-US" w:eastAsia="zh-CN" w:bidi="ar-SA"/>
        </w:rPr>
      </w:pPr>
      <w:r>
        <w:rPr>
          <w:rFonts w:hint="eastAsia" w:ascii="Times New Roman" w:hAnsi="Times New Roman" w:eastAsia="方正楷体简字" w:cs="Times New Roman"/>
          <w:b/>
          <w:sz w:val="32"/>
          <w:szCs w:val="24"/>
          <w:rtl w:val="0"/>
          <w:lang w:val="en-US" w:eastAsia="zh-CN" w:bidi="ar-SA"/>
        </w:rPr>
        <w:t>（五）实施产业生态跃升行动</w:t>
      </w:r>
    </w:p>
    <w:p w14:paraId="3F5F8BB2">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1.推动产学研融通创新。</w:t>
      </w:r>
      <w:r>
        <w:rPr>
          <w:rFonts w:hint="eastAsia" w:ascii="Times New Roman" w:hAnsi="Times New Roman" w:eastAsia="方正仿宋简体" w:cs="方正仿宋简体"/>
          <w:b w:val="0"/>
          <w:bCs w:val="0"/>
          <w:color w:val="000000"/>
          <w:kern w:val="2"/>
          <w:sz w:val="32"/>
          <w:szCs w:val="32"/>
          <w:rtl w:val="0"/>
          <w:lang w:val="en-US" w:eastAsia="zh-CN"/>
        </w:rPr>
        <w:t>支持企业围绕国家战略和山东产业发展需求，组建任务型、体系化的创新联合体，开展重大科技攻关。实施科技型中小企业创新能力提升工程，引导企业联合高校院所开展技术攻关和成果转化。支持企业参与编制修订工业母机领域国家标准，推动山东省技术优势转化为标准优势、产业优势。</w:t>
      </w:r>
    </w:p>
    <w:p w14:paraId="6CC4BC2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Style w:val="19"/>
          <w:rFonts w:hint="eastAsia" w:ascii="Times New Roman" w:hAnsi="Times New Roman" w:cs="Times New Roman"/>
          <w:kern w:val="0"/>
          <w:rtl w:val="0"/>
          <w:lang w:val="en-US" w:eastAsia="zh-CN"/>
        </w:rPr>
        <w:t>2.构建链式联动生态。</w:t>
      </w:r>
      <w:r>
        <w:rPr>
          <w:rFonts w:hint="eastAsia" w:ascii="Times New Roman" w:hAnsi="Times New Roman" w:eastAsia="方正仿宋简体" w:cs="方正仿宋简体"/>
          <w:b w:val="0"/>
          <w:bCs w:val="0"/>
          <w:color w:val="000000"/>
          <w:kern w:val="2"/>
          <w:sz w:val="32"/>
          <w:szCs w:val="32"/>
          <w:rtl w:val="0"/>
          <w:lang w:val="en-US" w:eastAsia="zh-CN"/>
        </w:rPr>
        <w:t>加快产业链和创新链融合发展，鼓励“链主”企业与上下游企业联合攻关和产品创新，鼓励大企业面向中小企业开放设计研发能力、仪器设备、试验场地等创新资源和应用场景，培育发展专业化水平高、配套能力强、特色明显的优质配套企业，提高链内企业自主配套率。</w:t>
      </w:r>
    </w:p>
    <w:p w14:paraId="012C45D6">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仿宋简体" w:cs="方正仿宋简体"/>
          <w:b w:val="0"/>
          <w:bCs w:val="0"/>
          <w:color w:val="000000"/>
          <w:kern w:val="2"/>
          <w:sz w:val="32"/>
          <w:szCs w:val="32"/>
          <w:rtl w:val="0"/>
          <w:lang w:val="en-US" w:eastAsia="zh-CN"/>
        </w:rPr>
        <w:t>三、重点举措</w:t>
      </w:r>
    </w:p>
    <w:p w14:paraId="30871859">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（一）加力创新平台建设。</w:t>
      </w:r>
      <w:r>
        <w:rPr>
          <w:rFonts w:hint="eastAsia" w:ascii="Times New Roman" w:hAnsi="Times New Roman" w:eastAsia="方正仿宋简体" w:cs="方正仿宋简体"/>
          <w:b w:val="0"/>
          <w:bCs w:val="0"/>
          <w:color w:val="000000"/>
          <w:kern w:val="2"/>
          <w:sz w:val="32"/>
          <w:szCs w:val="32"/>
          <w:rtl w:val="0"/>
          <w:lang w:val="en-US" w:eastAsia="zh-CN"/>
        </w:rPr>
        <w:t>高水平建设金属成形高端装备与先进技术全国重点实验室，打造工业母机国家创新体系的核心单元。支持符合条件的单位组建一批重点实验室、技术创新中心、企业技术中心、制造业创新中心和新型研发机构。建强国家机床产品质量监督检验中心（山东），建设一批涵盖共性技术研发、检验检测、概念验证、中试验证、成果转化等功能的公共服务平台。（省发展改革委、省科技厅、省工业和信息化厅、省市场监管局按照职责分工负责）</w:t>
      </w:r>
    </w:p>
    <w:p w14:paraId="33DC3BD0">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（二）加速创新人才引育。</w:t>
      </w:r>
      <w:r>
        <w:rPr>
          <w:rFonts w:hint="eastAsia" w:ascii="Times New Roman" w:hAnsi="Times New Roman" w:eastAsia="方正仿宋简体" w:cs="方正仿宋简体"/>
          <w:b w:val="0"/>
          <w:bCs w:val="0"/>
          <w:color w:val="000000"/>
          <w:kern w:val="2"/>
          <w:sz w:val="32"/>
          <w:szCs w:val="32"/>
          <w:rtl w:val="0"/>
          <w:lang w:val="en-US" w:eastAsia="zh-CN"/>
        </w:rPr>
        <w:t>用好顶尖人才“一事一议”直通车机制，持续优化泰山人才工程布局，加大海外引才工作力度，发挥科技奖励激励导向作用，加快引育一批产业领域高层次人才和高技能人才。支持高等院校加强相关学科建设，引导职业学校建设技能实训基地。鼓励高校院所选派科研人员到企业担任“科技副总”，鼓励企业工程师担任高校院所“产业导师”，促进校企人才双向交流。（牵头单位：省委组织部，配合单位：省教育厅、省科技厅、省工业和信息化厅、省人力资源社会保障厅、省国资委）</w:t>
      </w:r>
    </w:p>
    <w:p w14:paraId="4317D8B7">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（三）加大创新要素保障。</w:t>
      </w:r>
      <w:r>
        <w:rPr>
          <w:rFonts w:hint="eastAsia" w:ascii="Times New Roman" w:hAnsi="Times New Roman" w:eastAsia="方正仿宋简体" w:cs="方正仿宋简体"/>
          <w:b w:val="0"/>
          <w:bCs w:val="0"/>
          <w:color w:val="000000"/>
          <w:kern w:val="2"/>
          <w:sz w:val="32"/>
          <w:szCs w:val="32"/>
          <w:rtl w:val="0"/>
          <w:lang w:val="en-US" w:eastAsia="zh-CN"/>
        </w:rPr>
        <w:t>支持符合条件的单位参与国家科技重大专项；优化省级科技创新发展资金配置，加大对工业母机产业创新支持力度，每年布局30项以上省级科技创新项目。落实国家工业母机企业研发费用加计扣除、省级“技改专项贷”贴息等政策，引导企业加大研发投入。依托省科融信综合服务平台，用好“鲁科贷”“鲁科担”“鲁科保”等金融产品，推动中小企业发展壮大。积极争取国家制造业转型升级基金支持，发挥省新旧动能转换基金作用，引导带动社会资本支持产业链企业创新发展。（牵头单位：省科技厅，配合单位：省委金融办、省工业和信息化厅、省财政厅、中国人民银行山东省分行、省税务局、山东金融监管局）</w:t>
      </w:r>
    </w:p>
    <w:p w14:paraId="71F810FC">
      <w:pPr>
        <w:keepNext w:val="0"/>
        <w:keepLines w:val="0"/>
        <w:pageBreakBefore w:val="0"/>
        <w:widowControl w:val="0"/>
        <w:kinsoku/>
        <w:wordWrap/>
        <w:overflowPunct/>
        <w:topLinePunct w:val="0"/>
        <w:autoSpaceDE/>
        <w:autoSpaceDN/>
        <w:bidi w:val="0"/>
        <w:adjustRightInd/>
        <w:snapToGrid w:val="0"/>
        <w:spacing w:line="570" w:lineRule="exact"/>
        <w:ind w:firstLine="620"/>
        <w:jc w:val="both"/>
        <w:textAlignment w:val="auto"/>
        <w:rPr>
          <w:rFonts w:hint="eastAsia" w:ascii="Times New Roman" w:hAnsi="Times New Roman" w:eastAsia="方正仿宋简体" w:cs="方正仿宋简体"/>
          <w:b w:val="0"/>
          <w:bCs w:val="0"/>
          <w:color w:val="000000"/>
          <w:kern w:val="2"/>
          <w:sz w:val="32"/>
          <w:szCs w:val="32"/>
          <w:rtl w:val="0"/>
          <w:lang w:val="en-US" w:eastAsia="zh-CN"/>
        </w:rPr>
      </w:pPr>
      <w:r>
        <w:rPr>
          <w:rFonts w:hint="eastAsia" w:ascii="Times New Roman" w:hAnsi="Times New Roman" w:eastAsia="方正楷体简字" w:cs="Times New Roman"/>
          <w:b/>
          <w:kern w:val="0"/>
          <w:sz w:val="32"/>
          <w:rtl w:val="0"/>
          <w:lang w:val="en-US" w:eastAsia="zh-CN"/>
        </w:rPr>
        <w:t>（四）加强产业供需对接。</w:t>
      </w:r>
      <w:r>
        <w:rPr>
          <w:rFonts w:hint="eastAsia" w:ascii="Times New Roman" w:hAnsi="Times New Roman" w:eastAsia="方正仿宋简体" w:cs="方正仿宋简体"/>
          <w:b w:val="0"/>
          <w:bCs w:val="0"/>
          <w:color w:val="000000"/>
          <w:kern w:val="2"/>
          <w:sz w:val="32"/>
          <w:szCs w:val="32"/>
          <w:rtl w:val="0"/>
          <w:lang w:val="en-US" w:eastAsia="zh-CN"/>
        </w:rPr>
        <w:t>开展“工业母机+”百行万企产需对接活动，建强用好山东科技大市场，常态化开展“山东好成果”遴选发布，促进产业领域科技成果转化。落实首台（套）技术装备、首批次新材料、首版次高端软件政策，在兼顾企业经济性情况下，支持省属企业带头使用产业领域创新产品。鼓励省内终端用户购买工业母机创新产品实施技术改造，符合条件的给予单户企业最高500万元设备奖补。（牵头单位：省工业和信息化厅，配合单位：省科技厅、省财政厅、省国资委）</w:t>
      </w:r>
    </w:p>
    <w:p w14:paraId="055790CA">
      <w:pPr>
        <w:widowControl/>
        <w:jc w:val="left"/>
        <w:rPr>
          <w:rFonts w:ascii="Times New Roman" w:hAnsi="Times New Roman" w:eastAsia="宋体" w:cs="Times New Roman"/>
          <w:kern w:val="0"/>
          <w:sz w:val="24"/>
          <w:lang w:eastAsia="en-US"/>
        </w:rPr>
      </w:pPr>
    </w:p>
    <w:p w14:paraId="58DEF8D8">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lang w:val="en-US" w:eastAsia="zh-CN" w:bidi="ar-SA"/>
          <w14:ligatures w14:val="standardContextual"/>
        </w:rPr>
        <w:t>广州市从化区科技工业和信息化局关于印发广州市从化区智能装备产业扶持办法的通知</w:t>
      </w:r>
    </w:p>
    <w:p w14:paraId="79988289">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各镇人民政府、街道办事处，区政府各部门、各直属机构、有关垂直管理单位：</w:t>
      </w:r>
    </w:p>
    <w:p w14:paraId="0959519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经区政府同意，现将《广州市从化区智能装备产业扶持办法》印发给你们，请认真组织实施。实施中遇到的问题，请径向区科工信局反映。</w:t>
      </w:r>
    </w:p>
    <w:p w14:paraId="286FC151">
      <w:pPr>
        <w:widowControl/>
        <w:spacing w:line="54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广州市从化区科技工业和信息化局</w:t>
      </w:r>
    </w:p>
    <w:p w14:paraId="407D4AAC">
      <w:pPr>
        <w:widowControl/>
        <w:spacing w:line="54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2024年12月6日</w:t>
      </w:r>
    </w:p>
    <w:p w14:paraId="0473DC99">
      <w:pPr>
        <w:widowControl/>
        <w:spacing w:line="540" w:lineRule="atLeast"/>
        <w:rPr>
          <w:rFonts w:hint="eastAsia" w:ascii="Times New Roman" w:hAnsi="Times New Roman" w:eastAsia="方正仿宋简体" w:cs="宋体"/>
          <w:color w:val="000000"/>
          <w:kern w:val="0"/>
          <w:sz w:val="32"/>
          <w:szCs w:val="32"/>
          <w14:ligatures w14:val="none"/>
        </w:rPr>
      </w:pPr>
    </w:p>
    <w:p w14:paraId="07E67502">
      <w:pPr>
        <w:widowControl/>
        <w:spacing w:line="540" w:lineRule="atLeast"/>
        <w:jc w:val="left"/>
        <w:rPr>
          <w:rFonts w:hint="eastAsia" w:ascii="Times New Roman" w:hAnsi="Times New Roman" w:eastAsia="方正仿宋简体" w:cs="宋体"/>
          <w:color w:val="000000"/>
          <w:kern w:val="0"/>
          <w:sz w:val="32"/>
          <w:szCs w:val="32"/>
          <w14:ligatures w14:val="none"/>
        </w:rPr>
      </w:pPr>
    </w:p>
    <w:p w14:paraId="68E6CF32">
      <w:pPr>
        <w:widowControl/>
        <w:spacing w:line="540" w:lineRule="atLeast"/>
        <w:jc w:val="center"/>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广州市从化区智能装备产业扶持办法</w:t>
      </w:r>
    </w:p>
    <w:p w14:paraId="6E96011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第一条</w:t>
      </w:r>
      <w:r>
        <w:rPr>
          <w:rFonts w:hint="eastAsia" w:ascii="Times New Roman" w:hAnsi="Times New Roman" w:eastAsia="方正仿宋简体" w:cs="宋体"/>
          <w:color w:val="000000"/>
          <w:kern w:val="0"/>
          <w:sz w:val="32"/>
          <w:szCs w:val="32"/>
          <w14:ligatures w14:val="none"/>
        </w:rPr>
        <w:t> 为高质量打造从化绿色发展示范区，加快推动从化制造业高质量发展，根据国家、省、市有关规定，按照《广州从化高质量打造绿色发展示范区若干扶持措施》，结合本区实际，特制定本办法。</w:t>
      </w:r>
    </w:p>
    <w:p w14:paraId="533E426A">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第二条</w:t>
      </w:r>
      <w:r>
        <w:rPr>
          <w:rFonts w:hint="eastAsia" w:ascii="Times New Roman" w:hAnsi="Times New Roman" w:eastAsia="方正仿宋简体" w:cs="宋体"/>
          <w:color w:val="000000"/>
          <w:kern w:val="0"/>
          <w:sz w:val="32"/>
          <w:szCs w:val="32"/>
          <w14:ligatures w14:val="none"/>
        </w:rPr>
        <w:t>  本办法适用于经营关系在本区范围内，有健全财务制度、具有独立法人资格（单独入统的分公司视同具有独立法人资格）、实行独立核算、符合信用管理相关规定的智能装备制造领域工业企业或相关机构（本办法另有规定的除外）。</w:t>
      </w:r>
    </w:p>
    <w:p w14:paraId="5D6937CD">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第三条 【研发投入奖】</w:t>
      </w:r>
      <w:r>
        <w:rPr>
          <w:rFonts w:hint="eastAsia" w:ascii="Times New Roman" w:hAnsi="Times New Roman" w:eastAsia="方正仿宋简体" w:cs="宋体"/>
          <w:color w:val="000000"/>
          <w:kern w:val="0"/>
          <w:sz w:val="32"/>
          <w:szCs w:val="32"/>
          <w14:ligatures w14:val="none"/>
        </w:rPr>
        <w:t>领军企业及其控股企业在从化落户、增资扩产（新增用地）、落地区域总部研发中心等事项，最高按其上一年度研发费用总额的100%给予一次性补助，单年度单家企业补助额不超过6000万元。并在次年起连续五年最高按每年研发费用总额的30%给予支持，单年度单家企业补助额不超过3000万元。</w:t>
      </w:r>
    </w:p>
    <w:p w14:paraId="23F5130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第四条【技术平台建设奖】</w:t>
      </w:r>
      <w:r>
        <w:rPr>
          <w:rFonts w:hint="eastAsia" w:ascii="Times New Roman" w:hAnsi="Times New Roman" w:eastAsia="方正仿宋简体" w:cs="宋体"/>
          <w:color w:val="000000"/>
          <w:kern w:val="0"/>
          <w:sz w:val="32"/>
          <w:szCs w:val="32"/>
          <w14:ligatures w14:val="none"/>
        </w:rPr>
        <w:t>对获批创建国家级、省级制造业创新中心的，分别给予100万元、50万元的一次性奖励。</w:t>
      </w:r>
    </w:p>
    <w:p w14:paraId="39C8DD28">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第五条</w:t>
      </w: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【绿色发展奖】</w:t>
      </w:r>
      <w:r>
        <w:rPr>
          <w:rFonts w:hint="eastAsia" w:ascii="Times New Roman" w:hAnsi="Times New Roman" w:eastAsia="方正仿宋简体" w:cs="宋体"/>
          <w:color w:val="000000"/>
          <w:kern w:val="0"/>
          <w:sz w:val="32"/>
          <w:szCs w:val="32"/>
          <w14:ligatures w14:val="none"/>
        </w:rPr>
        <w:t>对新认定为国家级绿色工厂的企业，最高给予20万元奖励。</w:t>
      </w:r>
    </w:p>
    <w:p w14:paraId="43000686">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第六条</w:t>
      </w: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附则</w:t>
      </w:r>
    </w:p>
    <w:p w14:paraId="6EFFF8B7">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享受本办法的扶持对象须遵守国家法律法规、合法经营，并签订相关承诺书；若扶持对象违反承诺的，由有关部门按规定追回已发放的资金，取消本办法条款规定的认定资格，涉嫌违法犯罪的，依法移交司法机关处理。存在恶意欠薪、恶意逃避债务等行为的，或发生重大违法违规行为、较大群体性事件、较大质量安全生产事故的，不能享受本办法的政策扶持内容。</w:t>
      </w:r>
    </w:p>
    <w:p w14:paraId="5232EAA0">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符合本办法规定的同一项目、同一事项同时符合我区“1+3+5+N”产业政策体系中其他扶持政策规定（含上级部门要求区里配套或负担资金的政策规定）的，按照从高不重复的原则予以支持，另有规定的除外。本办法施行前，已按相关程序确定支持（包括有连续年限、符合条件但未兑现完毕，已印发实施仍在有效期内的政策条款）的项目，可按照原政策继续兑现，也可按照本办法执行，原政策和本办法只能选其一。责任主体因机构改革相关职责调整的，由承接该职责的部门继续负责。</w:t>
      </w:r>
    </w:p>
    <w:p w14:paraId="77AB481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三、本办法所指研发费用应按照《高新技术企业认定管理办法》（国科发火〔2016〕32号）及《高新技术企业认定工作指引》（国科发火〔2016〕195号）规定进行统计，并经符合条件的第三方审计确认。</w:t>
      </w:r>
    </w:p>
    <w:p w14:paraId="6F42F60B">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四、本办法所指“领军企业及其控股企业”以具体申报指南中所列范围或援引该条款的协议文件为准。</w:t>
      </w:r>
    </w:p>
    <w:p w14:paraId="150F3056">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五、本办法中涉及“以上、不低于、不超过”均含本数。</w:t>
      </w:r>
    </w:p>
    <w:p w14:paraId="781557E3">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六、对符合扶持范围，投入大、产业带动强、预期产值大的重大项目和重点企业，经区政府同意，可研究制定专项支持政策。</w:t>
      </w:r>
    </w:p>
    <w:p w14:paraId="1410B1CB">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七、本办法自发布之日起施行，有效期5年。</w:t>
      </w:r>
    </w:p>
    <w:p w14:paraId="3FBF0977">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p>
    <w:p w14:paraId="42AFF774">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公开方式：主动公开</w:t>
      </w:r>
    </w:p>
    <w:p w14:paraId="561CEDBC">
      <w:pPr>
        <w:widowControl/>
        <w:spacing w:line="54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从化区科技工业和信息化局办公室          2024年12月6日印发</w:t>
      </w:r>
    </w:p>
    <w:p w14:paraId="2AC60EDD">
      <w:pPr>
        <w:widowControl/>
        <w:spacing w:line="540" w:lineRule="atLeast"/>
        <w:jc w:val="left"/>
        <w:rPr>
          <w:rFonts w:hint="eastAsia" w:ascii="Times New Roman" w:hAnsi="Times New Roman" w:eastAsia="方正仿宋简体" w:cs="宋体"/>
          <w:color w:val="000000"/>
          <w:kern w:val="0"/>
          <w:sz w:val="32"/>
          <w:szCs w:val="32"/>
          <w14:ligatures w14:val="none"/>
        </w:rPr>
      </w:pPr>
    </w:p>
    <w:p w14:paraId="2A21CE34">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14:ligatures w14:val="standardContextual"/>
        </w:rPr>
        <w:t>广州市人民政府办公厅关于印发广州市公共资源交易目录（</w:t>
      </w:r>
      <w:r>
        <w:rPr>
          <w:rFonts w:hint="default" w:ascii="Times New Roman" w:hAnsi="Times New Roman" w:eastAsia="方正小标宋简体" w:cs="Times New Roman"/>
          <w:color w:val="000000"/>
          <w:spacing w:val="-10"/>
          <w:kern w:val="28"/>
          <w:sz w:val="44"/>
          <w:szCs w:val="56"/>
          <w14:ligatures w14:val="standardContextual"/>
        </w:rPr>
        <w:t>2024</w:t>
      </w:r>
      <w:r>
        <w:rPr>
          <w:rFonts w:hint="eastAsia" w:ascii="Calibri Light" w:hAnsi="Calibri Light" w:eastAsia="方正小标宋简体" w:cs="Times New Roman"/>
          <w:color w:val="000000"/>
          <w:spacing w:val="-10"/>
          <w:kern w:val="28"/>
          <w:sz w:val="44"/>
          <w:szCs w:val="56"/>
          <w14:ligatures w14:val="standardContextual"/>
        </w:rPr>
        <w:t>年修订）的通知</w:t>
      </w:r>
    </w:p>
    <w:p w14:paraId="0DC3F07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p>
    <w:p w14:paraId="1B2EAC6C">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各区人民政府，市政府各部门、各直属机构：</w:t>
      </w:r>
    </w:p>
    <w:p w14:paraId="4EBAB358">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为深入贯彻党中央、国务院关于加快建设全国统一大市场的决策部署，认真落实国务院关于深化公共资源交易平台整合共享的指导意见，根据《广东省政务服务和数据管理局关于调整实行广东省公共资源交易目录（2024年版）的通知》（粤政数〔2024〕3号）的有关规定，经市人民政府同意，现将《广州市公共资源交易目录（2024年修订）》（以下简称《市交易目录》）印发给你们，并就有关事项通知如下，请认真遵照执行。</w:t>
      </w:r>
    </w:p>
    <w:p w14:paraId="32BF9ED5">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属于《市交易目录》内的交易项目，各项目发起方要按照“应进必进”的原则，主动进入省、市公共资源交易平台体系交易项目；各行政监督部门要按照“应进必进”的原则，督促《市交易目录》内的交易项目进入省、市公共资源交易平台体系交易。相关项目的交易平台因由上级行政监督部门确定而未纳入省、市公共资源交易平台体系的除外。</w:t>
      </w:r>
    </w:p>
    <w:p w14:paraId="2EB5AF39">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市交易目录》发布后，市各行政监督部门要协调、督促本行业相关交易平台与市公共资源交易服务平台（由广州公共资源交易中心建设管理）对接（对接指引另发），将交易平台纳入市公共资源交易平台体系，进而纳入省公共资源交易平台体系。相关交易平台由上级行政监督部门确定，或已进入国家、省公共资源交易平台体系的除外。</w:t>
      </w:r>
    </w:p>
    <w:p w14:paraId="43F3C627">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未纳入《市交易目录》的交易项目，由项目业主自行确定是否进入市公共资源交易平台体系交易。上述项目在符合有关规定且满足交易服务范围的情况下，公共资源交易平台运行服务机构不得以任何理由拒绝其进入平台交易，同时要将交易数据及时报送市政务和数据局。市政务和数据局会同相关行政监督部门、广州公共资源交易中心负责汇总全市各类交易数据，并提供数据接口服务。</w:t>
      </w:r>
    </w:p>
    <w:p w14:paraId="24DE580C">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四、《市交易目录》内的行政监督部门是根据市的情况而列，各区行政监督部门与《市交易目录》不一致的，以各区实际情况为准。</w:t>
      </w:r>
    </w:p>
    <w:p w14:paraId="07B6D467">
      <w:pPr>
        <w:shd w:val="clear" w:color="auto" w:fill="FFFFFF"/>
        <w:spacing w:after="150"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五、本通知自发布之日起30日后施行，《广州市人民政府办公厅关于印发广州市公共资源交易目录的通知》（穗府办规〔2021〕16号）同时废止。</w:t>
      </w:r>
    </w:p>
    <w:p w14:paraId="1483EA15">
      <w:pPr>
        <w:shd w:val="clear" w:color="auto" w:fill="FFFFFF"/>
        <w:textAlignment w:val="baseline"/>
        <w:rPr>
          <w:rFonts w:ascii="Times New Roman" w:hAnsi="Times New Roman" w:eastAsia="方正仿宋简体" w:cs="Times New Roman"/>
          <w:color w:val="000000"/>
          <w:kern w:val="0"/>
          <w:sz w:val="32"/>
          <w:szCs w:val="32"/>
          <w14:ligatures w14:val="none"/>
        </w:rPr>
      </w:pPr>
    </w:p>
    <w:p w14:paraId="5A4D6F49">
      <w:pPr>
        <w:shd w:val="clear" w:color="auto" w:fill="FFFFFF"/>
        <w:spacing w:after="150"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广州市人民政府办公厅</w:t>
      </w:r>
    </w:p>
    <w:p w14:paraId="43912D68">
      <w:pPr>
        <w:shd w:val="clear" w:color="auto" w:fill="FFFFFF"/>
        <w:spacing w:after="150"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2024年12月12日</w:t>
      </w:r>
    </w:p>
    <w:p w14:paraId="2D6F46CA">
      <w:pPr>
        <w:shd w:val="clear" w:color="auto" w:fill="FFFFFF"/>
        <w:jc w:val="right"/>
        <w:textAlignment w:val="baseline"/>
        <w:rPr>
          <w:rFonts w:ascii="Times New Roman" w:hAnsi="Times New Roman" w:eastAsia="方正仿宋简体" w:cs="Times New Roman"/>
          <w:color w:val="000000"/>
          <w:kern w:val="0"/>
          <w:sz w:val="32"/>
          <w:szCs w:val="32"/>
          <w14:ligatures w14:val="none"/>
        </w:rPr>
      </w:pPr>
    </w:p>
    <w:p w14:paraId="5CF18C0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广州市公共资源交易目录（2024年修订）</w:t>
      </w:r>
    </w:p>
    <w:p w14:paraId="2B4DB102">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tbl>
      <w:tblPr>
        <w:tblStyle w:val="11"/>
        <w:tblW w:w="7930"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604"/>
        <w:gridCol w:w="1043"/>
        <w:gridCol w:w="1893"/>
        <w:gridCol w:w="2309"/>
        <w:gridCol w:w="2081"/>
      </w:tblGrid>
      <w:tr w14:paraId="4E7EB8E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719E9BF">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序号</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3E8AC8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项目类别</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CD0460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项目内容</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986029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规模标准及范围</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2E0F53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行政监督部门</w:t>
            </w:r>
          </w:p>
        </w:tc>
      </w:tr>
      <w:tr w14:paraId="16B899E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64E36E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458AB1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工程建设项目招投标</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1DF4F2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房屋建筑和市政基础设施工程</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7E998C7">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必须招标的工程项目规定》、《必须招标的基础设施和公用事业项目范围规定》、《国家发展改革委办公厅关于进一步做好〈必须招标的工程项目规定〉和〈必须招标的基础设施和公用事业项目范围规定〉实施工作的通知》（发改办法规〔2020〕770号）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B3D1B0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住房城乡建设部门、市政工程行政主管部门</w:t>
            </w:r>
          </w:p>
        </w:tc>
      </w:tr>
      <w:tr w14:paraId="5EB134D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BEB31E8">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E6B7AA9">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A4D0C3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交通运输（含轨道交通）工程</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DA1E1EB">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1D3A12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交通运输部门</w:t>
            </w:r>
          </w:p>
        </w:tc>
      </w:tr>
      <w:tr w14:paraId="3270632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2F8A6272">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40BF823">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F01FA58">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水务水利工程</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19A485F">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6574FB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水务部门</w:t>
            </w:r>
          </w:p>
        </w:tc>
      </w:tr>
      <w:tr w14:paraId="0EA263D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EFAD001">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7760B309">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9082FC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市政燃气工程</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7C3CDD10">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2E920A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城市管理综合执法部门</w:t>
            </w:r>
          </w:p>
        </w:tc>
      </w:tr>
      <w:tr w14:paraId="10F72C8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483A4E53">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799D3CB">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8582C08">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园林绿化工程</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70994A79">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EE163D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园林部门</w:t>
            </w:r>
          </w:p>
        </w:tc>
      </w:tr>
      <w:tr w14:paraId="0A0B004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25CEA4FA">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2E4FE4F1">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025EF1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其他工程</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58C5BFA">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3B064A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相关行业主管部门</w:t>
            </w:r>
          </w:p>
        </w:tc>
      </w:tr>
      <w:tr w14:paraId="6F40081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4DEE85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A11B95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土地使用权和矿业权交易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0369AB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国有建设用地使用权交易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115E4D2">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按照《广东省国有建设用地使用权交易市场管理规定》执行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22EA10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1FCC802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40C9ED2B">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0E346469">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219822A">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农村集体经营性建设用地使用权交易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BBB7AC9">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按照《广东省深化农村集体经营性建设用地入市试点实施方案》执行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89AD68F">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025A713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611B11DB">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600D7109">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BA1BA3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矿业权交易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31952EE">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按照《矿业权出让交易规则》《广东省矿业权交易管理暂行办法》执行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E84E32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4C2F4B1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219BF4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3</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454E64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国有资产</w:t>
            </w:r>
          </w:p>
          <w:p w14:paraId="0658010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0DAE0B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企业国有资产交易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E4C5DBF">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按照《企业国有资产交易监督管理办法》执行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9396F7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国有资产监管部门</w:t>
            </w:r>
          </w:p>
        </w:tc>
      </w:tr>
      <w:tr w14:paraId="362690C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056E4103">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27EF0E6">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BEFD06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行政事业单位国有资产出售、出租</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F853C72">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按照《行政事业性国有资产管理条例》《广东省省直行政事业单位国有资产处置管理暂行办法（2023年修订）》《广州市市本级行政事业单位国有资产处置管理办法》执行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A16490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财政部门</w:t>
            </w:r>
          </w:p>
        </w:tc>
      </w:tr>
      <w:tr w14:paraId="4EEFBB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64A81F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4</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C021B6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政府采购</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EC1886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集中采购</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F45C770">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按照《中华人民共和国政府采购法》及配套法规规定执行</w:t>
            </w:r>
          </w:p>
        </w:tc>
        <w:tc>
          <w:tcPr>
            <w:tcW w:w="2078"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3F3DAA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财政部门</w:t>
            </w:r>
          </w:p>
        </w:tc>
      </w:tr>
      <w:tr w14:paraId="252B69A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0128BEB">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6C870204">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9BA81D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分散采购</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0DE960E9">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C0516CA">
            <w:pPr>
              <w:rPr>
                <w:rFonts w:hint="eastAsia" w:ascii="Times New Roman" w:hAnsi="Times New Roman" w:eastAsia="方正仿宋简体" w:cs="宋体"/>
                <w:color w:val="000000"/>
                <w:sz w:val="32"/>
                <w:szCs w:val="32"/>
                <w14:ligatures w14:val="none"/>
              </w:rPr>
            </w:pPr>
          </w:p>
        </w:tc>
      </w:tr>
      <w:tr w14:paraId="5CA396B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C34B34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5</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B5ACBE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机电产品国际招标</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A1A3AEF">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机电产品国际招标</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D367B01">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按照《机电产品国际招标投标实施办法（试行）》及配套规定执行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437327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商务部门</w:t>
            </w:r>
          </w:p>
        </w:tc>
      </w:tr>
      <w:tr w14:paraId="7F0F6E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CF96BB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6</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88394F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海洋资源交易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DCDFF7A">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海域使用权和海砂采矿权出让</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42E457A">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C870D4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4F9181E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B349965">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EBD783E">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EF07AD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无居民海岛等海洋资源使用权出让</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6EC6FB90">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36379A52">
            <w:pPr>
              <w:rPr>
                <w:rFonts w:hint="eastAsia" w:ascii="Times New Roman" w:hAnsi="Times New Roman" w:eastAsia="方正仿宋简体" w:cs="宋体"/>
                <w:color w:val="000000"/>
                <w:sz w:val="32"/>
                <w:szCs w:val="32"/>
                <w14:ligatures w14:val="none"/>
              </w:rPr>
            </w:pPr>
          </w:p>
        </w:tc>
      </w:tr>
      <w:tr w14:paraId="168FF5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ECA32B3">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035A0D98">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742C7F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海岸线占补指标交易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35BB12C">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按照自然资源部门相关海岸线占补指标交易规定执行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E60ED4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3C7A8A2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CDAD7F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7</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99FCD2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林权交易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8CD06B8">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国有林地使用权、租赁权和林木所有权出让</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69F808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43AC88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林业部门</w:t>
            </w:r>
          </w:p>
        </w:tc>
      </w:tr>
      <w:tr w14:paraId="1C9555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0E63F46E">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ED01ABE">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48CF42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集体统一经营管理的林地经营权和林木所有权出让</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FEF31CF">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按照《广州市农村集体资产交易管理办法》及配套制度执行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9FF64E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林业部门</w:t>
            </w:r>
          </w:p>
        </w:tc>
      </w:tr>
      <w:tr w14:paraId="633D282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8B6DC7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8</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4A2325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农村集体资产交易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56F205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农村集体土地经营权流转</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E36A986">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按照《广州市农村集体资产交易管理办法》及配套制度执行</w:t>
            </w:r>
          </w:p>
        </w:tc>
        <w:tc>
          <w:tcPr>
            <w:tcW w:w="2078"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4047C5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农业农村部门</w:t>
            </w:r>
          </w:p>
        </w:tc>
      </w:tr>
      <w:tr w14:paraId="08D08B5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D9E387A">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7C02B8BC">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0E3634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农村集体经营性资产出租</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AE810E8">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9A11967">
            <w:pPr>
              <w:rPr>
                <w:rFonts w:hint="eastAsia" w:ascii="Times New Roman" w:hAnsi="Times New Roman" w:eastAsia="方正仿宋简体" w:cs="宋体"/>
                <w:color w:val="000000"/>
                <w:sz w:val="32"/>
                <w:szCs w:val="32"/>
                <w14:ligatures w14:val="none"/>
              </w:rPr>
            </w:pPr>
          </w:p>
        </w:tc>
      </w:tr>
      <w:tr w14:paraId="15E0047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7D4294D2">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BB1D0E9">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616896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农村集体资产股权转让</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910EB8C">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1893043">
            <w:pPr>
              <w:rPr>
                <w:rFonts w:hint="eastAsia" w:ascii="Times New Roman" w:hAnsi="Times New Roman" w:eastAsia="方正仿宋简体" w:cs="宋体"/>
                <w:color w:val="000000"/>
                <w:sz w:val="32"/>
                <w:szCs w:val="32"/>
                <w14:ligatures w14:val="none"/>
              </w:rPr>
            </w:pPr>
          </w:p>
        </w:tc>
      </w:tr>
      <w:tr w14:paraId="1D51F5A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6B449BED">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4A975BD8">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383481A">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四荒（荒山、荒沟、荒丘、荒滩）地使用权流转</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17D45258">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74CCC82D">
            <w:pPr>
              <w:rPr>
                <w:rFonts w:hint="eastAsia" w:ascii="Times New Roman" w:hAnsi="Times New Roman" w:eastAsia="方正仿宋简体" w:cs="宋体"/>
                <w:color w:val="000000"/>
                <w:sz w:val="32"/>
                <w:szCs w:val="32"/>
                <w14:ligatures w14:val="none"/>
              </w:rPr>
            </w:pPr>
          </w:p>
        </w:tc>
      </w:tr>
      <w:tr w14:paraId="6A00DE2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A29460B">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A56CDBB">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A849D5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其他农村集体资产交易</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09D6E001">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630988CB">
            <w:pPr>
              <w:rPr>
                <w:rFonts w:hint="eastAsia" w:ascii="Times New Roman" w:hAnsi="Times New Roman" w:eastAsia="方正仿宋简体" w:cs="宋体"/>
                <w:color w:val="000000"/>
                <w:sz w:val="32"/>
                <w:szCs w:val="32"/>
                <w14:ligatures w14:val="none"/>
              </w:rPr>
            </w:pPr>
          </w:p>
        </w:tc>
      </w:tr>
      <w:tr w14:paraId="1380BBD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D4868D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9</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AD902E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无形资产交易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B0AC83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基础设施和公用事业特许经营权授予</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AB9CD3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C78B7F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相关行业主管部门</w:t>
            </w:r>
          </w:p>
        </w:tc>
      </w:tr>
      <w:tr w14:paraId="1F2C999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71C9AB2">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5CB9337">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64A18B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市政公用设施及公共场地使用权、承包权、冠名权有偿转让</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522B121">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760E51ED">
            <w:pPr>
              <w:rPr>
                <w:rFonts w:hint="eastAsia" w:ascii="Times New Roman" w:hAnsi="Times New Roman" w:eastAsia="方正仿宋简体" w:cs="宋体"/>
                <w:color w:val="000000"/>
                <w:sz w:val="32"/>
                <w:szCs w:val="32"/>
                <w14:ligatures w14:val="none"/>
              </w:rPr>
            </w:pPr>
          </w:p>
        </w:tc>
      </w:tr>
      <w:tr w14:paraId="731F54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D06BD2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10</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CC6A2B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碳排放权交易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1DE7D5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碳排放权交易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8D17A61">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按照《碳排放权交易管理暂行条例》执行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F7CC21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生态环境部门</w:t>
            </w:r>
          </w:p>
        </w:tc>
      </w:tr>
      <w:tr w14:paraId="3299EBF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E4E713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11</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2ADA08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用能权交易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9C351F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用能权交易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3D6681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344DB3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发展改革部门</w:t>
            </w:r>
          </w:p>
        </w:tc>
      </w:tr>
      <w:tr w14:paraId="3A653B1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D7F6EA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12</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03B89F5">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涉法涉诉资产处置</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2E23F4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司法机关开展的涉诉、抵债或罚没资产处置</w:t>
            </w:r>
          </w:p>
        </w:tc>
        <w:tc>
          <w:tcPr>
            <w:tcW w:w="2306"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BE86FA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A7D73B5">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司法部门</w:t>
            </w:r>
          </w:p>
        </w:tc>
      </w:tr>
      <w:tr w14:paraId="27512F7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82FA50B">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48CB9856">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371B06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行政执法部门行政处罚的罚没资产处置</w:t>
            </w: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0B1DCB97">
            <w:pPr>
              <w:rPr>
                <w:rFonts w:hint="eastAsia" w:ascii="Times New Roman" w:hAnsi="Times New Roman" w:eastAsia="方正仿宋简体" w:cs="宋体"/>
                <w:color w:val="000000"/>
                <w:sz w:val="32"/>
                <w:szCs w:val="32"/>
                <w14:ligatures w14:val="none"/>
              </w:rPr>
            </w:pP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3A0361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相关行政执法部门</w:t>
            </w:r>
          </w:p>
        </w:tc>
      </w:tr>
      <w:tr w14:paraId="46B935E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3999BA5">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13</w:t>
            </w:r>
          </w:p>
        </w:tc>
        <w:tc>
          <w:tcPr>
            <w:tcW w:w="1042" w:type="dxa"/>
            <w:vMerge w:val="restart"/>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87201F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河流资源交易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87FF1F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河流、经营性河域、滩涂、湿地等有限自然资源的使用权出让，养护权承包项目的出让、转让、合作</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E21508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F6BEC8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水务、农业农村、自然资源部门</w:t>
            </w:r>
          </w:p>
        </w:tc>
      </w:tr>
      <w:tr w14:paraId="29FE314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D8AD133">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5029E188">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356D85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河砂开采权出让</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2E65D2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729B20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水务部门</w:t>
            </w:r>
          </w:p>
        </w:tc>
      </w:tr>
      <w:tr w14:paraId="65C8EC1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36B404E7">
            <w:pPr>
              <w:rPr>
                <w:rFonts w:hint="eastAsia" w:ascii="Times New Roman" w:hAnsi="Times New Roman" w:eastAsia="方正仿宋简体" w:cs="宋体"/>
                <w:color w:val="000000"/>
                <w:sz w:val="32"/>
                <w:szCs w:val="32"/>
                <w14:ligatures w14: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bottom"/>
          </w:tcPr>
          <w:p w14:paraId="1140B4DF">
            <w:pPr>
              <w:rPr>
                <w:rFonts w:hint="eastAsia" w:ascii="Times New Roman" w:hAnsi="Times New Roman" w:eastAsia="方正仿宋简体" w:cs="宋体"/>
                <w:color w:val="000000"/>
                <w:sz w:val="32"/>
                <w:szCs w:val="32"/>
                <w14:ligatures w14:val="none"/>
              </w:rPr>
            </w:pP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953A75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水权交易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D6DDA9C">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按照《水利部 国家发展改革委 财政部关于推进用水权改革的指导意见》（水资管〔2022〕333号）、《广东省水权交易管理试行办法》执行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628036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水务部门</w:t>
            </w:r>
          </w:p>
        </w:tc>
      </w:tr>
      <w:tr w14:paraId="46A741B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CB37E6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14</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E6A6B2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补充耕地指标交易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43BC7A0">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补充耕地指标交易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6E277FE">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按照《广东省补充耕地指标交易管理办法》执行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D300BA3">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4CC5824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3F803F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15</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2BD5846">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中小客车增量指标配置</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AE6AC4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小型和微型载客汽车增量指标竞价</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6A58A2F">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按照《广州市小客车指标调控管理办法》执行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B180E9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交通运输部门</w:t>
            </w:r>
          </w:p>
        </w:tc>
      </w:tr>
      <w:tr w14:paraId="1CC7D41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97E448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16</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8179E5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中介服务</w:t>
            </w:r>
          </w:p>
          <w:p w14:paraId="3DC9E9DE">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B10577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中介服务交易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87D4C78">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按照《广东省网上中介服务超市管理办法》执行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F1F14F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相关行业主管部门</w:t>
            </w:r>
          </w:p>
        </w:tc>
      </w:tr>
      <w:tr w14:paraId="12F10C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068028E9">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17</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437ED6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城市更新合作主体选择</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3CEBFFD">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旧城镇、旧厂房、旧村庄改造合作主体选择</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2A99E82">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按照《广东省旧城镇旧厂房旧村庄改造管理办法》、《广州市住房和城乡建设局关于印发关于进一步规范旧村合作改造类项目选择合作企业有关事项的意见的通知》（穗建规字〔2020〕16号）执行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9B0B58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住房城乡建设部门</w:t>
            </w:r>
          </w:p>
        </w:tc>
      </w:tr>
      <w:tr w14:paraId="652D72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B6D05C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18</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536B43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PPP试点项目合作方选择</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DAB378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政府和社会资本合作试点项目（PPP试点项目）合作方选择</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AD911BF">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按照《广州市推进政府和社会资本合作试点项目实施方案》执行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B1F2C5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相关行业主管部门</w:t>
            </w:r>
          </w:p>
        </w:tc>
      </w:tr>
      <w:tr w14:paraId="27B08F8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AEBEB4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19</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BB1C3E7">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生态保护修复工程余量资源交易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A6C2C91">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生态保护修复工程余量资源交易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7ADEB18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F274C82">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40DED71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1EE2093A">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22E4FFF">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建设用地增减挂钩（拆旧复垦）指标交易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367F55B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建设用地增减挂钩（拆旧复垦）指标交易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6247D88B">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全部</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2092B3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自然资源部门</w:t>
            </w:r>
          </w:p>
        </w:tc>
      </w:tr>
      <w:tr w14:paraId="0923B7E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603"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ADB465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21</w:t>
            </w:r>
          </w:p>
        </w:tc>
        <w:tc>
          <w:tcPr>
            <w:tcW w:w="1042"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20EED0A4">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供销合作社社有资产交易</w:t>
            </w:r>
          </w:p>
        </w:tc>
        <w:tc>
          <w:tcPr>
            <w:tcW w:w="1891"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47C8338">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供销合作社社有资产交易</w:t>
            </w:r>
          </w:p>
        </w:tc>
        <w:tc>
          <w:tcPr>
            <w:tcW w:w="2306"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4E3BA983">
            <w:pPr>
              <w:wordWrap w:val="0"/>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按照供销合作社行业相关管理规定执行</w:t>
            </w:r>
          </w:p>
        </w:tc>
        <w:tc>
          <w:tcPr>
            <w:tcW w:w="2078" w:type="dxa"/>
            <w:tcBorders>
              <w:top w:val="single" w:color="000000" w:sz="6" w:space="0"/>
              <w:left w:val="single" w:color="000000" w:sz="6" w:space="0"/>
              <w:bottom w:val="single" w:color="000000" w:sz="6" w:space="0"/>
              <w:right w:val="single" w:color="000000" w:sz="6" w:space="0"/>
            </w:tcBorders>
            <w:tcMar>
              <w:top w:w="75" w:type="dxa"/>
              <w:left w:w="105" w:type="dxa"/>
              <w:bottom w:w="75" w:type="dxa"/>
              <w:right w:w="105" w:type="dxa"/>
            </w:tcMar>
            <w:vAlign w:val="center"/>
          </w:tcPr>
          <w:p w14:paraId="5919DEFC">
            <w:pPr>
              <w:wordWrap w:val="0"/>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供销合作部门</w:t>
            </w:r>
          </w:p>
        </w:tc>
      </w:tr>
    </w:tbl>
    <w:p w14:paraId="4750271E">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3761E747">
      <w:pPr>
        <w:shd w:val="clear" w:color="auto" w:fill="FFFFFF"/>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705616F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广州市人民政府办公厅秘书处 2024年12月16日印发</w:t>
      </w:r>
    </w:p>
    <w:p w14:paraId="56C4F863">
      <w:pPr>
        <w:widowControl/>
        <w:spacing w:line="540" w:lineRule="atLeast"/>
        <w:jc w:val="left"/>
        <w:rPr>
          <w:rFonts w:hint="eastAsia" w:ascii="Times New Roman" w:hAnsi="Times New Roman" w:eastAsia="方正仿宋简体" w:cs="宋体"/>
          <w:color w:val="000000"/>
          <w:kern w:val="0"/>
          <w:sz w:val="32"/>
          <w:szCs w:val="32"/>
          <w14:ligatures w14:val="none"/>
        </w:rPr>
      </w:pPr>
    </w:p>
    <w:p w14:paraId="57A6EC90">
      <w:pPr>
        <w:shd w:val="clear" w:color="auto" w:fill="FFFFFF"/>
        <w:jc w:val="center"/>
        <w:textAlignment w:val="baseline"/>
        <w:outlineLvl w:val="0"/>
        <w:rPr>
          <w:rFonts w:hint="eastAsia" w:ascii="Times New Roman" w:hAnsi="Times New Roman" w:eastAsia="方正仿宋简体" w:cs="Times New Roman"/>
          <w:b/>
          <w:bCs/>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14:ligatures w14:val="standardContextual"/>
        </w:rPr>
        <w:t>广州市住房和城乡建设局 广州市规划和自然资源局关于印发《广州市超低能耗建筑、近零能耗建筑和零能耗建筑容积率激励措施实施细则》《广州市装配式建筑和模块化建筑项目容积率激励措施实施细则》的通知</w:t>
      </w:r>
    </w:p>
    <w:p w14:paraId="2479A968">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41821B2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各有关单位：</w:t>
      </w:r>
    </w:p>
    <w:p w14:paraId="791E51C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为推动我市城乡建设领域绿色发展，根据《广州市绿色建筑和建筑节能管理规定》等有关规定，现印发《广州市超低能耗建筑、近零能耗建筑和零能耗建筑容积率激励措施实施细则》《广州市装配式建筑和模块化建筑项目容积率激励措施实施细则》，请认真贯彻执行。执行中遇到的问题，请径向广州市住房和城乡建设局反映。</w:t>
      </w:r>
    </w:p>
    <w:p w14:paraId="6F1A5D79">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特此通知。</w:t>
      </w:r>
    </w:p>
    <w:p w14:paraId="064998A2">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203FAC22">
      <w:pPr>
        <w:widowControl/>
        <w:shd w:val="clear" w:color="auto" w:fill="FFFFFF"/>
        <w:spacing w:after="150"/>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广州市住房和城乡建设局</w:t>
      </w:r>
    </w:p>
    <w:p w14:paraId="1D614059">
      <w:pPr>
        <w:widowControl/>
        <w:shd w:val="clear" w:color="auto" w:fill="FFFFFF"/>
        <w:spacing w:after="150"/>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广州市规划和自然资源局</w:t>
      </w:r>
    </w:p>
    <w:p w14:paraId="71AB6400">
      <w:pPr>
        <w:widowControl/>
        <w:shd w:val="clear" w:color="auto" w:fill="FFFFFF"/>
        <w:spacing w:after="150"/>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2024年12月17日</w:t>
      </w:r>
    </w:p>
    <w:p w14:paraId="7F76C268">
      <w:pPr>
        <w:widowControl/>
        <w:shd w:val="clear" w:color="auto" w:fill="FFFFFF"/>
        <w:jc w:val="right"/>
        <w:textAlignment w:val="baseline"/>
        <w:rPr>
          <w:rFonts w:hint="eastAsia" w:ascii="Times New Roman" w:hAnsi="Times New Roman" w:eastAsia="方正仿宋简体" w:cs="宋体"/>
          <w:color w:val="000000"/>
          <w:kern w:val="0"/>
          <w:sz w:val="32"/>
          <w:szCs w:val="32"/>
          <w14:ligatures w14:val="none"/>
        </w:rPr>
      </w:pPr>
    </w:p>
    <w:p w14:paraId="20C37E85">
      <w:pPr>
        <w:widowControl/>
        <w:shd w:val="clear" w:color="auto" w:fill="FFFFFF"/>
        <w:jc w:val="center"/>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广州市超低能耗建筑、近零能耗建筑和零能耗建筑容积率激励措施实施细则</w:t>
      </w:r>
    </w:p>
    <w:p w14:paraId="19E106E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5602F4E9">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第一条  </w:t>
      </w:r>
      <w:r>
        <w:rPr>
          <w:rFonts w:hint="eastAsia" w:ascii="Times New Roman" w:hAnsi="Times New Roman" w:eastAsia="方正仿宋简体" w:cs="宋体"/>
          <w:color w:val="000000"/>
          <w:kern w:val="0"/>
          <w:sz w:val="32"/>
          <w:szCs w:val="32"/>
          <w14:ligatures w14:val="none"/>
        </w:rPr>
        <w:t>为促进绿色建筑高质量发展，提高建筑能源利用效率，加大本市超低能耗建筑、近零能耗建筑和零能耗建筑项目推广力度，根据《广东省绿色建筑条例》《广州市绿色建筑和建筑节能管理规定》等有关规定，结合本市实际，制定本细则。</w:t>
      </w:r>
    </w:p>
    <w:p w14:paraId="36DFB1D9">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第二条  </w:t>
      </w:r>
      <w:r>
        <w:rPr>
          <w:rFonts w:hint="eastAsia" w:ascii="Times New Roman" w:hAnsi="Times New Roman" w:eastAsia="方正仿宋简体" w:cs="宋体"/>
          <w:color w:val="000000"/>
          <w:kern w:val="0"/>
          <w:sz w:val="32"/>
          <w:szCs w:val="32"/>
          <w14:ligatures w14:val="none"/>
        </w:rPr>
        <w:t>市住房城乡建设部门负责统筹、实施本市超低能耗建筑、近零能耗建筑和零能耗建筑的容积率激励措施工作，并发布申报指南。市散装水泥与建筑节能管理中心负责开展容积率激励措施的组织申报等具体事务性工作。</w:t>
      </w:r>
    </w:p>
    <w:p w14:paraId="4F8D391B">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市、区规划和自然资源部门负责做好享受容积率激励措施的超低能耗建筑、近零能耗建筑和零能耗建筑项目的建设工程规划许可证核发、规划条件核实等工作。</w:t>
      </w:r>
    </w:p>
    <w:p w14:paraId="5493974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各区住房城乡建设部门、各级工程质量监督机构负责做好享受容积率激励措施的超低能耗建筑、近零能耗建筑和零能耗建筑项目的质量监管等工作。</w:t>
      </w:r>
    </w:p>
    <w:p w14:paraId="48E50DB5">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第三条  </w:t>
      </w:r>
      <w:r>
        <w:rPr>
          <w:rFonts w:hint="eastAsia" w:ascii="Times New Roman" w:hAnsi="Times New Roman" w:eastAsia="方正仿宋简体" w:cs="宋体"/>
          <w:color w:val="000000"/>
          <w:kern w:val="0"/>
          <w:sz w:val="32"/>
          <w:szCs w:val="32"/>
          <w14:ligatures w14:val="none"/>
        </w:rPr>
        <w:t>本市行政区域范围内，符合《近零能耗建筑技术标准》中超低能耗建筑、近零能耗建筑、零能耗建筑单体的绿色建筑项目，其外墙面积按照不超过本栋单体建筑总计容建筑面积3%的比例不计入容积率核算。</w:t>
      </w:r>
    </w:p>
    <w:p w14:paraId="6D8943CB">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本细则重点激励对象为计容建筑面积大于2000平方米的单体建筑。</w:t>
      </w:r>
    </w:p>
    <w:p w14:paraId="75AA387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政府投资和以政府投资为主的项目不享受本细则规定的容积率激励措施。</w:t>
      </w:r>
    </w:p>
    <w:p w14:paraId="6CB253C9">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已办理规划、土地等手续，尚未开工建设的项目，改建超低能耗建筑、近零能耗建筑或零能耗建筑的，同等享受容积率激励措施，市住房城乡建设部门、规划和自然资源部门等配合办理相关手续。</w:t>
      </w:r>
    </w:p>
    <w:p w14:paraId="799CC4F2">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具体激励技术条件由市住房城乡建设部门根据技术发展情况适时调整。</w:t>
      </w:r>
    </w:p>
    <w:p w14:paraId="25D69F4F">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第四条  </w:t>
      </w:r>
      <w:r>
        <w:rPr>
          <w:rFonts w:hint="eastAsia" w:ascii="Times New Roman" w:hAnsi="Times New Roman" w:eastAsia="方正仿宋简体" w:cs="宋体"/>
          <w:color w:val="000000"/>
          <w:kern w:val="0"/>
          <w:sz w:val="32"/>
          <w:szCs w:val="32"/>
          <w14:ligatures w14:val="none"/>
        </w:rPr>
        <w:t>建设单位应当在提出享受容积率激励措施的申请前自行组织开展超低能耗建筑、近零能耗建筑或零能耗建筑性能化设计，形成性能化设计报告。</w:t>
      </w:r>
    </w:p>
    <w:p w14:paraId="64ABBA06">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第五条  </w:t>
      </w:r>
      <w:r>
        <w:rPr>
          <w:rFonts w:hint="eastAsia" w:ascii="Times New Roman" w:hAnsi="Times New Roman" w:eastAsia="方正仿宋简体" w:cs="宋体"/>
          <w:color w:val="000000"/>
          <w:kern w:val="0"/>
          <w:sz w:val="32"/>
          <w:szCs w:val="32"/>
          <w14:ligatures w14:val="none"/>
        </w:rPr>
        <w:t>建设单位应当在申领建设工程规划许可证前，按照自愿原则向市住房城乡建设部门提交以下材料申请享受容积率激励措施：</w:t>
      </w:r>
    </w:p>
    <w:p w14:paraId="7FF1F15C">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（一）项目申报承诺书；</w:t>
      </w:r>
    </w:p>
    <w:p w14:paraId="7DCE8FE5">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（二）符合超低能耗建筑、近零能耗建筑或零能耗建筑建设标准的建设工程设计方案和性能化设计报告；</w:t>
      </w:r>
    </w:p>
    <w:p w14:paraId="59F5B22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（三）能效指标计算书、能耗计算模型。</w:t>
      </w:r>
    </w:p>
    <w:p w14:paraId="78C6FB87">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第六条  </w:t>
      </w:r>
      <w:r>
        <w:rPr>
          <w:rFonts w:hint="eastAsia" w:ascii="Times New Roman" w:hAnsi="Times New Roman" w:eastAsia="方正仿宋简体" w:cs="宋体"/>
          <w:color w:val="000000"/>
          <w:kern w:val="0"/>
          <w:sz w:val="32"/>
          <w:szCs w:val="32"/>
          <w14:ligatures w14:val="none"/>
        </w:rPr>
        <w:t>市住房城乡建设部门在收到符合要求的申请材料后十五个工作日内对项目组织开展认定，作出享受容积率激励措施的认定意见，向建设单位出具项目认定意见书，载明享受容积率激励措施的面积等内容，并同步抄送至规划和自然资源部门、城市管理综合执法部门、区住房城乡建设部门、工程质量监督机构等相关单位。</w:t>
      </w:r>
    </w:p>
    <w:p w14:paraId="62FB45FB">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市住房城乡建设部门可以委托具备设计、审图或检测资质的专业机构对超低能耗建筑、近零能耗建筑或零能耗建筑的设计情况进行评估，并由专业机构出具设计情况评估报告。</w:t>
      </w:r>
    </w:p>
    <w:p w14:paraId="2EBB581E">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第七条  </w:t>
      </w:r>
      <w:r>
        <w:rPr>
          <w:rFonts w:hint="eastAsia" w:ascii="Times New Roman" w:hAnsi="Times New Roman" w:eastAsia="方正仿宋简体" w:cs="宋体"/>
          <w:color w:val="000000"/>
          <w:kern w:val="0"/>
          <w:sz w:val="32"/>
          <w:szCs w:val="32"/>
          <w14:ligatures w14:val="none"/>
        </w:rPr>
        <w:t>市住房城乡建设部门在出具项目认定意见书后，应当在建设工程全过程中，加强对建设单位落实本细则第五条规定相关内容的监管。</w:t>
      </w:r>
    </w:p>
    <w:p w14:paraId="28C982C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工程质量监督机构应当加强对享受容积率激励措施项目的日常监督管理，在项目开工前对该项目在超低能耗建筑、近零能耗建筑或零能耗建筑方面的关键技术节点进行监督交底，并严格督促各参建单位落实工程设计图纸及相关技术要求。</w:t>
      </w:r>
    </w:p>
    <w:p w14:paraId="00AEC1EC">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第八条  </w:t>
      </w:r>
      <w:r>
        <w:rPr>
          <w:rFonts w:hint="eastAsia" w:ascii="Times New Roman" w:hAnsi="Times New Roman" w:eastAsia="方正仿宋简体" w:cs="宋体"/>
          <w:color w:val="000000"/>
          <w:kern w:val="0"/>
          <w:sz w:val="32"/>
          <w:szCs w:val="32"/>
          <w14:ligatures w14:val="none"/>
        </w:rPr>
        <w:t>规划和自然资源部门在核发建设工程规划许可阶段，根据项目认定意见书确定不纳入容积率计算的面积。</w:t>
      </w:r>
    </w:p>
    <w:p w14:paraId="101188A4">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第九条  </w:t>
      </w:r>
      <w:r>
        <w:rPr>
          <w:rFonts w:hint="eastAsia" w:ascii="Times New Roman" w:hAnsi="Times New Roman" w:eastAsia="方正仿宋简体" w:cs="宋体"/>
          <w:color w:val="000000"/>
          <w:kern w:val="0"/>
          <w:sz w:val="32"/>
          <w:szCs w:val="32"/>
          <w14:ligatures w14:val="none"/>
        </w:rPr>
        <w:t>市住房城乡建设部门出具项目认定意见书后，涉及超低能耗建筑、近零能耗建筑或零能耗建筑项目技术内容实施范围、面积变更或性能改变的，建设单位应当向市住房城乡建设部门按照本细则第五条的规定提出工程变更申请。市住房城乡建设部门在收到变更申请后十五个工作日内组织重新认定。经认定通过的，出具项目补充认定意见。</w:t>
      </w:r>
    </w:p>
    <w:p w14:paraId="33223A51">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第十条  </w:t>
      </w:r>
      <w:r>
        <w:rPr>
          <w:rFonts w:hint="eastAsia" w:ascii="Times New Roman" w:hAnsi="Times New Roman" w:eastAsia="方正仿宋简体" w:cs="宋体"/>
          <w:color w:val="000000"/>
          <w:kern w:val="0"/>
          <w:sz w:val="32"/>
          <w:szCs w:val="32"/>
          <w14:ligatures w14:val="none"/>
        </w:rPr>
        <w:t>建设单位应当确保施工图设计阶段相应技术措施的有效落实，委托设计单位根据申报承诺内容、认定通过的建设工程设计方案和性能化设计报告等进行施工图设计。超低能耗建筑、近零能耗建筑或零能耗建筑项目的各专项设计，应与建筑主体施工图设计文件同步进行审查。</w:t>
      </w:r>
    </w:p>
    <w:p w14:paraId="41875E0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施工图设计文件审查单位应当依法对施工图设计文件进行审查，经审查合格的，出具施工图设计文件审查合格书。</w:t>
      </w:r>
    </w:p>
    <w:p w14:paraId="1E815A6E">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第十一条  </w:t>
      </w:r>
      <w:r>
        <w:rPr>
          <w:rFonts w:hint="eastAsia" w:ascii="Times New Roman" w:hAnsi="Times New Roman" w:eastAsia="方正仿宋简体" w:cs="宋体"/>
          <w:color w:val="000000"/>
          <w:kern w:val="0"/>
          <w:sz w:val="32"/>
          <w:szCs w:val="32"/>
          <w14:ligatures w14:val="none"/>
        </w:rPr>
        <w:t>项目建设过程中，各参建单位应当依法严格按图施工，确保施工阶段相应技术措施有效落实，不得降低建设标准。</w:t>
      </w:r>
    </w:p>
    <w:p w14:paraId="37B8DE03">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建设单位应当加强工程质量把控，对涉及相关建筑性能的关键部品部件及材料，在施工过程中收集、留存检验检测报告或进场复检报告。</w:t>
      </w:r>
    </w:p>
    <w:p w14:paraId="68F6575B">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施工单位应当根据建设单位的要求，并结合工程特点、工程设计图纸、施工规范和操作规程及国家质量评定标准等编制专项施工方案，针对关键环节制定施工工艺和质量保证措施。专项施工方案经施工单位技术负责人审批，按照有关规定报送监理单位或建设单位。施工过程中，应当严格按照工程设计图纸或者施工技术标准进行施工，并留存关键工序影像资料。</w:t>
      </w:r>
    </w:p>
    <w:p w14:paraId="7995B4FF">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监理单位应当依法对建设工程实施监理，根据建设单位的要求，结合专项施工方案编制专项监理细则，制订相应的质量管控措施。施工过程中，对门窗安装、墙面和屋面保温施工、穿墙及出屋面管道等部位热桥处理、气密层保障施工等重要工序应进行旁站记录和验收记录。如发现施工单位不按照工程设计图纸或者施工技术标准进行施工的，及时予以制止。</w:t>
      </w:r>
    </w:p>
    <w:p w14:paraId="1FF4D739">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第十二条  </w:t>
      </w:r>
      <w:r>
        <w:rPr>
          <w:rFonts w:hint="eastAsia" w:ascii="Times New Roman" w:hAnsi="Times New Roman" w:eastAsia="方正仿宋简体" w:cs="宋体"/>
          <w:color w:val="000000"/>
          <w:kern w:val="0"/>
          <w:sz w:val="32"/>
          <w:szCs w:val="32"/>
          <w14:ligatures w14:val="none"/>
        </w:rPr>
        <w:t>建设单位在组织建筑节能分部工程验收时，应当同步组织对项目申报承诺书中各项技术措施落实情况进行评价，确保项目达到承诺建设目标，并在申请办理竣工联合验收前，向市住房城乡建设部门提交以下材料：</w:t>
      </w:r>
    </w:p>
    <w:p w14:paraId="427BB82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（一）超低能耗建筑、近零能耗建筑或零能耗建筑技术措施落实情况评价表；</w:t>
      </w:r>
    </w:p>
    <w:p w14:paraId="2E12E346">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（二）高性能节能标识产品合格证明；</w:t>
      </w:r>
    </w:p>
    <w:p w14:paraId="26E61FD7">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（三）专项施工方案和专项监理细则；</w:t>
      </w:r>
    </w:p>
    <w:p w14:paraId="77DF082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（四）主材进场质量检查和验收文件；</w:t>
      </w:r>
    </w:p>
    <w:p w14:paraId="684C2E5E">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（五）隐蔽工程记录和影像资料；</w:t>
      </w:r>
    </w:p>
    <w:p w14:paraId="0BD458C6">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（六）能源系统调适报告；</w:t>
      </w:r>
    </w:p>
    <w:p w14:paraId="033AFD1B">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（七）建筑气密性测试报告（如有）；</w:t>
      </w:r>
    </w:p>
    <w:p w14:paraId="32D5344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（八）新风热回收装置性能现场检测报告（如有）。</w:t>
      </w:r>
    </w:p>
    <w:p w14:paraId="5A19848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第十三条  </w:t>
      </w:r>
      <w:r>
        <w:rPr>
          <w:rFonts w:hint="eastAsia" w:ascii="Times New Roman" w:hAnsi="Times New Roman" w:eastAsia="方正仿宋简体" w:cs="宋体"/>
          <w:color w:val="000000"/>
          <w:kern w:val="0"/>
          <w:sz w:val="32"/>
          <w:szCs w:val="32"/>
          <w14:ligatures w14:val="none"/>
        </w:rPr>
        <w:t>市住房城乡建设部门应当在收到符合要求的申请复核材料后十五个工作日内组织开展复核，并向建设单位出具复核意见书，载明是否给予容积率激励措施等内容，并同步抄送至规划和自然资源部门。市住房城乡建设部门可以委托具备设计、审图或检测资质的专业机构对超低能耗建筑、近零能耗建筑或零能耗建筑的实施情况进行核验，并由专业机构出具实施情况核验报告。</w:t>
      </w:r>
    </w:p>
    <w:p w14:paraId="09F4059C">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如复核结果不通过，建设单位根据复核结果自行组织开展整改，完成整改后可重新申请复核。</w:t>
      </w:r>
    </w:p>
    <w:p w14:paraId="4CD8DBC5">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规划和自然资源部门应当按照项目认定意见书、复核通过意见书，在建设工程规划条件核实阶段核定容积率计算的建筑面积。</w:t>
      </w:r>
    </w:p>
    <w:p w14:paraId="1520ACAE">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第十四条  </w:t>
      </w:r>
      <w:r>
        <w:rPr>
          <w:rFonts w:hint="eastAsia" w:ascii="Times New Roman" w:hAnsi="Times New Roman" w:eastAsia="方正仿宋简体" w:cs="宋体"/>
          <w:color w:val="000000"/>
          <w:kern w:val="0"/>
          <w:sz w:val="32"/>
          <w:szCs w:val="32"/>
          <w14:ligatures w14:val="none"/>
        </w:rPr>
        <w:t>申请享受容积率激励措施的建设项目，存在未按照工程设计图纸或者施工技术标准施工等违法行为或属于违法建设的，按照有关规定依法予以处理。</w:t>
      </w:r>
    </w:p>
    <w:p w14:paraId="7ACFAAEA">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未按照申报承诺内容实施的建设项目，取消项目建设单位享受容积率激励措施和申报享受本市超低能耗建筑项目相关政策支持的资格，并依法依规将有关未履行或未全部履行承诺情况记入公共信用信息。</w:t>
      </w:r>
    </w:p>
    <w:p w14:paraId="547F796B">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第十五条  </w:t>
      </w:r>
      <w:r>
        <w:rPr>
          <w:rFonts w:hint="eastAsia" w:ascii="Times New Roman" w:hAnsi="Times New Roman" w:eastAsia="方正仿宋简体" w:cs="宋体"/>
          <w:color w:val="000000"/>
          <w:kern w:val="0"/>
          <w:sz w:val="32"/>
          <w:szCs w:val="32"/>
          <w14:ligatures w14:val="none"/>
        </w:rPr>
        <w:t>享受本细则规定的容积率激励措施的项目不可重复申请享受本级其他容积率激励措施、财政资金支持等政策。</w:t>
      </w:r>
    </w:p>
    <w:p w14:paraId="6EE80C67">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第十六条  </w:t>
      </w:r>
      <w:r>
        <w:rPr>
          <w:rFonts w:hint="eastAsia" w:ascii="Times New Roman" w:hAnsi="Times New Roman" w:eastAsia="方正仿宋简体" w:cs="宋体"/>
          <w:color w:val="000000"/>
          <w:kern w:val="0"/>
          <w:sz w:val="32"/>
          <w:szCs w:val="32"/>
          <w14:ligatures w14:val="none"/>
        </w:rPr>
        <w:t>本细则自2025年1月1日起施行，有效期5年。</w:t>
      </w:r>
    </w:p>
    <w:p w14:paraId="44FD3D4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3AFA45EC">
      <w:pPr>
        <w:widowControl/>
        <w:shd w:val="clear" w:color="auto" w:fill="FFFFFF"/>
        <w:jc w:val="center"/>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广州市装配式建筑和模块化建筑项目容积率激励措施实施细则</w:t>
      </w:r>
    </w:p>
    <w:p w14:paraId="06699AA0">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3B4F8F89">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第一条  </w:t>
      </w:r>
      <w:r>
        <w:rPr>
          <w:rFonts w:hint="eastAsia" w:ascii="Times New Roman" w:hAnsi="Times New Roman" w:eastAsia="方正仿宋简体" w:cs="宋体"/>
          <w:color w:val="000000"/>
          <w:kern w:val="0"/>
          <w:sz w:val="32"/>
          <w:szCs w:val="32"/>
          <w14:ligatures w14:val="none"/>
        </w:rPr>
        <w:t>为促进绿色建筑高质量发展，加快推进新型建筑工业化，规范本市装配式建筑和模块化建筑项目容积率激励措施的管理，根据《广东省绿色建筑条例》《广州市绿色建筑和建筑节能管理规定》等有关规定，结合本市实际，制定本细则。</w:t>
      </w:r>
    </w:p>
    <w:p w14:paraId="131C5765">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第二条  </w:t>
      </w:r>
      <w:r>
        <w:rPr>
          <w:rFonts w:hint="eastAsia" w:ascii="Times New Roman" w:hAnsi="Times New Roman" w:eastAsia="方正仿宋简体" w:cs="宋体"/>
          <w:color w:val="000000"/>
          <w:kern w:val="0"/>
          <w:sz w:val="32"/>
          <w:szCs w:val="32"/>
          <w14:ligatures w14:val="none"/>
        </w:rPr>
        <w:t>市住房城乡建设部门负责统筹、指导实施本市装配式建筑和模块化建筑项目容积率激励措施工作，并发布申报指南。市散装水泥与建筑节能管理中心负责开展容积率激励措施的组织申报等具体事务性工作。</w:t>
      </w:r>
    </w:p>
    <w:p w14:paraId="33661EC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市、区规划和自然资源部门负责做好享受容积率激励措施的装配式建筑和模块化建筑项目的建设工程规划许可证核发、规划条件核实等工作。</w:t>
      </w:r>
    </w:p>
    <w:p w14:paraId="2289BB8D">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各区住房城乡建设部门、各级工程质量监督机构配合做好享受容积率激励措施的装配式建筑和模块化建筑项目的质量监管等工作。</w:t>
      </w:r>
    </w:p>
    <w:p w14:paraId="0B99569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第三条  </w:t>
      </w:r>
      <w:r>
        <w:rPr>
          <w:rFonts w:hint="eastAsia" w:ascii="Times New Roman" w:hAnsi="Times New Roman" w:eastAsia="方正仿宋简体" w:cs="宋体"/>
          <w:color w:val="000000"/>
          <w:kern w:val="0"/>
          <w:sz w:val="32"/>
          <w:szCs w:val="32"/>
          <w14:ligatures w14:val="none"/>
        </w:rPr>
        <w:t>本市行政区域范围内，符合以下要求的绿色建筑项目，按照自愿原则申请享受相应的容积率激励措施：</w:t>
      </w:r>
    </w:p>
    <w:p w14:paraId="272A31DA">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（一）装配式建筑等级达到2A级或以上、绿色建筑等级达到二星级或以上，且技术条件满足整体卫生间个数占该项目卫生间个数60%以上的项目，本栋建筑单体享受3%的容积率激励措施；</w:t>
      </w:r>
    </w:p>
    <w:p w14:paraId="6A7F584F">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（二）标准层模块化箱体水平投影面积占标准层水平面积75%以上或模块化箱体水平投影面积占地上建筑面积的50%以上的项目，本栋建筑单体享受6%的容积率激励措施。</w:t>
      </w:r>
    </w:p>
    <w:p w14:paraId="07F98C2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政府投资和以政府投资为主的项目不享受本细则规定的容积率激励措施。</w:t>
      </w:r>
    </w:p>
    <w:p w14:paraId="3F871BAF">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已办理规划、土地等手续，尚未开工建设的项目，改建装配式建筑或模块化建筑的，同等享受容积率激励措施，市住房城乡建设部门、规划和自然资源部门等配合办理变更手续。</w:t>
      </w:r>
    </w:p>
    <w:p w14:paraId="16F48A53">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具体技术条件由市住房城乡建设部门根据装配式建筑和模块化建筑技术发展情况适时修订。</w:t>
      </w:r>
    </w:p>
    <w:p w14:paraId="29173491">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第四条  </w:t>
      </w:r>
      <w:r>
        <w:rPr>
          <w:rFonts w:hint="eastAsia" w:ascii="Times New Roman" w:hAnsi="Times New Roman" w:eastAsia="方正仿宋简体" w:cs="宋体"/>
          <w:color w:val="000000"/>
          <w:kern w:val="0"/>
          <w:sz w:val="32"/>
          <w:szCs w:val="32"/>
          <w14:ligatures w14:val="none"/>
        </w:rPr>
        <w:t>建设单位应当在申领建设工程规划许可证前，向市住房城乡建设部门提交以下材料申请享受容积率激励措施：</w:t>
      </w:r>
    </w:p>
    <w:p w14:paraId="465A1B81">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（一）申报承诺书；</w:t>
      </w:r>
    </w:p>
    <w:p w14:paraId="047D1A0E">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（二）装配式建筑项目装配率计算书或模块化建筑计算书；</w:t>
      </w:r>
    </w:p>
    <w:p w14:paraId="5C8A180C">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（三）装配式建筑实施方案；</w:t>
      </w:r>
    </w:p>
    <w:p w14:paraId="7B7878AC">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（四）项目设计文件。</w:t>
      </w:r>
    </w:p>
    <w:p w14:paraId="40BCD71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建设单位应在申请承诺书中明确享受容积率激励措施的项目，应当严格按照相关要求、标准进行建设，达到相应的技术要求和标准。</w:t>
      </w:r>
    </w:p>
    <w:p w14:paraId="7C79F81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第五条  </w:t>
      </w:r>
      <w:r>
        <w:rPr>
          <w:rFonts w:hint="eastAsia" w:ascii="Times New Roman" w:hAnsi="Times New Roman" w:eastAsia="方正仿宋简体" w:cs="宋体"/>
          <w:color w:val="000000"/>
          <w:kern w:val="0"/>
          <w:sz w:val="32"/>
          <w:szCs w:val="32"/>
          <w14:ligatures w14:val="none"/>
        </w:rPr>
        <w:t>市住房城乡建设部门在收到符合要求的申请材料后十五个工作日内组织开展评估，作出享受容积率激励措施的评估意见，向建设单位出具项目认定意见书，载明享受容积率激励措施的面积等内容，并同步抄送至规划和自然资源部门、城市管理综合执法部门、区住房城乡建设部门、工程质量监督机构等相关单位。</w:t>
      </w:r>
    </w:p>
    <w:p w14:paraId="4091E255">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第六条  </w:t>
      </w:r>
      <w:r>
        <w:rPr>
          <w:rFonts w:hint="eastAsia" w:ascii="Times New Roman" w:hAnsi="Times New Roman" w:eastAsia="方正仿宋简体" w:cs="宋体"/>
          <w:color w:val="000000"/>
          <w:kern w:val="0"/>
          <w:sz w:val="32"/>
          <w:szCs w:val="32"/>
          <w14:ligatures w14:val="none"/>
        </w:rPr>
        <w:t>市住房和城乡建设部门在出具项目认定意见书后，应当在建设工程全过程中，加强对建设单位落实本细则第四条规定相关内容的监管。</w:t>
      </w:r>
    </w:p>
    <w:p w14:paraId="34FAF1B4">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工程质量监督机构应当加强对享受容积率激励措施项目的日常监督管理，在项目开工前对该项目在装配式建筑或模块化建筑方面的关键技术节点进行监督交底，并严格督促各参建单位落实工程设计图纸及相关技术要求。</w:t>
      </w:r>
    </w:p>
    <w:p w14:paraId="44517729">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第七条  </w:t>
      </w:r>
      <w:r>
        <w:rPr>
          <w:rFonts w:hint="eastAsia" w:ascii="Times New Roman" w:hAnsi="Times New Roman" w:eastAsia="方正仿宋简体" w:cs="宋体"/>
          <w:color w:val="000000"/>
          <w:kern w:val="0"/>
          <w:sz w:val="32"/>
          <w:szCs w:val="32"/>
          <w14:ligatures w14:val="none"/>
        </w:rPr>
        <w:t>规划和自然资源部门在核发建设工程规划许可阶段，按照项目认定意见书中认定的符合容积率政策支持的建筑面积，不纳入容积率计算，并传导装配式建筑等要求。</w:t>
      </w:r>
    </w:p>
    <w:p w14:paraId="1159D94C">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第八条  </w:t>
      </w:r>
      <w:r>
        <w:rPr>
          <w:rFonts w:hint="eastAsia" w:ascii="Times New Roman" w:hAnsi="Times New Roman" w:eastAsia="方正仿宋简体" w:cs="宋体"/>
          <w:color w:val="000000"/>
          <w:kern w:val="0"/>
          <w:sz w:val="32"/>
          <w:szCs w:val="32"/>
          <w14:ligatures w14:val="none"/>
        </w:rPr>
        <w:t>建设单位应当确保施工图设计阶段相应技术措施的有效落实，委托设计单位根据申报承诺内容、评估通过的项目设计文件等进行施工图设计。</w:t>
      </w:r>
    </w:p>
    <w:p w14:paraId="4075BFB5">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施工图设计文件审查单位应当依法对施工图设计文件进行审查，经审查合格的，出具施工图设计文件审查合格书。</w:t>
      </w:r>
    </w:p>
    <w:p w14:paraId="214F133C">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享受本细则第三条第一款第（一）项规定的容积率激励措施的，建设单位应当在施工图设计文件审查合格后，申报绿色建筑等级预评价，并获得与申报承诺书中相匹配的绿色建筑等级预评价结论。</w:t>
      </w:r>
    </w:p>
    <w:p w14:paraId="23171746">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第九条  </w:t>
      </w:r>
      <w:r>
        <w:rPr>
          <w:rFonts w:hint="eastAsia" w:ascii="Times New Roman" w:hAnsi="Times New Roman" w:eastAsia="方正仿宋简体" w:cs="宋体"/>
          <w:color w:val="000000"/>
          <w:kern w:val="0"/>
          <w:sz w:val="32"/>
          <w:szCs w:val="32"/>
          <w14:ligatures w14:val="none"/>
        </w:rPr>
        <w:t>项目建设过程中，各参建单位应当依法严格按图施工，确保施工阶段相应技术措施的有效落实，不得降低建设标准。</w:t>
      </w:r>
    </w:p>
    <w:p w14:paraId="3FC5F4B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建设单位应当加强工程质量把控，对涉及相关建筑性能的关键部品部件及材料，在施工过程中收集、留存检验检测报告或进场复检报告。</w:t>
      </w:r>
    </w:p>
    <w:p w14:paraId="3AC48F06">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施工单位应当根据建设单位的要求，结合工程特点、工程设计图纸、施工规范和操作规程及国家质量评定标准等编制专项施工方案，针对关键环节制定施工工艺和质量保证措施。专项施工方案经施工单位技术负责人审批，按有关规定报送监理单位或建设单位。施工过程中，应当严格按照工程设计图纸或者施工技术标准进行施工，并留存关键工序影像资料。</w:t>
      </w:r>
    </w:p>
    <w:p w14:paraId="3240506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监理单位应当依法对建设工程实施监理，根据建设单位的要求，结合专项施工方案编制专项监理细则，制订相应的质量管控措施。施工过程中，对重要工序应进行旁站记录和验收记录，如发现施工单位不按照按照工程设计图纸或者施工技术标准进行施工的，及时予以制止。</w:t>
      </w:r>
    </w:p>
    <w:p w14:paraId="28D32661">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第十条  </w:t>
      </w:r>
      <w:r>
        <w:rPr>
          <w:rFonts w:hint="eastAsia" w:ascii="Times New Roman" w:hAnsi="Times New Roman" w:eastAsia="方正仿宋简体" w:cs="宋体"/>
          <w:color w:val="000000"/>
          <w:kern w:val="0"/>
          <w:sz w:val="32"/>
          <w:szCs w:val="32"/>
          <w14:ligatures w14:val="none"/>
        </w:rPr>
        <w:t>建设单位应当在申请办理竣工联合验收前，向市住房城乡建设部门提交以下材料申请复核：</w:t>
      </w:r>
    </w:p>
    <w:p w14:paraId="7B91EF2F">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（一）建设单位组织各参建单位对装配式建筑项目或模块化建筑项目内容进行项目复核的相关材料；</w:t>
      </w:r>
    </w:p>
    <w:p w14:paraId="0E0CB66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（二）整体卫生间、标准层模块化箱体应用的证明材料（相关材料及设备的购销合同复印件、进场台账、数量或水平投影的计算书等）；</w:t>
      </w:r>
    </w:p>
    <w:p w14:paraId="2126C358">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（三）通过绿色建筑预评价的相关证明文件（如有）。</w:t>
      </w:r>
    </w:p>
    <w:p w14:paraId="00A63722">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第十一条  </w:t>
      </w:r>
      <w:r>
        <w:rPr>
          <w:rFonts w:hint="eastAsia" w:ascii="Times New Roman" w:hAnsi="Times New Roman" w:eastAsia="方正仿宋简体" w:cs="宋体"/>
          <w:color w:val="000000"/>
          <w:kern w:val="0"/>
          <w:sz w:val="32"/>
          <w:szCs w:val="32"/>
          <w14:ligatures w14:val="none"/>
        </w:rPr>
        <w:t>市住房城乡建设部门应当在收到符合要求的申请复核材料后十五个工作日内，组织开展对装配式建筑项目或模块化建筑项目实施情况进行复核。项目情况复杂的，可以委托第三方专业机构协助提供检测等技术服务。</w:t>
      </w:r>
    </w:p>
    <w:p w14:paraId="58BD3288">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市住房城乡建设部门应当根据复核结果向建设单位出具项目复核意见书，载明是否给予容积率激励措施、享受容积率激励措施的面积等内容，并同步抄送至规划和自然资源部门。</w:t>
      </w:r>
    </w:p>
    <w:p w14:paraId="66B5A053">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如复核结果不通过，建设单位根据复核结果自行组织开展整改，完成整改后可重新申请复核。</w:t>
      </w:r>
    </w:p>
    <w:p w14:paraId="66D685BE">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规划和自然资源部门应当按照项目认定意见书、复核通过意见书，在建设工程规划条件核实阶段核定容积率计算的建筑面积。</w:t>
      </w:r>
    </w:p>
    <w:p w14:paraId="1D267681">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第十二条  </w:t>
      </w:r>
      <w:r>
        <w:rPr>
          <w:rFonts w:hint="eastAsia" w:ascii="Times New Roman" w:hAnsi="Times New Roman" w:eastAsia="方正仿宋简体" w:cs="宋体"/>
          <w:color w:val="000000"/>
          <w:kern w:val="0"/>
          <w:sz w:val="32"/>
          <w:szCs w:val="32"/>
          <w14:ligatures w14:val="none"/>
        </w:rPr>
        <w:t>申请享受容积率激励措施的建设项目，存在未按照工程设计图纸或者施工技术标准施工等违法行为或属于违法建设的，按照有关规定依法予以处理。</w:t>
      </w:r>
    </w:p>
    <w:p w14:paraId="3462C518">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未按照申报承诺内容实施的建设项目，取消项目建设单位享受容积率激励措施和申报享受本市装配式建筑项目、模块化建筑项目相关政策支持的资格，并依法依规将有关未履行或未全部履行承诺情况记入公共信用信息。</w:t>
      </w:r>
    </w:p>
    <w:p w14:paraId="315E057F">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第十三条  </w:t>
      </w:r>
      <w:r>
        <w:rPr>
          <w:rFonts w:hint="eastAsia" w:ascii="Times New Roman" w:hAnsi="Times New Roman" w:eastAsia="方正仿宋简体" w:cs="宋体"/>
          <w:color w:val="000000"/>
          <w:kern w:val="0"/>
          <w:sz w:val="32"/>
          <w:szCs w:val="32"/>
          <w14:ligatures w14:val="none"/>
        </w:rPr>
        <w:t>享受本细则规定的容积率激励措施的项目不可重复申请享受本级其他容积率激励措施、财政资金支持等政策。</w:t>
      </w:r>
    </w:p>
    <w:p w14:paraId="5995CD0A">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第十四条  </w:t>
      </w:r>
      <w:r>
        <w:rPr>
          <w:rFonts w:hint="eastAsia" w:ascii="Times New Roman" w:hAnsi="Times New Roman" w:eastAsia="方正仿宋简体" w:cs="宋体"/>
          <w:color w:val="000000"/>
          <w:kern w:val="0"/>
          <w:sz w:val="32"/>
          <w:szCs w:val="32"/>
          <w14:ligatures w14:val="none"/>
        </w:rPr>
        <w:t>本细则自2025年1月1日起施行，有效期5年。</w:t>
      </w:r>
    </w:p>
    <w:p w14:paraId="2FC56711">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p>
    <w:p w14:paraId="5DA404D0">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公开方式：主动公开</w:t>
      </w:r>
    </w:p>
    <w:p w14:paraId="505CD70B">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广州市商务局关于印发广州市关于加快会展业发展的若干措施的通知</w:t>
      </w:r>
    </w:p>
    <w:p w14:paraId="05192F3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各区商务主管部门、各有关协会及企业（单位）：</w:t>
      </w:r>
    </w:p>
    <w:p w14:paraId="4E69730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《广州市关于加快会展业发展的若干措施》已经市人民政府同意，现印发给你们，请认真组织实施。实施中遇到问题，请径向我局反映。</w:t>
      </w:r>
    </w:p>
    <w:p w14:paraId="1FC27562">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广州市商务局</w:t>
      </w:r>
    </w:p>
    <w:p w14:paraId="014964C7">
      <w:pPr>
        <w:widowControl/>
        <w:shd w:val="clear" w:color="auto" w:fill="FFFFFF"/>
        <w:spacing w:line="420" w:lineRule="atLeast"/>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2024年12月18日</w:t>
      </w:r>
    </w:p>
    <w:p w14:paraId="1D7249C1">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14:ligatures w14:val="none"/>
        </w:rPr>
      </w:pPr>
    </w:p>
    <w:p w14:paraId="33682BD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p>
    <w:p w14:paraId="21D52B8E">
      <w:pPr>
        <w:widowControl/>
        <w:shd w:val="clear" w:color="auto" w:fill="FFFFFF"/>
        <w:spacing w:line="420" w:lineRule="atLeast"/>
        <w:jc w:val="center"/>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广州市关于加快会展业发展的若干措施</w:t>
      </w:r>
    </w:p>
    <w:p w14:paraId="3D76E63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br w:type="textWrapping"/>
      </w:r>
    </w:p>
    <w:p w14:paraId="5E53EAB2">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为进一步做大做强会展业，全面促进会展业高质量发展，增强会展业服务全市经济社会发展功能，巩固和提升国际会展中心的竞争力和影响力，根据国家和省相关文件精神及国际消费中心建设有关部署，结合我市实际制定以下政策措施。</w:t>
      </w:r>
    </w:p>
    <w:p w14:paraId="177A16BE">
      <w:pPr>
        <w:widowControl/>
        <w:shd w:val="clear" w:color="auto" w:fill="FFFFFF"/>
        <w:spacing w:line="420" w:lineRule="atLeast"/>
        <w:jc w:val="left"/>
        <w:textAlignment w:val="baseline"/>
        <w:rPr>
          <w:rFonts w:hint="eastAsia" w:ascii="方正黑体简体" w:hAnsi="方正黑体简体" w:eastAsia="方正黑体简体" w:cs="方正黑体简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 xml:space="preserve">  </w:t>
      </w:r>
      <w:r>
        <w:rPr>
          <w:rFonts w:hint="eastAsia" w:ascii="方正黑体简体" w:hAnsi="方正黑体简体" w:eastAsia="方正黑体简体" w:cs="方正黑体简体"/>
          <w:b/>
          <w:bCs/>
          <w:color w:val="000000"/>
          <w:kern w:val="0"/>
          <w:sz w:val="32"/>
          <w:szCs w:val="32"/>
          <w14:ligatures w14:val="none"/>
        </w:rPr>
        <w:t>一</w:t>
      </w:r>
      <w:r>
        <w:rPr>
          <w:rFonts w:hint="eastAsia" w:ascii="方正黑体简体" w:hAnsi="方正黑体简体" w:eastAsia="方正黑体简体" w:cs="方正黑体简体"/>
          <w:b w:val="0"/>
          <w:bCs w:val="0"/>
          <w:color w:val="000000"/>
          <w:kern w:val="0"/>
          <w:sz w:val="32"/>
          <w:szCs w:val="32"/>
          <w14:ligatures w14:val="none"/>
        </w:rPr>
        <w:t>、培育引进新展会</w:t>
      </w:r>
    </w:p>
    <w:p w14:paraId="6854B0D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对首次在我市会展场所举办的展会，以三年（届）为培育期，从第一年（届）至第三年（届）每年（届）给予奖励。每年（届）奖励标准为：展览面积15万（含）平方米以上的，最高奖励300万元；10万（含）至15万平方米的，最高奖励200万元；5万（含）至10万平方米的，最高奖励100万元；3万（含）至5万平方米的，最高奖励60万元；6000（含）至3万平方米的，奖励金额不超过其实际场租支出的30%，最高奖励30万元；未达到6000平方米的，当年（届）不予奖励。符合我市“产业第一，制造业立市”需要的优势产业、新兴产业和未来产业等题材展会，且其工业装备、生产设备、新型材料、先进技术等展示的合计展位面积超过5000平方米的，奖励额度按上述标准最高上浮20%。</w:t>
      </w:r>
    </w:p>
    <w:p w14:paraId="5B19852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（二）展览面积5万（含）平方米以上，近5年未在我市举办且未享受过2016年以来我市市级会展业发展专项资金支持的展会项目，按照第（一）项新展会项目奖励标准给予奖励，奖励不超过三年（届）。</w:t>
      </w:r>
    </w:p>
    <w:p w14:paraId="7D62D043">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（三）符合上述条件享受支持的项目，每届展会的举办间隔不超过2年；如每年在我市举办两届及以上的，当年只奖励一届，以办展单位自主申报为准。</w:t>
      </w:r>
    </w:p>
    <w:p w14:paraId="44FACD9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w:t>
      </w:r>
      <w:r>
        <w:rPr>
          <w:rFonts w:hint="eastAsia" w:ascii="方正黑体简体" w:hAnsi="方正黑体简体" w:eastAsia="方正黑体简体" w:cs="方正黑体简体"/>
          <w:b/>
          <w:bCs/>
          <w:color w:val="000000"/>
          <w:kern w:val="0"/>
          <w:sz w:val="32"/>
          <w:szCs w:val="32"/>
          <w14:ligatures w14:val="none"/>
        </w:rPr>
        <w:t xml:space="preserve"> </w:t>
      </w:r>
      <w:r>
        <w:rPr>
          <w:rFonts w:hint="eastAsia" w:ascii="方正黑体简体" w:hAnsi="方正黑体简体" w:eastAsia="方正黑体简体" w:cs="方正黑体简体"/>
          <w:color w:val="000000"/>
          <w:kern w:val="0"/>
          <w:sz w:val="32"/>
          <w:szCs w:val="32"/>
          <w14:ligatures w14:val="none"/>
        </w:rPr>
        <w:t>二、促进展会高质量发展</w:t>
      </w:r>
    </w:p>
    <w:p w14:paraId="3CC9C71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支持展会扩大规模。在我市会展场所举办的非培育期展会，展览面积达6000平方米（含）以上，对比上届在我市举办（其中，在我市一年举办两届及以上的，与上年同季展比较）面积增长达到一定比例的，按展览期不超过5天（以布展不超过2天加展览不超过3天计算）的新增面积场租的一定比例给予补助，具体为：展览面积10万平方米（含）以上的，按不超过新增面积场租的80%给予补助；5万（含）至10万平方米的，按不超过新增面积场租的50%给予补助；6000（含）至5万平方米，且面积增长20%（含）以上的，按不超过新增面积场租的50%给予补助。单个项目补助最高不超过200万元。</w:t>
      </w:r>
    </w:p>
    <w:p w14:paraId="58392327">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五）稳定大型展会发展。在我市会展场所举办、展览面积达到5万（含）平方米以上，处于非培育期的展会，每届给予奖励。其中，面积30万（含）平方米以上的，最高奖励80万元；面积20万（含）至30万平方米的，最高奖励60万元；面积10万（含）至20万平方米的，最高奖励40万元；面积5万（含）至10万平方米的，最高奖励20万元。</w:t>
      </w:r>
    </w:p>
    <w:p w14:paraId="493AF30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六）推动展会品牌化发展。对被评定为我市重点品牌展会的，给予最高50万元奖励；被评定为优质品牌展会的，给予最高30万元奖励；被评定为成长型品牌展会的，给予最高20万元奖励。上述评定三年进行一次，具体评定办法另行制定。</w:t>
      </w:r>
    </w:p>
    <w:p w14:paraId="24E079E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七）鼓励展会国际化发展。对在我市举办的国际展会（含培育期和非培育期展会），每届给予最高10万元奖励。国际展会指境外参展企业数量不低于全部参展企业数量的10%，或者境外观众人数不低于全部观众人数5%的展会。</w:t>
      </w:r>
    </w:p>
    <w:p w14:paraId="25C69925">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八）助力企业“出海”办展。对我市商协会、企业等机构在境外举办的展会，展览面积在2000平方米（含）以上、且参展的广州地区企业在20家以上的，给予奖励。其中，展览面积1万（含）平方米以上的，最高奖励50万元；5000（含）至1万平方米的，最高奖励30万元；2000（含）至5000平方米的，最高奖励20万元。</w:t>
      </w:r>
    </w:p>
    <w:p w14:paraId="57A70C1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九）加快展会绿色发展。鼓励各部门、社会机构整合自身资源助力展会实现碳中和。对在我市举办、实现碳中和的展会项目，对实际出资的会展企业，按照不超过投入碳核算、碳信用采购和注销、碳中和认证的实际支出的80%给予补助，每届补助金额不超过5万元。</w:t>
      </w:r>
    </w:p>
    <w:p w14:paraId="21230BE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（十）促进小微企业上规模发展。对首次升规的会展企业（单位），给予最高10万元的一次性奖励。</w:t>
      </w:r>
    </w:p>
    <w:p w14:paraId="5B48FCF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xml:space="preserve">        </w:t>
      </w:r>
      <w:r>
        <w:rPr>
          <w:rFonts w:hint="eastAsia" w:ascii="方正黑体简体" w:hAnsi="方正黑体简体" w:eastAsia="方正黑体简体" w:cs="方正黑体简体"/>
          <w:b w:val="0"/>
          <w:bCs w:val="0"/>
          <w:color w:val="000000"/>
          <w:kern w:val="0"/>
          <w:sz w:val="32"/>
          <w:szCs w:val="32"/>
          <w14:ligatures w14:val="none"/>
        </w:rPr>
        <w:t>三、支持举办高端会议</w:t>
      </w:r>
    </w:p>
    <w:p w14:paraId="21ABDFE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w:t>
      </w:r>
      <w:r>
        <w:rPr>
          <w:rFonts w:hint="eastAsia" w:ascii="Times New Roman" w:hAnsi="Times New Roman" w:eastAsia="方正仿宋简体" w:cs="宋体"/>
          <w:color w:val="000000"/>
          <w:kern w:val="0"/>
          <w:sz w:val="32"/>
          <w:szCs w:val="32"/>
          <w14:ligatures w14:val="none"/>
        </w:rPr>
        <w:t>（十一）支持举办国际性会议。对在我市举办的符合条件的国际性会议，按照不超过会议场租的50%给予实际出资的主办或承办单位补助，每届会议的补助金额不超过80万元。国际性会议指与会人员来自5个（含）以上国家或地区（不含港、澳、台地区）或国际性组织，会期1天（含）以上，与会人数50人（含）以上，外国与会人士占20%（含）以上，在经济、科技、文化、商贸等领域以服务产业、技术研讨等为主要目的，有利于提升我市城市形象、促进产业发展、创造城市竞争新优势等的国际性会议。同一个会议项目原则上补助不超过3次（届）。</w:t>
      </w:r>
    </w:p>
    <w:p w14:paraId="466E155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二）支持举办行业性会议。国家级或国际性各类行业商协会、学会学术研究机构在我市举办的符合条件的行业性会议，按照不超过会议场租的50%给予实际出资的主办或承办单位补助，每届会议的补助金额不超过50万元。行业性会议指参会人数200人（含）以上，且参会人员来自广东省外5个城市（含境外）以上，会期1天（含）以上，属于我市鼓励发展产业的行业性会议。同一个会议项目原则上补助不超过3次（届）。</w:t>
      </w:r>
    </w:p>
    <w:p w14:paraId="6AA57D3F">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（十三）会议项目被纳入国际大会及会议协会（ICCA）、国际协会联盟（UIA）等国际权威机构统计范围的，除上述扶持外，另行给予最高15万元的一次性奖励。</w:t>
      </w:r>
    </w:p>
    <w:p w14:paraId="2092406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xml:space="preserve">      </w:t>
      </w:r>
      <w:r>
        <w:rPr>
          <w:rFonts w:hint="eastAsia" w:ascii="方正黑体简体" w:hAnsi="方正黑体简体" w:eastAsia="方正黑体简体" w:cs="方正黑体简体"/>
          <w:b w:val="0"/>
          <w:bCs w:val="0"/>
          <w:color w:val="000000"/>
          <w:kern w:val="0"/>
          <w:sz w:val="32"/>
          <w:szCs w:val="32"/>
          <w14:ligatures w14:val="none"/>
        </w:rPr>
        <w:t>  四、其他</w:t>
      </w:r>
    </w:p>
    <w:p w14:paraId="6D72A93C">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（十四）本措施所称的展会，系指在会展场所举办的以产品、技术、服务的展示、展出、参观、洽谈、信息交流为主的活动。</w:t>
      </w:r>
    </w:p>
    <w:p w14:paraId="747CB5B1">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（十五）党政机关举办或获得其他财政资金专项支持的展会项目不适用于上述财政资金扶持措施。对经市委市政府批准扶持的展会项目，按批准内容扶持。鼓励各区、市空港委根据实际加大对会展业发展的支持。</w:t>
      </w:r>
    </w:p>
    <w:p w14:paraId="47DAC93A">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（十六）港澳机构在我市独立办展，享受境内机构在我市办展同等待遇，可由港澳办展单位出具委托函，委托境内相关单位申请和领取本政策措施规定的相关奖补资金。</w:t>
      </w:r>
    </w:p>
    <w:p w14:paraId="6CE9E8B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（十七）同一届展会（主名称相同）分期举办的（分期间隔不超过30天），可以合并申请扶持资金。</w:t>
      </w:r>
    </w:p>
    <w:p w14:paraId="576C7CAB">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本措施自印发之日起施行，有效期至2027年12月31日。本措施印发当年符合条件的主体可按规定申请。</w:t>
      </w:r>
    </w:p>
    <w:p w14:paraId="1BC92616">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r>
    </w:p>
    <w:p w14:paraId="2D9F9D29">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r>
    </w:p>
    <w:p w14:paraId="02EF99F4">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r>
    </w:p>
    <w:p w14:paraId="44C5D16D">
      <w:pPr>
        <w:widowControl/>
        <w:shd w:val="clear" w:color="auto" w:fill="FFFFFF"/>
        <w:spacing w:line="420" w:lineRule="atLeast"/>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公开方式</w:t>
      </w:r>
      <w:r>
        <w:rPr>
          <w:rFonts w:hint="eastAsia" w:ascii="Times New Roman" w:hAnsi="Times New Roman" w:eastAsia="方正仿宋简体" w:cs="宋体"/>
          <w:b/>
          <w:bCs/>
          <w:color w:val="000000"/>
          <w:kern w:val="0"/>
          <w:sz w:val="32"/>
          <w:szCs w:val="32"/>
          <w14:ligatures w14:val="none"/>
        </w:rPr>
        <w:t>：</w:t>
      </w:r>
      <w:r>
        <w:rPr>
          <w:rFonts w:hint="eastAsia" w:ascii="Times New Roman" w:hAnsi="Times New Roman" w:eastAsia="方正仿宋简体" w:cs="宋体"/>
          <w:color w:val="000000"/>
          <w:kern w:val="0"/>
          <w:sz w:val="32"/>
          <w:szCs w:val="32"/>
          <w14:ligatures w14:val="none"/>
        </w:rPr>
        <w:t>主动公开</w:t>
      </w:r>
    </w:p>
    <w:p w14:paraId="57ECF01A">
      <w:pPr>
        <w:widowControl/>
        <w:shd w:val="clear" w:color="auto" w:fill="FFFFFF"/>
        <w:spacing w:after="150"/>
        <w:jc w:val="left"/>
        <w:textAlignment w:val="baseline"/>
        <w:rPr>
          <w:rFonts w:hint="eastAsia" w:ascii="Times New Roman" w:hAnsi="Times New Roman" w:eastAsia="方正仿宋简体" w:cs="宋体"/>
          <w:color w:val="000000"/>
          <w:kern w:val="0"/>
          <w:sz w:val="32"/>
          <w:szCs w:val="32"/>
          <w14:ligatures w14:val="none"/>
        </w:rPr>
      </w:pPr>
    </w:p>
    <w:p w14:paraId="0438BC7E">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关于印发广州南沙新区（自贸片区）支持涉外法律服务业发展若干措施（</w:t>
      </w:r>
      <w:r>
        <w:rPr>
          <w:rFonts w:hint="default" w:ascii="Times New Roman" w:hAnsi="Times New Roman" w:eastAsia="方正小标宋简体" w:cs="Times New Roman"/>
          <w:color w:val="000000"/>
          <w:spacing w:val="-10"/>
          <w:kern w:val="28"/>
          <w:sz w:val="44"/>
          <w:szCs w:val="56"/>
          <w14:ligatures w14:val="standardContextual"/>
        </w:rPr>
        <w:t>2024</w:t>
      </w:r>
      <w:r>
        <w:rPr>
          <w:rFonts w:hint="eastAsia" w:ascii="Calibri Light" w:hAnsi="Calibri Light" w:eastAsia="方正小标宋简体" w:cs="Times New Roman"/>
          <w:color w:val="000000"/>
          <w:spacing w:val="-10"/>
          <w:kern w:val="28"/>
          <w:sz w:val="44"/>
          <w:szCs w:val="56"/>
          <w14:ligatures w14:val="standardContextual"/>
        </w:rPr>
        <w:t>年修订版）的通知</w:t>
      </w:r>
    </w:p>
    <w:p w14:paraId="78BBCC2F">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0710B49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各镇（街），开发区（区）各部门、各直属机构：</w:t>
      </w:r>
    </w:p>
    <w:p w14:paraId="5E171D2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《广州南沙新区（自贸片区）支持涉外法律服务业发展若干措施（2024年修订版）》已经管委会、区政府同意，现印发给你们，请认真贯彻落实。实施过程中遇到的问题，请径向区司法局反映。</w:t>
      </w:r>
    </w:p>
    <w:p w14:paraId="6E8E3485">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29C81C2B">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06D27F83">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广州南沙开发区管委会办公室</w:t>
      </w:r>
    </w:p>
    <w:p w14:paraId="584D0B04">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广州市南沙区人民政府办公室</w:t>
      </w:r>
      <w:r>
        <w:rPr>
          <w:rFonts w:hint="eastAsia" w:ascii="Times New Roman" w:hAnsi="Times New Roman" w:eastAsia="方正仿宋简体" w:cs="Times New Roman"/>
          <w:color w:val="000000"/>
          <w:kern w:val="0"/>
          <w:sz w:val="32"/>
          <w:szCs w:val="32"/>
          <w14:ligatures w14:val="none"/>
        </w:rPr>
        <w:br w:type="textWrapping"/>
      </w:r>
    </w:p>
    <w:p w14:paraId="5C5A6875">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2024年12月21日</w:t>
      </w:r>
      <w:r>
        <w:rPr>
          <w:rFonts w:hint="eastAsia" w:ascii="Times New Roman" w:hAnsi="Times New Roman" w:eastAsia="方正仿宋简体" w:cs="Times New Roman"/>
          <w:color w:val="000000"/>
          <w:kern w:val="0"/>
          <w:sz w:val="32"/>
          <w:szCs w:val="32"/>
          <w14:ligatures w14:val="none"/>
        </w:rPr>
        <w:br w:type="textWrapping"/>
      </w:r>
    </w:p>
    <w:p w14:paraId="7519B3D1">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345E55B1">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553E727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广州南沙新区（自贸片区）支持涉外法律服务业发展若干措施（2024年修订版）</w:t>
      </w:r>
    </w:p>
    <w:p w14:paraId="176D7DB4">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5FBE907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为落实国务院《广州南沙深化面向世界的粤港澳全面合作总体方案》（国发〔2022〕13号）工作部署，促进南沙涉外法律服务业跨越式发展，加快引进知名涉外法律服务机构和人才，助力将南沙打造成为立足湾区、协同港澳、面向世界的重大战略性平台，结合本区实际，制定本措施。</w:t>
      </w:r>
    </w:p>
    <w:p w14:paraId="285887C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　第一条 落户支持</w:t>
      </w:r>
    </w:p>
    <w:p w14:paraId="508D540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港澳律师事务所与内地律师事务所合作设立的粤港澳合伙联营律师事务所（含粤港、粤澳、粤港澳合伙联营律师事务所）在南沙区实际从事经营活动的，联营三方均为知名法律服务机构的，给予500万元的落户支持；联营任意两方为知名法律服务机构的，给予300万元的落户支持；联营一方为知名法律服务机构的，给予200万元的落户支持；上述情形以外的，给予100万元的落户支持。</w:t>
      </w:r>
    </w:p>
    <w:p w14:paraId="068281F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属于知名法律服务机构的香港、澳门特别行政区律师事务所设立的驻内地代表机构，或属于知名法律服务机构的外国律师事务所设立的驻华代表机构，在南沙区实际从事经营活动的，给予200万元的落户支持；尚未符合知名法律服务机构条件的，给予100万元的落户支持。</w:t>
      </w:r>
    </w:p>
    <w:p w14:paraId="431CC8F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（三）知名法律服务机构在南沙区实际从事经营活动的，且以海事海商、知识产权、跨境投资等涉外法律服务为主要业务的专业法律服务机构，给予50万元的落户支持。</w:t>
      </w:r>
    </w:p>
    <w:p w14:paraId="025C530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落户支持从落户年度起，按照30%、30%、40%的比例，分三年兑现。</w:t>
      </w:r>
    </w:p>
    <w:p w14:paraId="3F72598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　　第二条 成长进步奖</w:t>
      </w:r>
    </w:p>
    <w:p w14:paraId="6620428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在南沙区实际从事经营活动的法律服务机构，该机构及其设立方、合伙联营方首次成为知名法律服务机构的，或在本市法律服务领域具有首创性、稀缺性、有带动引领作用的，给予该机构100万元奖励。</w:t>
      </w:r>
    </w:p>
    <w:p w14:paraId="323E583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　第三条 办公用房补贴</w:t>
      </w:r>
    </w:p>
    <w:p w14:paraId="31C6A96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粤港澳联营律师事务所或其他以涉外法律事务为主营业务的法律服务机构在南沙租赁办公用房自用的，按照先支付后补贴的原则，每月每平方米补贴不超过50元，每年补贴最高不超过200万元，补贴期限为3年。</w:t>
      </w:r>
    </w:p>
    <w:p w14:paraId="773CC2F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以涉外法律事务为主营业务的法律服务机构，上一年度涉外法律事务业务量和业务收入应均占该机构总业务量和总收入50%以上。</w:t>
      </w:r>
    </w:p>
    <w:p w14:paraId="60F9FEF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　　第四条 突出成就奖</w:t>
      </w:r>
    </w:p>
    <w:p w14:paraId="6EB8EC3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在南沙区实际从事经营活动的法律服务机构办理的涉外、涉港澳法律服务项目、案例和涉外法治研究成果获得省级以上行业主管部门（组织）、法学会、行业协会表彰、推广的，给予每个项目、案例和涉外法治研究成果最高奖励10万元。每家法律服务机构每年度最高奖励不超过50万元。</w:t>
      </w:r>
    </w:p>
    <w:p w14:paraId="58C068B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 人才引进补贴</w:t>
      </w:r>
    </w:p>
    <w:p w14:paraId="1704B4E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在南沙区实际从事经营活动的律师事务所每聘用一名具有以下情形之一的人员，且实际开展业务的，该律师事务所可享受一次性补贴5万元：</w:t>
      </w:r>
    </w:p>
    <w:p w14:paraId="4B27B19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（一）取得律师执业证书（粤港澳大湾区）的香港法律执业者或澳门执业律师；</w:t>
      </w:r>
    </w:p>
    <w:p w14:paraId="7D0D48D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（二）粤港澳联营律师事务所港澳方派驻或聘用的律师；</w:t>
      </w:r>
    </w:p>
    <w:p w14:paraId="14CB641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（三）担任法律顾问的外籍律师；</w:t>
      </w:r>
    </w:p>
    <w:p w14:paraId="6E4E6E4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（四）其他具有外国律师职业资格的专业人士；</w:t>
      </w:r>
    </w:p>
    <w:p w14:paraId="26575F2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（五）港澳居民律师。</w:t>
      </w:r>
    </w:p>
    <w:p w14:paraId="405A60C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每家律师事务所每年度可申领补贴累计不超过100万元。同一聘用人员先后在不同律师事务所执业的，前一机构已申领本项补贴的，后一机构不再享受。</w:t>
      </w:r>
    </w:p>
    <w:p w14:paraId="736F873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“实际开展业务”是指聘用的上述人员在律师事务所当年度办结5宗以上的诉讼、仲裁案件或10宗以上非诉法律事务。</w:t>
      </w:r>
    </w:p>
    <w:p w14:paraId="0E122F5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　　第六条 人才发展补贴</w:t>
      </w:r>
    </w:p>
    <w:p w14:paraId="3D69D9D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取得律师执业证书（粤港澳大湾区）的香港法律执业者或澳门执业律师、具有港澳或外国律师职业资格的专业人士、港澳居民律师，在南沙法律服务机构连续工作满12个月的，分别给予10万元、8万元、6万元补贴。</w:t>
      </w:r>
    </w:p>
    <w:p w14:paraId="2704DDA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在南沙执业的律师，若入选全国涉外律师人才库或其他国家级涉外法律服务领域人才库或入选“广东特支计划”，给予10万元补贴；若入选省级司法行政机关涉外律师人才库或其他省级单位涉外法律服务领域人才库，给予5万元补贴；若入选市级司法行政机关涉外律师人才库或其他市级单位涉外法律服务领域人才库，给予3万元补贴。</w:t>
      </w:r>
    </w:p>
    <w:p w14:paraId="6B2E366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人才补贴按照60%、40%的比例，分两年兑现。</w:t>
      </w:r>
    </w:p>
    <w:p w14:paraId="6BBBDFA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　　第七条 特别贡献奖</w:t>
      </w:r>
    </w:p>
    <w:p w14:paraId="5087CCC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对南沙区涉外法律服务作出突出贡献的企业、机构或组织以及个人，可据具体情况研究确定。</w:t>
      </w:r>
    </w:p>
    <w:p w14:paraId="20DFFB3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　附则</w:t>
      </w:r>
    </w:p>
    <w:p w14:paraId="2CC81C4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（一）本措施提到的货币单位均以人民币计算，涉及“不超过”“以上”“最高”的数额均包含本数。本措施扶持奖励补贴的比例和限额为上限数额，具体政策扶持兑现视当年度财政预算情况相应调整。</w:t>
      </w:r>
    </w:p>
    <w:p w14:paraId="5F5BC70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本措施所指“知名法律服务机构”是指应具有一定的人员和规模，获得省级以上行业主管部门（组织）授予示范点（机构）称号或省级以上行业主管部门（组织）、法学会、行业协会授予行业综合性荣誉，又或经省级以上行业主管部门（组织）、法学会、行业协会认可的境内外权威评比机构认定为具有行业领先地位的律师事务所、司法鉴定机构、公证处等相关机构或组织、企业（本措施另有规定除外）。境外知名法律服务机构应当专业能力突出、行业影响力强，并获得所在地区认可的专业评级或综合性荣誉等。</w:t>
      </w:r>
    </w:p>
    <w:p w14:paraId="4C99CD9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符合本措施规定的同一项目、同一事项同时符合本区其他扶持政策规定的同类事项（含上级部门要求区配套或承担资金的政策规定），按照就高不重复的原则予以支持，另有规定的除外。法律服务机构可同时享受上级和本区同一类型政策扶持，但对上级政策要求本区分担部分应在法律服务机构向本区申报扶持时予以扣除；对已获得本区“一企一策”优惠政策扶持的不再享受本办法同类扶持措施支持，另有规定的除外。关于市内跨区迁移的法律服务机构，按照广州市有关规定执行。</w:t>
      </w:r>
    </w:p>
    <w:p w14:paraId="37FC4FC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四）本措施自印发之日起施行，有效期至2028年2月9日。《广州南沙新区（自贸片区）支持涉外法律服务业发展八条措施》（穗南开管办规〔2023〕2号）同时废止。本措施到期前，区司法行政部门按上级有关规定开展政策实施阶段性评估，并根据评估结果按程序适时调整。本措施有效期内如遇法律、法规、规章或有关政策调整变化的，从其规定。</w:t>
      </w:r>
    </w:p>
    <w:p w14:paraId="0B3C7DCF">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7BF84FE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2ED1BB4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12E7913B">
      <w:pPr>
        <w:shd w:val="clear" w:color="auto" w:fill="FFFFFF"/>
        <w:spacing w:line="420" w:lineRule="atLeast"/>
        <w:jc w:val="left"/>
        <w:textAlignment w:val="baseline"/>
        <w:rPr>
          <w:rFonts w:hint="eastAsia"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3D8959F4">
      <w:pPr>
        <w:shd w:val="clear" w:color="auto" w:fill="FFFFFF"/>
        <w:spacing w:line="420" w:lineRule="atLeast"/>
        <w:jc w:val="left"/>
        <w:textAlignment w:val="baseline"/>
        <w:rPr>
          <w:rFonts w:hint="eastAsia" w:ascii="Times New Roman" w:hAnsi="Times New Roman" w:eastAsia="方正仿宋简体" w:cs="Times New Roman"/>
          <w:color w:val="000000"/>
          <w:kern w:val="0"/>
          <w:sz w:val="32"/>
          <w:szCs w:val="32"/>
          <w14:ligatures w14:val="none"/>
        </w:rPr>
      </w:pPr>
    </w:p>
    <w:p w14:paraId="3CA8BF21">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广州南沙开发区管委会办公室广州市南沙区人民政府办公室关于印发广州南沙新区（自贸片区）促进知识产权高质量发展扶持办法（</w:t>
      </w:r>
      <w:r>
        <w:rPr>
          <w:rFonts w:hint="default" w:ascii="Times New Roman" w:hAnsi="Times New Roman" w:eastAsia="方正小标宋简体" w:cs="Times New Roman"/>
          <w:color w:val="000000"/>
          <w:spacing w:val="-10"/>
          <w:kern w:val="28"/>
          <w:sz w:val="44"/>
          <w:szCs w:val="56"/>
          <w14:ligatures w14:val="standardContextual"/>
        </w:rPr>
        <w:t>2024</w:t>
      </w:r>
      <w:r>
        <w:rPr>
          <w:rFonts w:hint="eastAsia" w:ascii="Calibri Light" w:hAnsi="Calibri Light" w:eastAsia="方正小标宋简体" w:cs="Times New Roman"/>
          <w:color w:val="000000"/>
          <w:spacing w:val="-10"/>
          <w:kern w:val="28"/>
          <w:sz w:val="44"/>
          <w:szCs w:val="56"/>
          <w14:ligatures w14:val="standardContextual"/>
        </w:rPr>
        <w:t>年修订版）的通知</w:t>
      </w:r>
    </w:p>
    <w:p w14:paraId="3EBEA6F8">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各镇（街），开发区（区）各部门、各直属机构：</w:t>
      </w:r>
    </w:p>
    <w:p w14:paraId="07E96618">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《广州南沙新区（自贸片区）促进知识产权高质量发展扶持办法（2024年修订版）》已经管委会、区政府同意，现印发给你们，请认真组织实施。实施过程中遇到的问题，请径向区知识产权局反映。</w:t>
      </w:r>
    </w:p>
    <w:p w14:paraId="6CA72E2E">
      <w:pPr>
        <w:widowControl/>
        <w:shd w:val="clear" w:color="auto" w:fill="FFFFFF"/>
        <w:spacing w:line="480" w:lineRule="atLeast"/>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广州南沙开发区管委会办公室 </w:t>
      </w:r>
    </w:p>
    <w:p w14:paraId="339E9DEB">
      <w:pPr>
        <w:widowControl/>
        <w:shd w:val="clear" w:color="auto" w:fill="FFFFFF"/>
        <w:spacing w:line="480" w:lineRule="atLeast"/>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广州市南沙区人民政府办公室 </w:t>
      </w:r>
    </w:p>
    <w:p w14:paraId="724FEAA9">
      <w:pPr>
        <w:widowControl/>
        <w:shd w:val="clear" w:color="auto" w:fill="FFFFFF"/>
        <w:spacing w:line="480" w:lineRule="atLeast"/>
        <w:jc w:val="righ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2024年12月23日 </w:t>
      </w:r>
    </w:p>
    <w:p w14:paraId="3B4027A6">
      <w:pPr>
        <w:widowControl/>
        <w:shd w:val="clear" w:color="auto" w:fill="FFFFFF"/>
        <w:jc w:val="lef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clear="all"/>
      </w:r>
    </w:p>
    <w:p w14:paraId="5554763F">
      <w:pPr>
        <w:widowControl/>
        <w:shd w:val="clear" w:color="auto" w:fill="FFFFFF"/>
        <w:spacing w:line="480" w:lineRule="atLeast"/>
        <w:jc w:val="center"/>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广州南沙新区（自贸片区）促进知识产权高质量发展扶持办法（2024年修订版）</w:t>
      </w:r>
    </w:p>
    <w:p w14:paraId="1BF4C0CD">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为全面贯彻落实《粤港澳大湾区发展规划纲要》《知识产权强国建设纲要（2021—2035年）》《“十四五”国家知识产权保护和运用规划》《广州南沙深化面向世界的粤港澳全面合作总体方案》《中国（广东）自由贸易试验区发展“十四五”规划》有关精神，扎实推进知识产权强区建设，不断提升知识产权的创造质量、运用效益、保护效能、管理能力和服务水平，推动南沙区知识产权高质量发展，支撑南沙区打造立足湾区、协同港澳、面向世界的重大战略性平台，优化营商环境，结合南沙区实际，制定本办法。</w:t>
      </w:r>
    </w:p>
    <w:p w14:paraId="5002B98E">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一、适用范围</w:t>
      </w:r>
    </w:p>
    <w:p w14:paraId="1BC4E2E7">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申请人应当符合以下条件之一：</w:t>
      </w:r>
    </w:p>
    <w:p w14:paraId="3E08E719">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（一）在南沙区从事经营或业务活动的法人、非法人组织；</w:t>
      </w:r>
    </w:p>
    <w:p w14:paraId="78B332F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（二）在南沙区实际从事经营活动的知识产权服务机构分支机构；</w:t>
      </w:r>
    </w:p>
    <w:p w14:paraId="4F5D6FD8">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（三）具有南沙区户籍或者在南沙区工作并持有居住地址为南沙区的“广东省居住证”的自然人；</w:t>
      </w:r>
    </w:p>
    <w:p w14:paraId="59423901">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（四）在南沙区工作，遵纪守法，拥护“一国两制”，符合本办法第二条第（九）项有关规定的香港、澳门居民。</w:t>
      </w:r>
    </w:p>
    <w:p w14:paraId="74D15E89">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二、支持内容</w:t>
      </w:r>
    </w:p>
    <w:p w14:paraId="2775D42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　（一）鼓励知识产权高质量创造</w:t>
      </w:r>
    </w:p>
    <w:p w14:paraId="00496A05">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1.对获得中国专利奖金奖、银奖、优秀奖的，每项分别给予奖励100万元、50万元、20万元。</w:t>
      </w:r>
    </w:p>
    <w:p w14:paraId="5BF9FC0D">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2.对获得广东专利奖金奖、银奖、优秀奖的，每项分别给予奖励50万元、20万元、10万元；对获得广东杰出发明人奖的，给予奖励10万元。</w:t>
      </w:r>
    </w:p>
    <w:p w14:paraId="344192A5">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3.对获得中国商标金奖、中国版权金奖的，每项分别给予奖励100万元、100万元。</w:t>
      </w:r>
    </w:p>
    <w:p w14:paraId="56D17633">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4.对成功注册地理标志商标、证明商标（非地理标志商标）、集体商标（非地理标志商标）的，每项分别给予资助20万元、10万元、10万元。</w:t>
      </w:r>
    </w:p>
    <w:p w14:paraId="5D38ACC0">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5.在国家知识产权局成功登记集成电路布图设计的，在获得公告后资助3000元/件。</w:t>
      </w:r>
    </w:p>
    <w:p w14:paraId="7CC8D098">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6.对首次获评国家知识产权示范企业、优势企业的，分别给予奖励50万元、30万元；对通过复核的国家知识产权示范企业、优势企业，每次分别给予奖励5万元、3万元；对新获评广东省知识产权示范企业的，给予一次性奖励30万元。</w:t>
      </w:r>
    </w:p>
    <w:p w14:paraId="5DEDCD07">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7.对新获评国家、广东省版权示范企业（单位、园区、基地）的，分别给予一次性奖励50万元、30万元。</w:t>
      </w:r>
    </w:p>
    <w:p w14:paraId="6F59DA03">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同一项目获得多个级别同类奖项的，仅对最高级别的奖项给予奖励；同一项目先获低级别奖项奖励的，给予差额奖励。</w:t>
      </w:r>
    </w:p>
    <w:p w14:paraId="3B2D0EF9">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（二）加强知识产权金融赋能</w:t>
      </w:r>
    </w:p>
    <w:p w14:paraId="4173A2F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1.支持知识产权质押融资。</w:t>
      </w:r>
      <w:r>
        <w:rPr>
          <w:rFonts w:hint="eastAsia" w:ascii="Times New Roman" w:hAnsi="Times New Roman" w:eastAsia="方正仿宋简体" w:cs="宋体"/>
          <w:color w:val="000000"/>
          <w:kern w:val="0"/>
          <w:sz w:val="32"/>
          <w:szCs w:val="32"/>
          <w14:ligatures w14:val="none"/>
        </w:rPr>
        <w:t>中小微企业以其依法拥有的知识产权以质押方式从银行业金融机构取得贷款资金的，按该笔贷款所发生的评估费、担保费、保险费的50%给予资助，每项评估费、担保费、保险费资助最高5万元。单笔知识产权质押贷款不得同时申请担保费和保险费资助。</w:t>
      </w:r>
    </w:p>
    <w:p w14:paraId="38463465">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中小微企业的知识产权质押贷款还本付息后，按其实际贷款利息的50%（最高不超过同期贷款市场报价利率LPR）给予资助，单笔贷款贴息时间最长不超过1年，每个企业每年可申请1笔补贴，每年最高100万元。本项与市级部门知识产权质押融资补贴政策仅可选择其中一项进行兑现。</w:t>
      </w:r>
    </w:p>
    <w:p w14:paraId="5181435A">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2.支持知识产权证券化。</w:t>
      </w:r>
      <w:r>
        <w:rPr>
          <w:rFonts w:hint="eastAsia" w:ascii="Times New Roman" w:hAnsi="Times New Roman" w:eastAsia="方正仿宋简体" w:cs="宋体"/>
          <w:color w:val="000000"/>
          <w:kern w:val="0"/>
          <w:sz w:val="32"/>
          <w:szCs w:val="32"/>
          <w14:ligatures w14:val="none"/>
        </w:rPr>
        <w:t>发起单位以南沙区企业拥有的知识产权为基础构建资产池并发行知识产权证券化产品的，按其实际发行金额的2%给予最高600万元资助。企业通过南沙区知识产权证券化产品获得融资的，且该笔融资还本付息后，按其实际融资金额3%的年利率（最高不超过同期贷款市场报价利率LPR）给予资助，每笔融资资助期限最长三年，一年期资助最高200万元，累计最高600万元。对同一单位资助不超过其实际发行成本或融资成本。</w:t>
      </w:r>
    </w:p>
    <w:p w14:paraId="54D46E7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（三）支持知识产权转让许可</w:t>
      </w:r>
    </w:p>
    <w:p w14:paraId="11855C59">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1.企业吸纳转让许可专利。</w:t>
      </w:r>
      <w:r>
        <w:rPr>
          <w:rFonts w:hint="eastAsia" w:ascii="Times New Roman" w:hAnsi="Times New Roman" w:eastAsia="方正仿宋简体" w:cs="宋体"/>
          <w:color w:val="000000"/>
          <w:kern w:val="0"/>
          <w:sz w:val="32"/>
          <w:szCs w:val="32"/>
          <w14:ligatures w14:val="none"/>
        </w:rPr>
        <w:t>对中小微企业以转化实施为目的，通过转让、许可等方式，从国内高校、科研机构、国有企业吸纳专利成果，并依法在国家知识产权局办理了专利权转让登记、许可备案登记的，按实际支出转让、许可费用的1%给予最高100万元资助。</w:t>
      </w:r>
    </w:p>
    <w:p w14:paraId="39C0020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2.高校、科研机构专利转让许可。</w:t>
      </w:r>
      <w:r>
        <w:rPr>
          <w:rFonts w:hint="eastAsia" w:ascii="Times New Roman" w:hAnsi="Times New Roman" w:eastAsia="方正仿宋简体" w:cs="宋体"/>
          <w:color w:val="000000"/>
          <w:kern w:val="0"/>
          <w:sz w:val="32"/>
          <w:szCs w:val="32"/>
          <w14:ligatures w14:val="none"/>
        </w:rPr>
        <w:t>对高校、科研机构向企业转让、许可专利达到15件（次）以上的，给予5万元奖励，在此基础上，每增加10件（次），增加2万元奖励。同一单位每年奖励最高50万元。</w:t>
      </w:r>
    </w:p>
    <w:p w14:paraId="4C103E3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　3.专利开放许可试点。</w:t>
      </w:r>
      <w:r>
        <w:rPr>
          <w:rFonts w:hint="eastAsia" w:ascii="Times New Roman" w:hAnsi="Times New Roman" w:eastAsia="方正仿宋简体" w:cs="宋体"/>
          <w:color w:val="000000"/>
          <w:kern w:val="0"/>
          <w:sz w:val="32"/>
          <w:szCs w:val="32"/>
          <w14:ligatures w14:val="none"/>
        </w:rPr>
        <w:t>对高校、科研机构、国有企业通过广东省专利开放许可发布平台及分平台授权许可企业实施其所拥有专利的，按实际成交许可费金额的2%给予最高50万元奖励。</w:t>
      </w:r>
    </w:p>
    <w:p w14:paraId="2B220CEC">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（四）加强知识产权保护</w:t>
      </w:r>
    </w:p>
    <w:p w14:paraId="38890873">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1.支持知识产权维权。</w:t>
      </w:r>
      <w:r>
        <w:rPr>
          <w:rFonts w:hint="eastAsia" w:ascii="Times New Roman" w:hAnsi="Times New Roman" w:eastAsia="方正仿宋简体" w:cs="宋体"/>
          <w:color w:val="000000"/>
          <w:kern w:val="0"/>
          <w:sz w:val="32"/>
          <w:szCs w:val="32"/>
          <w14:ligatures w14:val="none"/>
        </w:rPr>
        <w:t>企事业单位的知识产权受到不法侵害或不实侵权指控时，开展维权行动并获得法院生效判决胜诉的，按实际维权代理费用的30%给予资助，对每件国内案件资助最高50万元，每件国外案件资助最高100万元，同一单位每年资助最高300万元，且获得各级资助总额不超过其实际维权代理费。</w:t>
      </w:r>
    </w:p>
    <w:p w14:paraId="20532373">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2.支持软件正版化。</w:t>
      </w:r>
      <w:r>
        <w:rPr>
          <w:rFonts w:hint="eastAsia" w:ascii="Times New Roman" w:hAnsi="Times New Roman" w:eastAsia="方正仿宋简体" w:cs="宋体"/>
          <w:color w:val="000000"/>
          <w:kern w:val="0"/>
          <w:sz w:val="32"/>
          <w:szCs w:val="32"/>
          <w14:ligatures w14:val="none"/>
        </w:rPr>
        <w:t>企事业单位上年度计算机软件著作权登记数累计30件以上的，按其上年度购买正版软件费用的30%给予资助，同一单位每年资助最高50万元。</w:t>
      </w:r>
    </w:p>
    <w:p w14:paraId="23D6801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（五）鼓励知识产权保险</w:t>
      </w:r>
    </w:p>
    <w:p w14:paraId="14503251">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企事业单位购买知识产权海外保险的，按实际已缴纳投保费用的80%给予资助，同一单位每年资助最高50万元；购买其他类型知识产权保险险种的，按实际已缴纳投保费用的60%给予资助，同一单位每年资助最高20万元。已获上级资助的，按上述资助标准给予差额资助。</w:t>
      </w:r>
    </w:p>
    <w:p w14:paraId="1440E892">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2.鼓励保险机构开展知识产权海外保险业务，对已产生保险理赔且赔付对象为南沙区企业的知识产权海外保险保单，按实际已赔付金额的20%对保险机构给予资助，同一保险机构每年资助最高50万元。</w:t>
      </w:r>
    </w:p>
    <w:p w14:paraId="7A14DFB2">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　（六）支持知识产权人才培养</w:t>
      </w:r>
    </w:p>
    <w:p w14:paraId="504AA22A">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对在南沙区工作并连续缴纳社保满一年，新取得国家专利代理师资格证书、高级知识产权师职称的个人，分别给予一次性奖励3万元、2万元。</w:t>
      </w:r>
    </w:p>
    <w:p w14:paraId="05FFB310">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（七）促进知识产权服务业发展</w:t>
      </w:r>
    </w:p>
    <w:p w14:paraId="6BCD66D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对在南沙区实际从事经营活动的专利代理机构（含分支机构），运营满一年且申报年度内为区内不少于5家企业、高校或科研机构提供知识产权服务的，经区知识产权行政主管部门审核后，给予一次性奖励10万元。</w:t>
      </w:r>
    </w:p>
    <w:p w14:paraId="73C3FAD0">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2.对申报年度主营业务收入达到200万元、500万元、1000万元以上，且知识产权服务收入占营业总收入50%以上的知识产权服务机构，分别给予一次性奖励20万元、50万元、100万元，曾获本项奖励的，只给予差额奖励。</w:t>
      </w:r>
    </w:p>
    <w:p w14:paraId="4ADBBBA6">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3.对经国家知识产权局评定的全国知识产权服务品牌机构，给予一次性奖励50万元；对经国家知识产权局评定的全国知识产权服务品牌培育机构，给予一次性奖励30万元；对全国知识产权服务品牌机构在南沙区实际从事经营活动的全资子公司，给予一次性奖励10万元，单个品牌机构仅对一家子公司给予奖励。</w:t>
      </w:r>
    </w:p>
    <w:p w14:paraId="6AF647C5">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（八）支持知识产权公共服务体系建设</w:t>
      </w:r>
    </w:p>
    <w:p w14:paraId="3B841B8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1.对区内经国家、省、市批准挂牌的公益性的知识产权维权援助机构，经区知识产权行政主管部门审核后，每年给予50万元维权援助服务费用资助。</w:t>
      </w:r>
    </w:p>
    <w:p w14:paraId="5B8A744C">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2.对以推动知识产权发展为目的并对外提供知识产权公益性服务的协会、促进会、联盟等社会组织，经区知识产权行政主管部门审核后，每年给予10万元资助。</w:t>
      </w:r>
    </w:p>
    <w:p w14:paraId="7B7518D5">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3.对被认定为高校国家知识产权信息服务中心、技术与创新中心（TISC）或国家知识产权信息公共服务网点的，给予一次性奖励50万元；对被认定为广东省知识产权信息公共服务网点的，给予一次性奖励30万元。</w:t>
      </w:r>
    </w:p>
    <w:p w14:paraId="30611184">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（九）促进粤港澳知识产权要素集聚</w:t>
      </w:r>
    </w:p>
    <w:p w14:paraId="1C792B2A">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对年度主营业务收入达到1000万港元以上的优质港澳知识产权服务机构在南沙区设立的公司或子公司（出资比例不低于50%），成立满一年，且申报年度内为区内企业或个人提供知识产权代理、维权、预警分析、交易转化等相关服务达30笔以上的，给予一次性奖励30万元。</w:t>
      </w:r>
    </w:p>
    <w:p w14:paraId="53E07DD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鼓励港资澳资知识产权服务机构在南沙经营发展（港澳企业或股东出资比例不低于50%），对其在南沙区租用自用办公用房，按实际租金的50%给予资助，每月每平米补贴不超过50元，每年资助最高100万元，同一单位资助期限最长不超过三年。</w:t>
      </w:r>
    </w:p>
    <w:p w14:paraId="022DE2CE">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3.在南沙区工作的香港、澳门居民，新取得国家专利代理师资格证书、高级知识产权师职称的，分别给予一次性奖励3万元、2万元。</w:t>
      </w:r>
    </w:p>
    <w:p w14:paraId="0387624C">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4.按照国家对南沙有关税收优惠政策的规定，对落户先行启动区并符合政策享受条件的知识产权服务机构减按15%税率征收企业所得税；对在南沙区工作的港澳居民，免征其个人所得税税负超过港澳税负的部分。</w:t>
      </w:r>
    </w:p>
    <w:p w14:paraId="524206D2">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（十）推进与港澳知识产权互认互通</w:t>
      </w:r>
    </w:p>
    <w:p w14:paraId="784A1BE2">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1.企业以港澳知识产权进行知识产权质押或担保融资、知识产权证券化融资的，参照本办法第二条第（二）项标准给予资助。</w:t>
      </w:r>
    </w:p>
    <w:p w14:paraId="2345E216">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2.企业的港澳知识产权受到不法侵害或不实侵权指控时，在港澳地区提起或被提起知识产权诉讼并胜诉的，参照本办法第二条第（四）项标准给予资助。</w:t>
      </w:r>
    </w:p>
    <w:p w14:paraId="0B02410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3.企业为港澳知识产权购买保险的，参照本办法第二条第（五）项标准给予资助。</w:t>
      </w:r>
    </w:p>
    <w:p w14:paraId="2972169C">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三、附则</w:t>
      </w:r>
    </w:p>
    <w:p w14:paraId="5BFA8AFB">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符合本办法或本区其他扶持政策规定的同一项目、同一事项（含上级部门要求区配套或承担资金的政策规定），按照就高不重复的原则给予支持，另有规定的除外。对已获得本区“一企一策”优惠政策扶持的不再享受本办法同类扶持措施支持，自愿放弃“一企一策”优惠政策扶持的除外。对于享受本办法扶持的单位及个人，如有采用虚假材料骗取奖励、资助的行为，区知识产权行政主管部门有权取消或收回扶持资金，取消申请人三年内申请本办法扶持资格。对于信用评价等级为D的市场主体，依照《广州市南沙区市场主体信用评价管理办法》等相关规定不予奖励。</w:t>
      </w:r>
    </w:p>
    <w:p w14:paraId="3616E0B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（二）区知识产权行政主管部门负责制定发布申报指南，明确申报条件、申领兑现程序、申报材料等相关事宜，并提请评审小组对知识产权项目的扶持资金进行最终审定。</w:t>
      </w:r>
    </w:p>
    <w:p w14:paraId="1D92CCF6">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本办法中“胜诉”是指法院生效判决认定申请人知识产权有受到不法侵害或认定申请人不存在侵犯知识产权的行为。本办法提到的货币单位如未注明的均以人民币计算，涉及“最高”“最长”“不超过”“以上”“不少于”“不低于”的数额均包含本数。</w:t>
      </w:r>
    </w:p>
    <w:p w14:paraId="78897DBF">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本办法第二条第（一）项鼓励知识产权高质量创造的第1点、第2点、第3点、第6点、第7点，以及第（八）项支持知识产权公共服务体系建设的第1点规定的相关扶持事项按办法扶持标准予以兑现，其他事项扶持补贴的比例和限额均为上限数额，具体政策扶持兑现视当年度财政预算情况相应调整。</w:t>
      </w:r>
    </w:p>
    <w:p w14:paraId="354BA944">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五）本办法自印发之日起施行，有效期至2028年10月12日。《广州南沙开发区管委会办公室广州市南沙区人民政府办公室关于印发广州南沙新区（自贸片区）促进知识产权高质量发展扶持办法的通知》（穗南开管办规〔2023〕10号）同时废止。</w:t>
      </w:r>
    </w:p>
    <w:p w14:paraId="5C7BA6B7">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本办法到期前，区知识产权主管部门按相关规定开展政策实施效果评估，并根据评估结果适时调整。本办法有效期内如遇法律、法规或有关政策调整变化的，从其规定。</w:t>
      </w:r>
    </w:p>
    <w:p w14:paraId="414701C2">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p>
    <w:p w14:paraId="1113108E">
      <w:pPr>
        <w:widowControl/>
        <w:shd w:val="clear" w:color="auto" w:fill="FFFFFF"/>
        <w:spacing w:line="480" w:lineRule="atLeast"/>
        <w:textAlignment w:val="baseline"/>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公开方式：</w:t>
      </w:r>
      <w:r>
        <w:rPr>
          <w:rFonts w:hint="eastAsia" w:ascii="Times New Roman" w:hAnsi="Times New Roman" w:eastAsia="方正仿宋简体" w:cs="宋体"/>
          <w:color w:val="000000"/>
          <w:kern w:val="0"/>
          <w:sz w:val="32"/>
          <w:szCs w:val="32"/>
          <w14:ligatures w14:val="none"/>
        </w:rPr>
        <w:t>主动公开</w:t>
      </w:r>
    </w:p>
    <w:p w14:paraId="076DB5B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p>
    <w:p w14:paraId="648423CC">
      <w:pPr>
        <w:shd w:val="clear" w:color="auto" w:fill="FFFFFF"/>
        <w:jc w:val="center"/>
        <w:textAlignment w:val="baseline"/>
        <w:outlineLvl w:val="0"/>
        <w:rPr>
          <w:rFonts w:ascii="Times New Roman" w:hAnsi="Times New Roman" w:eastAsia="方正仿宋简体" w:cs="Times New Roman"/>
          <w:b/>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14:ligatures w14:val="standardContextual"/>
        </w:rPr>
        <w:t>广州市南沙区人民政府办公室关于印发广州市南沙区促进科技成果转移转化实施办法的通知</w:t>
      </w:r>
      <w:r>
        <w:rPr>
          <w:rFonts w:hint="eastAsia" w:ascii="Times New Roman" w:hAnsi="Times New Roman" w:eastAsia="方正仿宋简体" w:cs="Times New Roman"/>
          <w:b/>
          <w:color w:val="000000"/>
          <w:kern w:val="44"/>
          <w:sz w:val="32"/>
          <w:szCs w:val="32"/>
          <w14:ligatures w14:val="none"/>
        </w:rPr>
        <w:br w:type="textWrapping"/>
      </w:r>
    </w:p>
    <w:p w14:paraId="5401EFE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各镇（街），区政府各部门、各直属机构：</w:t>
      </w:r>
    </w:p>
    <w:p w14:paraId="1976BED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《广州市南沙区促进科技成果转移转化实施办法》已经区政府同意，现印发给你们，请认真贯彻执行。执行过程中遇到的问题，请径向区科技局反映。</w:t>
      </w:r>
    </w:p>
    <w:p w14:paraId="4F670EC7">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广州市南沙区人民政府办公室</w:t>
      </w:r>
    </w:p>
    <w:p w14:paraId="11580163">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2025年1月13日   </w:t>
      </w:r>
    </w:p>
    <w:p w14:paraId="43652BAE">
      <w:pPr>
        <w:shd w:val="clear" w:color="auto" w:fill="FFFFFF"/>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clear="all"/>
      </w:r>
    </w:p>
    <w:p w14:paraId="6DDF06D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p>
    <w:p w14:paraId="7AF2BB22">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广州市南沙区促进科技成果转移转化实施办法</w:t>
      </w:r>
    </w:p>
    <w:p w14:paraId="2FE0C652">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第一章 总则</w:t>
      </w:r>
    </w:p>
    <w:p w14:paraId="29521F1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第一条</w:t>
      </w:r>
      <w:r>
        <w:rPr>
          <w:rFonts w:hint="eastAsia" w:ascii="Times New Roman" w:hAnsi="Times New Roman" w:eastAsia="方正仿宋简体" w:cs="Times New Roman"/>
          <w:color w:val="000000"/>
          <w:kern w:val="0"/>
          <w:sz w:val="32"/>
          <w:szCs w:val="32"/>
          <w14:ligatures w14:val="none"/>
        </w:rPr>
        <w:t>  为贯彻落实《广州南沙深化面向世界的粤港澳全面合作总体方案》《中共广东省委广东省人民政府关于深入实施创新驱动发展战略加快构建全过程创新链的意见》《广州市南沙区关于深入实施创新驱动发展战略培育高质量发展新动能的若干政策意见》，进一步促进科技成果高质量转移转化，支撑大湾区综合性国家科学中心主要承载区、粤港澳大湾区国际科技创新中心创新发展重点承载区建设，特制定本办法。</w:t>
      </w:r>
    </w:p>
    <w:p w14:paraId="636B1D4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第二条</w:t>
      </w:r>
      <w:r>
        <w:rPr>
          <w:rFonts w:hint="eastAsia" w:ascii="Times New Roman" w:hAnsi="Times New Roman" w:eastAsia="方正仿宋简体" w:cs="Times New Roman"/>
          <w:color w:val="000000"/>
          <w:kern w:val="0"/>
          <w:sz w:val="32"/>
          <w:szCs w:val="32"/>
          <w14:ligatures w14:val="none"/>
        </w:rPr>
        <w:t>  本办法适用于在本区实际从事经营或研发活动，具有健全的财务制度，并符合相关条件的企事业单位、机构等。</w:t>
      </w:r>
    </w:p>
    <w:p w14:paraId="48DC4468">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第二章 支持措施</w:t>
      </w:r>
    </w:p>
    <w:p w14:paraId="491A94E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w:t>
      </w:r>
      <w:r>
        <w:rPr>
          <w:rFonts w:hint="eastAsia" w:ascii="Times New Roman" w:hAnsi="Times New Roman" w:eastAsia="方正仿宋简体" w:cs="Times New Roman"/>
          <w:color w:val="000000"/>
          <w:kern w:val="0"/>
          <w:sz w:val="32"/>
          <w:szCs w:val="32"/>
          <w14:ligatures w14:val="none"/>
        </w:rPr>
        <w:t>  推动科研成果赋权改革</w:t>
      </w:r>
    </w:p>
    <w:p w14:paraId="6667D7D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高校、科研机构等单位健全科技成果转化制度，激励科研人员转化科技成果积极性，开展赋予科研人员职务科技成果所有权或长期使用权改革。对各类创新主体围绕科技创新重点领域和关键环节的体制机制改革，经国家、省、市科技行政主管部门评选为优秀案例的，每项给予20万元、10万元、5万元奖励。</w:t>
      </w:r>
    </w:p>
    <w:p w14:paraId="6E1D5A8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第四条</w:t>
      </w:r>
      <w:r>
        <w:rPr>
          <w:rFonts w:hint="eastAsia" w:ascii="Times New Roman" w:hAnsi="Times New Roman" w:eastAsia="方正仿宋简体" w:cs="Times New Roman"/>
          <w:color w:val="000000"/>
          <w:kern w:val="0"/>
          <w:sz w:val="32"/>
          <w:szCs w:val="32"/>
          <w14:ligatures w14:val="none"/>
        </w:rPr>
        <w:t>  支持高校、科研机构孵化科技企业</w:t>
      </w:r>
    </w:p>
    <w:p w14:paraId="14B5916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支持高校、科研机构围绕自身核心技术孵化科技企业，加快科技成果产业化进程，对新孵化企业年度营业收入首次达到500万元的，分别给予该高校（科研机构）及该孵化企业各15万元奖励。</w:t>
      </w:r>
    </w:p>
    <w:p w14:paraId="3D89699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w:t>
      </w:r>
      <w:r>
        <w:rPr>
          <w:rFonts w:hint="eastAsia" w:ascii="Times New Roman" w:hAnsi="Times New Roman" w:eastAsia="方正仿宋简体" w:cs="Times New Roman"/>
          <w:color w:val="000000"/>
          <w:kern w:val="0"/>
          <w:sz w:val="32"/>
          <w:szCs w:val="32"/>
          <w14:ligatures w14:val="none"/>
        </w:rPr>
        <w:t>  支持企业转化科技成果</w:t>
      </w:r>
    </w:p>
    <w:p w14:paraId="5753D76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企业承接境内外高校、科研机构科技成果在南沙实施转化，对签订技术交易额100万元及以上的技术转让、实施许可合同且已产业化的项目，按实际发生技术交易额的3%给予技术转让、实施许可合同购买方奖励，每家单位每年最高奖励200万元。</w:t>
      </w:r>
    </w:p>
    <w:p w14:paraId="2199100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第六条</w:t>
      </w:r>
      <w:r>
        <w:rPr>
          <w:rFonts w:hint="eastAsia" w:ascii="Times New Roman" w:hAnsi="Times New Roman" w:eastAsia="方正仿宋简体" w:cs="Times New Roman"/>
          <w:color w:val="000000"/>
          <w:kern w:val="0"/>
          <w:sz w:val="32"/>
          <w:szCs w:val="32"/>
          <w14:ligatures w14:val="none"/>
        </w:rPr>
        <w:t>  加大青年创新创业支持力度</w:t>
      </w:r>
    </w:p>
    <w:p w14:paraId="5B86AE0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实施南沙科学城“图南之志”青年创新创业计划，探索“补改投”形式支持青年在南沙创新创业，大力引进高校毕业生等青年创新人才，在创业启动资金、人才公寓等方面给予支持。形成“创业在南沙，发展在南沙”的科技创新创业生态和聚集效应。具体由本区科技行政主管部门组织实施。</w:t>
      </w:r>
    </w:p>
    <w:p w14:paraId="798BBF3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第七条</w:t>
      </w:r>
      <w:r>
        <w:rPr>
          <w:rFonts w:hint="eastAsia" w:ascii="Times New Roman" w:hAnsi="Times New Roman" w:eastAsia="方正仿宋简体" w:cs="Times New Roman"/>
          <w:color w:val="000000"/>
          <w:kern w:val="0"/>
          <w:sz w:val="32"/>
          <w:szCs w:val="32"/>
          <w14:ligatures w14:val="none"/>
        </w:rPr>
        <w:t>  搭建成果转化服务生态</w:t>
      </w:r>
    </w:p>
    <w:p w14:paraId="515049F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打通“概念验证—中试熟化—产品化—产业化”的科技成果转化过程，实现科技成果从“实验室”到“应用场”的跃迁，自概念验证中心、中小试基地（平台）获市级及以上部门认定次年起，按广州市支持标准给予1:1绩效评价后补助，同一依托单位每年补助金额不超过200万元。</w:t>
      </w:r>
    </w:p>
    <w:p w14:paraId="5A0B771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支持科研院所及技术转移机构市场化聘用技术经纪（理）人，获得聘用后在本区连续从事技术转移转化工作满1年，并促成本区企业技术交易的，按照聘用高级职称、中级职称、初级职称技术经纪（理）人分别给予10000元、5000元、2000元一次性奖励。</w:t>
      </w:r>
    </w:p>
    <w:p w14:paraId="218C72D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第八条</w:t>
      </w:r>
      <w:r>
        <w:rPr>
          <w:rFonts w:hint="eastAsia" w:ascii="Times New Roman" w:hAnsi="Times New Roman" w:eastAsia="方正仿宋简体" w:cs="Times New Roman"/>
          <w:color w:val="000000"/>
          <w:kern w:val="0"/>
          <w:sz w:val="32"/>
          <w:szCs w:val="32"/>
          <w14:ligatures w14:val="none"/>
        </w:rPr>
        <w:t>  加大科技金融支持力度</w:t>
      </w:r>
    </w:p>
    <w:p w14:paraId="43AE256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发挥广州南沙新区科技创新母基金杠杆放大财政资金的作用，引导社会资金投向科技创新类项目，促进科技成果转化，培育战略性新兴产业。科技创新母基金对合作子基金最高出资金额1亿元，针对天使类子基金的出资比例最高50%。</w:t>
      </w:r>
    </w:p>
    <w:p w14:paraId="03D4FD8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（二）充分用好广州市南沙区科技型中小企业信贷风险损失补偿资金池，引导合作金融机构加大对本区科技型中小企业贷款的支持，对银行为科技型中小企业提供贷款所产生的本金损失给予25%的补偿。</w:t>
      </w:r>
    </w:p>
    <w:p w14:paraId="6874447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对向本区科技企业开展创业投资业务的投资机构，按照其实际投资金额的5%给予奖励；对向本区科技企业开展天使投资业务的投资机构，按照其在企业首两轮融资中的实际投资额的10%给予奖励。单个投资项目每年奖励金额最高100万元，单个股权投资机构每年奖励金额最高200万元。</w:t>
      </w:r>
    </w:p>
    <w:p w14:paraId="1DAB4476">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第三章 附则</w:t>
      </w:r>
    </w:p>
    <w:p w14:paraId="38AC779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第九条</w:t>
      </w:r>
      <w:r>
        <w:rPr>
          <w:rFonts w:hint="eastAsia" w:ascii="Times New Roman" w:hAnsi="Times New Roman" w:eastAsia="方正仿宋简体" w:cs="Times New Roman"/>
          <w:color w:val="000000"/>
          <w:kern w:val="0"/>
          <w:sz w:val="32"/>
          <w:szCs w:val="32"/>
          <w14:ligatures w14:val="none"/>
        </w:rPr>
        <w:t>  获得本办法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已获得本区其他优惠政策扶持的不再享受本办法同类扶持措施支持，另有规定的除外。对于信用评价等级为D的市场主体，依照《广州市南沙区市场主体信用评价管理办法》等相关规定不予奖励。获得奖补的涉税支出由申报主体承担。</w:t>
      </w:r>
    </w:p>
    <w:p w14:paraId="6C256AD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第十条</w:t>
      </w:r>
      <w:r>
        <w:rPr>
          <w:rFonts w:hint="eastAsia" w:ascii="Times New Roman" w:hAnsi="Times New Roman" w:eastAsia="方正仿宋简体" w:cs="Times New Roman"/>
          <w:color w:val="000000"/>
          <w:kern w:val="0"/>
          <w:sz w:val="32"/>
          <w:szCs w:val="32"/>
          <w14:ligatures w14:val="none"/>
        </w:rPr>
        <w:t>  本办法提到的货币单位，均以人民币计算。涉及“达到”、“以上”、“最高”、“不超过”的数额均含本数。本实施办法部分扶持奖励补贴的比例和限额为上限数额，具体政策扶持兑现视拨付年度财政预算情况相应调整。</w:t>
      </w:r>
    </w:p>
    <w:p w14:paraId="49904D9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第十一条</w:t>
      </w:r>
      <w:r>
        <w:rPr>
          <w:rFonts w:hint="eastAsia" w:ascii="Times New Roman" w:hAnsi="Times New Roman" w:eastAsia="方正仿宋简体" w:cs="Times New Roman"/>
          <w:color w:val="000000"/>
          <w:kern w:val="0"/>
          <w:sz w:val="32"/>
          <w:szCs w:val="32"/>
          <w14:ligatures w14:val="none"/>
        </w:rPr>
        <w:t>  本办法各项奖励条款的申报指南由本区各相关行政主管部门另行发布。本办法的申领兑现程序、需要提交的具体申报材料及其他要求，以发布的申报指南要求为准。</w:t>
      </w:r>
    </w:p>
    <w:p w14:paraId="6FD3AC8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第十二条</w:t>
      </w:r>
      <w:r>
        <w:rPr>
          <w:rFonts w:hint="eastAsia" w:ascii="Times New Roman" w:hAnsi="Times New Roman" w:eastAsia="方正仿宋简体" w:cs="Times New Roman"/>
          <w:color w:val="000000"/>
          <w:kern w:val="0"/>
          <w:sz w:val="32"/>
          <w:szCs w:val="32"/>
          <w14:ligatures w14:val="none"/>
        </w:rPr>
        <w:t>  本办法自印发之日起施行，有效期3年。因本办法所涉扶持资金属于事后奖补，自办法印发实施当年起，每年对上一年度符合条件的事项依照办法规定进行扶持。本办法有效期内如遇法律、法规或有关政策调整变化的，从其规定。本办法到期前，本区科技行政主管部门按上级相关规定开展政策实施阶段性评估，并根据评估结果按程序适时调整。</w:t>
      </w:r>
    </w:p>
    <w:p w14:paraId="7DF63E9C">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66E31327">
      <w:pPr>
        <w:shd w:val="clear" w:color="auto" w:fill="FFFFFF"/>
        <w:spacing w:line="420" w:lineRule="atLeast"/>
        <w:jc w:val="left"/>
        <w:textAlignment w:val="baseline"/>
        <w:rPr>
          <w:rFonts w:hint="eastAsia"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3EDFF4B3">
      <w:pPr>
        <w:shd w:val="clear" w:color="auto" w:fill="FFFFFF"/>
        <w:spacing w:line="420" w:lineRule="atLeast"/>
        <w:jc w:val="left"/>
        <w:textAlignment w:val="baseline"/>
        <w:rPr>
          <w:rFonts w:hint="eastAsia" w:ascii="Times New Roman" w:hAnsi="Times New Roman" w:eastAsia="方正仿宋简体" w:cs="Times New Roman"/>
          <w:color w:val="000000"/>
          <w:kern w:val="0"/>
          <w:sz w:val="32"/>
          <w:szCs w:val="32"/>
          <w14:ligatures w14:val="none"/>
        </w:rPr>
      </w:pPr>
    </w:p>
    <w:p w14:paraId="1436745C">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广州市南沙区人民政府办公室关于印发广州市南沙区支持源头创新实施办法的通知</w:t>
      </w:r>
    </w:p>
    <w:p w14:paraId="623D0DF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5000CAC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各镇（街），区政府各部门、各直属机构：</w:t>
      </w:r>
    </w:p>
    <w:p w14:paraId="073F96D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《广州市南沙区支持源头创新实施办法》已经区政府同意，现印发给你们，请认真贯彻执行。执行过程中遇到的问题，请径向区科技局反映。</w:t>
      </w:r>
    </w:p>
    <w:p w14:paraId="5E7E194F">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广州市南沙区人民政府办公室</w:t>
      </w:r>
    </w:p>
    <w:p w14:paraId="3CA45C0D">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2025年1月13日  </w:t>
      </w:r>
    </w:p>
    <w:p w14:paraId="5F12C107">
      <w:pPr>
        <w:shd w:val="clear" w:color="auto" w:fill="FFFFFF"/>
        <w:jc w:val="center"/>
        <w:textAlignment w:val="baseline"/>
        <w:rPr>
          <w:rFonts w:ascii="Times New Roman" w:hAnsi="Times New Roman" w:eastAsia="方正仿宋简体" w:cs="Times New Roman"/>
          <w:color w:val="000000"/>
          <w:kern w:val="0"/>
          <w:sz w:val="32"/>
          <w:szCs w:val="32"/>
          <w14:ligatures w14:val="none"/>
        </w:rPr>
      </w:pPr>
    </w:p>
    <w:p w14:paraId="59EC9A71">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广州市南沙区支持源头创新实施办法</w:t>
      </w:r>
    </w:p>
    <w:p w14:paraId="21CC1D6D">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第一章 总则</w:t>
      </w:r>
    </w:p>
    <w:p w14:paraId="22B5CD9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第一条</w:t>
      </w:r>
      <w:r>
        <w:rPr>
          <w:rFonts w:hint="eastAsia" w:ascii="Times New Roman" w:hAnsi="Times New Roman" w:eastAsia="方正仿宋简体" w:cs="Times New Roman"/>
          <w:color w:val="000000"/>
          <w:kern w:val="0"/>
          <w:sz w:val="32"/>
          <w:szCs w:val="32"/>
          <w14:ligatures w14:val="none"/>
        </w:rPr>
        <w:t>  为贯彻落实《广州南沙深化面向世界的粤港澳全面合作总体方案》《中共广东省委广东省人民政府关于深入实施创新驱动发展战略加快构建全过程创新链的意见》《广州市南沙区关于深入实施创新驱动发展战略培育高质量发展新动能的若干政策意见》，加强本区源头创新，实现前瞻性、引领性、颠覆性成果取得重大突破，支撑大湾区综合性国家科学中心主要承载区、粤港澳大湾区国际科技创新中心创新发展重点承载区建设，特制定本办法。</w:t>
      </w:r>
    </w:p>
    <w:p w14:paraId="247D7CA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第二条</w:t>
      </w:r>
      <w:r>
        <w:rPr>
          <w:rFonts w:hint="eastAsia" w:ascii="Times New Roman" w:hAnsi="Times New Roman" w:eastAsia="方正仿宋简体" w:cs="Times New Roman"/>
          <w:color w:val="000000"/>
          <w:kern w:val="0"/>
          <w:sz w:val="32"/>
          <w:szCs w:val="32"/>
          <w14:ligatures w14:val="none"/>
        </w:rPr>
        <w:t>  本办法适用于在本区实际从事经营或研发活动，具有健全的财务制度，并符合相关条件的企事业单位、机构等。</w:t>
      </w:r>
    </w:p>
    <w:p w14:paraId="7801E89B">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第二章 支持措施</w:t>
      </w:r>
    </w:p>
    <w:p w14:paraId="2E3C696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w:t>
      </w:r>
      <w:r>
        <w:rPr>
          <w:rFonts w:hint="eastAsia" w:ascii="Times New Roman" w:hAnsi="Times New Roman" w:eastAsia="方正仿宋简体" w:cs="Times New Roman"/>
          <w:color w:val="000000"/>
          <w:kern w:val="0"/>
          <w:sz w:val="32"/>
          <w:szCs w:val="32"/>
          <w14:ligatures w14:val="none"/>
        </w:rPr>
        <w:t>  支持重大科技基础设施建设</w:t>
      </w:r>
    </w:p>
    <w:p w14:paraId="07D1460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围绕南沙重点产业发展需求，适时布局建设一批应用支撑型重大科技基础设施，对经立项的重大科技基础设施项目，按广州市支持标准给予1:1配套资金支持。</w:t>
      </w:r>
    </w:p>
    <w:p w14:paraId="49EF211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第四条</w:t>
      </w:r>
      <w:r>
        <w:rPr>
          <w:rFonts w:hint="eastAsia" w:ascii="Times New Roman" w:hAnsi="Times New Roman" w:eastAsia="方正仿宋简体" w:cs="Times New Roman"/>
          <w:color w:val="000000"/>
          <w:kern w:val="0"/>
          <w:sz w:val="32"/>
          <w:szCs w:val="32"/>
          <w14:ligatures w14:val="none"/>
        </w:rPr>
        <w:t>  支持承担国际大科学计划</w:t>
      </w:r>
    </w:p>
    <w:p w14:paraId="6B76C74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鼓励各类创新主体积极发起或参与国际大科学计划和大科学工程，开展高水平科学研究和技术开发，经评审符合要求的，按所获立项实际分配金额的1:1给予最高2000万元配套支持。</w:t>
      </w:r>
    </w:p>
    <w:p w14:paraId="5B4BEFA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w:t>
      </w:r>
      <w:r>
        <w:rPr>
          <w:rFonts w:hint="eastAsia" w:ascii="Times New Roman" w:hAnsi="Times New Roman" w:eastAsia="方正仿宋简体" w:cs="Times New Roman"/>
          <w:color w:val="000000"/>
          <w:kern w:val="0"/>
          <w:sz w:val="32"/>
          <w:szCs w:val="32"/>
          <w14:ligatures w14:val="none"/>
        </w:rPr>
        <w:t>  省区联动支持基础与应用基础研究</w:t>
      </w:r>
    </w:p>
    <w:p w14:paraId="50F00DC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联合广东省科学技术厅、广东省基础与应用基础研究基金委员会共同设立“广东省基础与应用基础研究基金南沙联合基金”，每年安排不少于2000万元支持基础与应用基础研究。具体委托广东省基础与应用基础研究基金委员会组织实施。</w:t>
      </w:r>
    </w:p>
    <w:p w14:paraId="2BAB2E2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第六条</w:t>
      </w:r>
      <w:r>
        <w:rPr>
          <w:rFonts w:hint="eastAsia" w:ascii="Times New Roman" w:hAnsi="Times New Roman" w:eastAsia="方正仿宋简体" w:cs="Times New Roman"/>
          <w:color w:val="000000"/>
          <w:kern w:val="0"/>
          <w:sz w:val="32"/>
          <w:szCs w:val="32"/>
          <w14:ligatures w14:val="none"/>
        </w:rPr>
        <w:t>  支持开展基础与应用基础研究项目</w:t>
      </w:r>
    </w:p>
    <w:p w14:paraId="21AEC17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各类创新主体承担国家自然科学基金项目、广东省自然科学基金项目，对取得新理论、新发现、新技术等重大成果并形成转化应用实效的，按照所获立项单位资助金额的10%，在项目验收通过后给予最高300万元奖励。</w:t>
      </w:r>
    </w:p>
    <w:p w14:paraId="245FA3FC">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第三章 附则</w:t>
      </w:r>
    </w:p>
    <w:p w14:paraId="7C6E5F6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第七条</w:t>
      </w:r>
      <w:r>
        <w:rPr>
          <w:rFonts w:hint="eastAsia" w:ascii="Times New Roman" w:hAnsi="Times New Roman" w:eastAsia="方正仿宋简体" w:cs="Times New Roman"/>
          <w:color w:val="000000"/>
          <w:kern w:val="0"/>
          <w:sz w:val="32"/>
          <w:szCs w:val="32"/>
          <w14:ligatures w14:val="none"/>
        </w:rPr>
        <w:t>  获得本办法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已获得本区其他优惠政策扶持的不再享受本办法同类扶持措施支持，另有规定的除外。对于信用评价等级为D的市场主体，依照《广州市南沙区市场主体信用评价管理办法》等相关规定不予奖励。获得奖补的涉税支出由申报主体承担。</w:t>
      </w:r>
    </w:p>
    <w:p w14:paraId="0C6C9E1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第八条</w:t>
      </w:r>
      <w:r>
        <w:rPr>
          <w:rFonts w:hint="eastAsia" w:ascii="Times New Roman" w:hAnsi="Times New Roman" w:eastAsia="方正仿宋简体" w:cs="Times New Roman"/>
          <w:color w:val="000000"/>
          <w:kern w:val="0"/>
          <w:sz w:val="32"/>
          <w:szCs w:val="32"/>
          <w14:ligatures w14:val="none"/>
        </w:rPr>
        <w:t>  本办法提到的货币单位，均以人民币计算。涉及“最高”、“不少于”的数额均含本数。本实施办法部分扶持奖励补贴的比例和限额为上限数额，具体政策扶持兑现视拨付年度财政预算情况相应调整。</w:t>
      </w:r>
    </w:p>
    <w:p w14:paraId="04D6608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第九条</w:t>
      </w:r>
      <w:r>
        <w:rPr>
          <w:rFonts w:hint="eastAsia" w:ascii="Times New Roman" w:hAnsi="Times New Roman" w:eastAsia="方正仿宋简体" w:cs="Times New Roman"/>
          <w:color w:val="000000"/>
          <w:kern w:val="0"/>
          <w:sz w:val="32"/>
          <w:szCs w:val="32"/>
          <w14:ligatures w14:val="none"/>
        </w:rPr>
        <w:t>  本办法各项奖励条款的申报指南由本区各相关行政主管部门另行发布。本办法的申领兑现程序、需要提交的具体申报材料及其他要求，以发布的申报指南要求为准。</w:t>
      </w:r>
    </w:p>
    <w:p w14:paraId="443C34A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第十条</w:t>
      </w:r>
      <w:r>
        <w:rPr>
          <w:rFonts w:hint="eastAsia" w:ascii="Times New Roman" w:hAnsi="Times New Roman" w:eastAsia="方正仿宋简体" w:cs="Times New Roman"/>
          <w:color w:val="000000"/>
          <w:kern w:val="0"/>
          <w:sz w:val="32"/>
          <w:szCs w:val="32"/>
          <w14:ligatures w14:val="none"/>
        </w:rPr>
        <w:t>  本办法自印发之日起施行，有效期3年。因本办法所涉扶持资金属于事后奖补，自办法印发实施当年起，每年对上一年度符合条件的事项依照办法规定进行扶持。本办法有效期内如遇法律、法规或有关政策调整变化的，从其规定。本办法到期前，本区科技行政主管部门按上级相关规定开展政策实施阶段性评估，并根据评估结果按程序适时调整。</w:t>
      </w:r>
    </w:p>
    <w:p w14:paraId="43E306E8">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4ABF53A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4ABDA3B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p>
    <w:p w14:paraId="70677871">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广州市南沙区人民政府办公室关于印发广州市南沙区鼓励技术创新实施办法的通知</w:t>
      </w:r>
    </w:p>
    <w:p w14:paraId="05053F5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13885F1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各镇（街），区政府各部门、各直属机构：</w:t>
      </w:r>
    </w:p>
    <w:p w14:paraId="78580CE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《广州市南沙区鼓励技术创新实施办法》已经区政府同意，现印发给你们，请认真贯彻执行。执行过程中遇到的问题，请径向区科技局反映。</w:t>
      </w:r>
    </w:p>
    <w:p w14:paraId="129FE3C0">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广州市南沙区人民政府办公室</w:t>
      </w:r>
    </w:p>
    <w:p w14:paraId="218D0DFE">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2025年1月13日   </w:t>
      </w:r>
    </w:p>
    <w:p w14:paraId="4EA4DCE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p>
    <w:p w14:paraId="43F992AF">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广州市南沙区鼓励技术创新实施办法</w:t>
      </w:r>
    </w:p>
    <w:p w14:paraId="1B8C95E6">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第一章 总则</w:t>
      </w:r>
    </w:p>
    <w:p w14:paraId="22A9E08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第一条</w:t>
      </w:r>
      <w:r>
        <w:rPr>
          <w:rFonts w:hint="eastAsia" w:ascii="Times New Roman" w:hAnsi="Times New Roman" w:eastAsia="方正仿宋简体" w:cs="Times New Roman"/>
          <w:color w:val="000000"/>
          <w:kern w:val="0"/>
          <w:sz w:val="32"/>
          <w:szCs w:val="32"/>
          <w14:ligatures w14:val="none"/>
        </w:rPr>
        <w:t>  为贯彻落实《广州南沙深化面向世界的粤港澳全面合作总体方案》《中共广东省委广东省人民政府关于深入实施创新驱动发展战略加快构建全过程创新链的意见》《广州市南沙区关于深入实施创新驱动发展战略培育高质量发展新动能的若干政策意见》，强化企业科技创新主体地位，着力提升区域技术创新能级，支撑大湾区综合性国家科学中心主要承载区、粤港澳大湾区国际科技创新中心创新发展重点承载区建设，特制定本办法。</w:t>
      </w:r>
    </w:p>
    <w:p w14:paraId="0145B8F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第二条</w:t>
      </w:r>
      <w:r>
        <w:rPr>
          <w:rFonts w:hint="eastAsia" w:ascii="Times New Roman" w:hAnsi="Times New Roman" w:eastAsia="方正仿宋简体" w:cs="Times New Roman"/>
          <w:color w:val="000000"/>
          <w:kern w:val="0"/>
          <w:sz w:val="32"/>
          <w:szCs w:val="32"/>
          <w14:ligatures w14:val="none"/>
        </w:rPr>
        <w:t>  本办法适用于在本区实际从事经营或研发活动，具有健全的财务制度，并符合相关条件的企事业单位、机构等。</w:t>
      </w:r>
    </w:p>
    <w:p w14:paraId="4D09F229">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第二章 支持措施</w:t>
      </w:r>
    </w:p>
    <w:p w14:paraId="23485F1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w:t>
      </w:r>
      <w:r>
        <w:rPr>
          <w:rFonts w:hint="eastAsia" w:ascii="Times New Roman" w:hAnsi="Times New Roman" w:eastAsia="方正仿宋简体" w:cs="Times New Roman"/>
          <w:color w:val="000000"/>
          <w:kern w:val="0"/>
          <w:sz w:val="32"/>
          <w:szCs w:val="32"/>
          <w14:ligatures w14:val="none"/>
        </w:rPr>
        <w:t>  支持企业加大研发投入</w:t>
      </w:r>
    </w:p>
    <w:p w14:paraId="5AD9298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每年安排最高1亿元研发费用补助资金支持国家高新技术企业、规模以上企业加大研发投入，对当年研发费用支出额不低于100万元，研发费用支出额占比不低于3%，且相比上一年度研发费用支出额同比增长的企业，按企业年度研发费用支出额的5%给予最高300万元的资金奖励。</w:t>
      </w:r>
    </w:p>
    <w:p w14:paraId="4897010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第四条</w:t>
      </w:r>
      <w:r>
        <w:rPr>
          <w:rFonts w:hint="eastAsia" w:ascii="Times New Roman" w:hAnsi="Times New Roman" w:eastAsia="方正仿宋简体" w:cs="Times New Roman"/>
          <w:color w:val="000000"/>
          <w:kern w:val="0"/>
          <w:sz w:val="32"/>
          <w:szCs w:val="32"/>
          <w14:ligatures w14:val="none"/>
        </w:rPr>
        <w:t>  支持建设研发平台</w:t>
      </w:r>
    </w:p>
    <w:p w14:paraId="41DA91D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新认定的国家级和省级重点实验室、技术创新中心、产业创新中心、制造业创新中心、工程（技术）研究中心、企业技术中心等研发平台，分别给予300万元、50万元一次性资金奖励。对规模以上工业企业经评审认定的区级工程技术研究中心，给予20万元一次性奖励。逐级获得认定的，奖励差额部分。</w:t>
      </w:r>
    </w:p>
    <w:p w14:paraId="0340E1A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w:t>
      </w:r>
      <w:r>
        <w:rPr>
          <w:rFonts w:hint="eastAsia" w:ascii="Times New Roman" w:hAnsi="Times New Roman" w:eastAsia="方正仿宋简体" w:cs="Times New Roman"/>
          <w:color w:val="000000"/>
          <w:kern w:val="0"/>
          <w:sz w:val="32"/>
          <w:szCs w:val="32"/>
          <w14:ligatures w14:val="none"/>
        </w:rPr>
        <w:t>  支持承担上级科技项目</w:t>
      </w:r>
    </w:p>
    <w:p w14:paraId="78F06E5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各类创新主体承担国家、省科技计划项目，按照所获立项资助金额的10%，在项目验收通过后给予相应奖励：对牵头承担国家、省科技计划项目的单位给予最高300万元奖励；对国家科技计划项目子课题第一承担单位给予最高100万元奖励。</w:t>
      </w:r>
    </w:p>
    <w:p w14:paraId="62DE10A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　第六条</w:t>
      </w:r>
      <w:r>
        <w:rPr>
          <w:rFonts w:hint="eastAsia" w:ascii="Times New Roman" w:hAnsi="Times New Roman" w:eastAsia="方正仿宋简体" w:cs="Times New Roman"/>
          <w:color w:val="000000"/>
          <w:kern w:val="0"/>
          <w:sz w:val="32"/>
          <w:szCs w:val="32"/>
          <w14:ligatures w14:val="none"/>
        </w:rPr>
        <w:t>  支持企业组建创新联合体</w:t>
      </w:r>
    </w:p>
    <w:p w14:paraId="486B760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支持企业联合境内外高校、科研机构组建创新联合体，开展关键共性技术攻关，根据项目投入和运营成效，分阶段给予不超过联合研发总投入15%、最高300万元的经费支持。</w:t>
      </w:r>
    </w:p>
    <w:p w14:paraId="713D9FD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第七条</w:t>
      </w:r>
      <w:r>
        <w:rPr>
          <w:rFonts w:hint="eastAsia" w:ascii="Times New Roman" w:hAnsi="Times New Roman" w:eastAsia="方正仿宋简体" w:cs="Times New Roman"/>
          <w:color w:val="000000"/>
          <w:kern w:val="0"/>
          <w:sz w:val="32"/>
          <w:szCs w:val="32"/>
          <w14:ligatures w14:val="none"/>
        </w:rPr>
        <w:t>  支持重点产业科技创新</w:t>
      </w:r>
    </w:p>
    <w:p w14:paraId="4CEFD1E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实施“五个十”行动计划，即突破10项前沿技术、制定10个标准规范、打造10个应用场景、培育10家示范企业、建强10个科创园区，构建“技术策源—应用牵引—企业孵化—产业集聚”全生命周期培育体系。具体由本区科技行政主管部门组织实施。</w:t>
      </w:r>
    </w:p>
    <w:p w14:paraId="130BF963">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第三章 附则</w:t>
      </w:r>
    </w:p>
    <w:p w14:paraId="1E13845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第八条</w:t>
      </w:r>
      <w:r>
        <w:rPr>
          <w:rFonts w:hint="eastAsia" w:ascii="Times New Roman" w:hAnsi="Times New Roman" w:eastAsia="方正仿宋简体" w:cs="Times New Roman"/>
          <w:color w:val="000000"/>
          <w:kern w:val="0"/>
          <w:sz w:val="32"/>
          <w:szCs w:val="32"/>
          <w14:ligatures w14:val="none"/>
        </w:rPr>
        <w:t>  获得本办法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已获得本区其他优惠政策扶持的不再享受本办法同类扶持措施支持，另有规定的除外。对于信用评价等级为D的市场主体，依照《广州市南沙区市场主体信用评价管理办法》等相关规定不予奖励。获得奖补的涉税支出由申报主体承担。</w:t>
      </w:r>
    </w:p>
    <w:p w14:paraId="5D1FD2D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第九条</w:t>
      </w:r>
      <w:r>
        <w:rPr>
          <w:rFonts w:hint="eastAsia" w:ascii="Times New Roman" w:hAnsi="Times New Roman" w:eastAsia="方正仿宋简体" w:cs="Times New Roman"/>
          <w:color w:val="000000"/>
          <w:kern w:val="0"/>
          <w:sz w:val="32"/>
          <w:szCs w:val="32"/>
          <w14:ligatures w14:val="none"/>
        </w:rPr>
        <w:t>  本办法提到的货币单位，均以人民币计算。涉及“不低于”、“最高”、“不超过”的数额均含本数。本实施办法部分扶持奖励补贴的比例和限额为上限数额，具体政策扶持兑现视拨付年度财政预算情况相应调整。本办法提到的“新认定”是指首次认定，“当年”是指奖励年度。</w:t>
      </w:r>
    </w:p>
    <w:p w14:paraId="50D2430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第十条</w:t>
      </w:r>
      <w:r>
        <w:rPr>
          <w:rFonts w:hint="eastAsia" w:ascii="Times New Roman" w:hAnsi="Times New Roman" w:eastAsia="方正仿宋简体" w:cs="Times New Roman"/>
          <w:color w:val="000000"/>
          <w:kern w:val="0"/>
          <w:sz w:val="32"/>
          <w:szCs w:val="32"/>
          <w14:ligatures w14:val="none"/>
        </w:rPr>
        <w:t>  本办法各项奖励条款的申报指南由本区各相关行政主管部门另行发布。本办法的申领兑现程序、需要提交的具体申报材料及其他要求，以发布的申报指南要求为准。</w:t>
      </w:r>
    </w:p>
    <w:p w14:paraId="116813D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第十一条</w:t>
      </w:r>
      <w:r>
        <w:rPr>
          <w:rFonts w:hint="eastAsia" w:ascii="Times New Roman" w:hAnsi="Times New Roman" w:eastAsia="方正仿宋简体" w:cs="Times New Roman"/>
          <w:color w:val="000000"/>
          <w:kern w:val="0"/>
          <w:sz w:val="32"/>
          <w:szCs w:val="32"/>
          <w14:ligatures w14:val="none"/>
        </w:rPr>
        <w:t>  本办法自印发之日起施行，有效期3年。因本办法所涉扶持资金属于事后奖补，自办法印发实施当年起，每年对上一年度符合条件的事项依照办法规定进行扶持。本办法有效期内如遇法律、法规或有关政策调整变化的，从其规定。本办法到期前，本区科技行政主管部门按上级相关规定开展政策实施阶段性评估，并根据评估结果按程序适时调整。</w:t>
      </w:r>
    </w:p>
    <w:p w14:paraId="123436CD">
      <w:pPr>
        <w:shd w:val="clear" w:color="auto" w:fill="FFFFFF"/>
        <w:jc w:val="left"/>
        <w:textAlignment w:val="baseline"/>
        <w:rPr>
          <w:rFonts w:ascii="Times New Roman" w:hAnsi="Times New Roman" w:eastAsia="方正仿宋简体" w:cs="Times New Roman"/>
          <w:color w:val="000000"/>
          <w:kern w:val="0"/>
          <w:sz w:val="32"/>
          <w:szCs w:val="32"/>
          <w14:ligatures w14:val="none"/>
        </w:rPr>
      </w:pPr>
    </w:p>
    <w:p w14:paraId="1CB0B88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284D960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p>
    <w:p w14:paraId="471BA280">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14:ligatures w14:val="standardContextual"/>
        </w:rPr>
        <w:t>广州市南沙区人民政府办公室关于印发广州市南沙区培育科技企业实施办法的通知</w:t>
      </w:r>
    </w:p>
    <w:p w14:paraId="1E8DC192">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463FCE8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各镇（街），区政府各部门、各直属机构：</w:t>
      </w:r>
    </w:p>
    <w:p w14:paraId="301D714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《广州市南沙区培育科技企业实施办法》已经区政府同意，现印发给你们，请认真贯彻执行。执行过程中遇到的问题，请径向区科技局反映。</w:t>
      </w:r>
    </w:p>
    <w:p w14:paraId="79782471">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广州市南沙区人民政府办公室</w:t>
      </w:r>
    </w:p>
    <w:p w14:paraId="1D37812B">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2025年1月13日  </w:t>
      </w:r>
    </w:p>
    <w:p w14:paraId="098E2F6C">
      <w:pPr>
        <w:shd w:val="clear" w:color="auto" w:fill="FFFFFF"/>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clear="all"/>
      </w:r>
    </w:p>
    <w:p w14:paraId="5E15331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p>
    <w:p w14:paraId="49C7EB04">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广州市南沙区培育科技企业实施办法</w:t>
      </w:r>
    </w:p>
    <w:p w14:paraId="6A8B189F">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第一章 总则</w:t>
      </w:r>
    </w:p>
    <w:p w14:paraId="3D021939">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第一条</w:t>
      </w:r>
      <w:r>
        <w:rPr>
          <w:rFonts w:hint="eastAsia" w:ascii="Times New Roman" w:hAnsi="Times New Roman" w:eastAsia="方正仿宋简体" w:cs="Times New Roman"/>
          <w:color w:val="000000"/>
          <w:kern w:val="0"/>
          <w:sz w:val="32"/>
          <w:szCs w:val="32"/>
          <w14:ligatures w14:val="none"/>
        </w:rPr>
        <w:t>  为贯彻落实《广州南沙深化面向世界的粤港澳全面合作总体方案》《中共广东省委 广东省人民政府关于深入实施创新驱动发展战略加快构建全过程创新链的意见》《广州市南沙区关于深入实施创新驱动发展战略 培育高质量发展新动能的若干政策意见》，完善科技企业培育体系，推动本区企业树标提质，支撑大湾区综合性国家科学中心主要承载区、粤港澳大湾区国际科技创新中心创新发展重点承载区建设，特制定本办法。</w:t>
      </w:r>
    </w:p>
    <w:p w14:paraId="698D9E5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第二条</w:t>
      </w:r>
      <w:r>
        <w:rPr>
          <w:rFonts w:hint="eastAsia" w:ascii="Times New Roman" w:hAnsi="Times New Roman" w:eastAsia="方正仿宋简体" w:cs="Times New Roman"/>
          <w:color w:val="000000"/>
          <w:kern w:val="0"/>
          <w:sz w:val="32"/>
          <w:szCs w:val="32"/>
          <w14:ligatures w14:val="none"/>
        </w:rPr>
        <w:t>  本办法适用于在本区实际从事经营或研发活动，具有健全的财务制度，并符合相关条件的企事业单位、机构等。</w:t>
      </w:r>
    </w:p>
    <w:p w14:paraId="4625DB86">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第二章 支持措施</w:t>
      </w:r>
    </w:p>
    <w:p w14:paraId="7D1EE5C8">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w:t>
      </w:r>
      <w:r>
        <w:rPr>
          <w:rFonts w:hint="eastAsia" w:ascii="Times New Roman" w:hAnsi="Times New Roman" w:eastAsia="方正仿宋简体" w:cs="Times New Roman"/>
          <w:color w:val="000000"/>
          <w:kern w:val="0"/>
          <w:sz w:val="32"/>
          <w:szCs w:val="32"/>
          <w14:ligatures w14:val="none"/>
        </w:rPr>
        <w:t>  科技企业孵化载体奖励</w:t>
      </w:r>
    </w:p>
    <w:p w14:paraId="7A03CA6B">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科技企业孵化载体认定奖励。对新认定的国家级、省级、市级孵化器分别给予一次性200万元、100万元、50万元奖励；对新认定的国家级、省级大学科技园分别给予200万元、100万元的一次性资金奖励。逐级获得认定的，扶持差额部分。</w:t>
      </w:r>
    </w:p>
    <w:p w14:paraId="40CD933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优秀科技企业孵化器评选奖励。对国家级、省级孵化器年度评价评为A级的单位，分别给予30万元、20万元的一次性奖励，对广州市科技企业孵化载体“以赛促评”大赛中获一等奖的孵化器给予10万元的一次性奖励。</w:t>
      </w:r>
    </w:p>
    <w:p w14:paraId="7C7870E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第四条</w:t>
      </w:r>
      <w:r>
        <w:rPr>
          <w:rFonts w:hint="eastAsia" w:ascii="Times New Roman" w:hAnsi="Times New Roman" w:eastAsia="方正仿宋简体" w:cs="Times New Roman"/>
          <w:color w:val="000000"/>
          <w:kern w:val="0"/>
          <w:sz w:val="32"/>
          <w:szCs w:val="32"/>
          <w14:ligatures w14:val="none"/>
        </w:rPr>
        <w:t>  孵化载体培育高新技术企业奖励</w:t>
      </w:r>
    </w:p>
    <w:p w14:paraId="3F72946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（一）科技企业孵化器培育高新技术企业奖励。对于科技企业孵化器培育的企业，当年首次被认定为高新技术企业的，每认定1家，给予科技企业孵化器运营单位5万元资金奖励。</w:t>
      </w:r>
    </w:p>
    <w:p w14:paraId="2D64074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科技企业孵化器高新技术企业增量达标奖励。对于科技企业孵化器当年高新技术企业增量达到5、10、15家，增量应为由科技企业孵化器培育的当年新认定或新迁入的高新技术企业，分别奖励10万元、20万元、30万元。</w:t>
      </w:r>
    </w:p>
    <w:p w14:paraId="39AC6655">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w:t>
      </w:r>
      <w:r>
        <w:rPr>
          <w:rFonts w:hint="eastAsia" w:ascii="Times New Roman" w:hAnsi="Times New Roman" w:eastAsia="方正仿宋简体" w:cs="Times New Roman"/>
          <w:color w:val="000000"/>
          <w:kern w:val="0"/>
          <w:sz w:val="32"/>
          <w:szCs w:val="32"/>
          <w14:ligatures w14:val="none"/>
        </w:rPr>
        <w:t>  科技企业场租补贴</w:t>
      </w:r>
    </w:p>
    <w:p w14:paraId="67F3F95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支持初创型科技企业进入科技企业孵化器发展，按照实际租用面积给予企业不超过3年的场租补贴，补贴标准为每平方米每月最高10元，企业实际支付场租低于补贴标准的，按照实际支付场租进行补贴，补贴面积不超过500平方米。</w:t>
      </w:r>
    </w:p>
    <w:p w14:paraId="32DE9FB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第六条</w:t>
      </w:r>
      <w:r>
        <w:rPr>
          <w:rFonts w:hint="eastAsia" w:ascii="Times New Roman" w:hAnsi="Times New Roman" w:eastAsia="方正仿宋简体" w:cs="Times New Roman"/>
          <w:color w:val="000000"/>
          <w:kern w:val="0"/>
          <w:sz w:val="32"/>
          <w:szCs w:val="32"/>
          <w14:ligatures w14:val="none"/>
        </w:rPr>
        <w:t>  创赛获奖项目奖励</w:t>
      </w:r>
    </w:p>
    <w:p w14:paraId="4785CCC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鼓励创新创业大赛获奖项目到本区发展，对在国家、省、市级创新创业等赛事活动中，获得前三等次奖项并在本区实际从事经营活动的，分别给予20万元、10万元、5万元一次性奖励。在运营后首次获得风险投资基金或基金管理公司（在中国证券投资基金协会备案）投资入股的，按照实际到位资金的10%给予奖励，累计不超过100万元。</w:t>
      </w:r>
    </w:p>
    <w:p w14:paraId="446A09DF">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第七条</w:t>
      </w:r>
      <w:r>
        <w:rPr>
          <w:rFonts w:hint="eastAsia" w:ascii="Times New Roman" w:hAnsi="Times New Roman" w:eastAsia="方正仿宋简体" w:cs="Times New Roman"/>
          <w:color w:val="000000"/>
          <w:kern w:val="0"/>
          <w:sz w:val="32"/>
          <w:szCs w:val="32"/>
          <w14:ligatures w14:val="none"/>
        </w:rPr>
        <w:t>  “科技VP”引聘奖励</w:t>
      </w:r>
    </w:p>
    <w:p w14:paraId="264303C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鼓励企业结合岗位需求和创新发展需求柔性引聘“科技VP”，通过设立项目的形式，鼓励支持海内外专业技术人才服务企业科技创新，持续推动企业技术创新和管理创新能力提升。按照引才合同金额的15%每年给予每家聘用单位不超过30万元奖励。</w:t>
      </w:r>
    </w:p>
    <w:p w14:paraId="77CACD3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第八条</w:t>
      </w:r>
      <w:r>
        <w:rPr>
          <w:rFonts w:hint="eastAsia" w:ascii="Times New Roman" w:hAnsi="Times New Roman" w:eastAsia="方正仿宋简体" w:cs="Times New Roman"/>
          <w:color w:val="000000"/>
          <w:kern w:val="0"/>
          <w:sz w:val="32"/>
          <w:szCs w:val="32"/>
          <w14:ligatures w14:val="none"/>
        </w:rPr>
        <w:t>  高新技术企业奖励</w:t>
      </w:r>
    </w:p>
    <w:p w14:paraId="1BAD985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对新到本区发展并在本区实际从事经营活动的高新技术企业，给予一次性20万元奖励。对当年首次通过认定的高新技术企业，给予一次性10万元奖励；对当年重新通过认定的高新技术企业，给予一次性5万元奖励。</w:t>
      </w:r>
    </w:p>
    <w:p w14:paraId="0F5D413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第九条</w:t>
      </w:r>
      <w:r>
        <w:rPr>
          <w:rFonts w:hint="eastAsia" w:ascii="Times New Roman" w:hAnsi="Times New Roman" w:eastAsia="方正仿宋简体" w:cs="Times New Roman"/>
          <w:color w:val="000000"/>
          <w:kern w:val="0"/>
          <w:sz w:val="32"/>
          <w:szCs w:val="32"/>
          <w14:ligatures w14:val="none"/>
        </w:rPr>
        <w:t>  科技服务业企业奖励</w:t>
      </w:r>
    </w:p>
    <w:p w14:paraId="71683717">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（一）对经省科技行政主管部门认定为技术先进型服务企业的科技服务业企业，给予20万元一次性奖励。</w:t>
      </w:r>
    </w:p>
    <w:p w14:paraId="2577AAB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首次达到规模以上的科技服务业企业（含迁入），给予10万元一次性奖励。对年度营业收入首次达到5000万元、1亿元、5亿元、10亿元以上，且营业收入同比增长不低于10%的科技服务业企业，分别给予10万元、20万元、50万元、100万元一次性奖励。曾获本项奖励的，只给予差额奖励。</w:t>
      </w:r>
    </w:p>
    <w:p w14:paraId="550C5BAB">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第三章 附则</w:t>
      </w:r>
    </w:p>
    <w:p w14:paraId="6197CB0C">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第十条</w:t>
      </w:r>
      <w:r>
        <w:rPr>
          <w:rFonts w:hint="eastAsia" w:ascii="Times New Roman" w:hAnsi="Times New Roman" w:eastAsia="方正仿宋简体" w:cs="Times New Roman"/>
          <w:color w:val="000000"/>
          <w:kern w:val="0"/>
          <w:sz w:val="32"/>
          <w:szCs w:val="32"/>
          <w14:ligatures w14:val="none"/>
        </w:rPr>
        <w:t>  获得本办法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已获得本区其他优惠政策扶持的不再享受本办法同类扶持措施支持，另有规定的除外。对于信用评价等级为D的市场主体，依照《广州市南沙区市场主体信用评价管理办法》等相关规定不予奖励。获得奖补的涉税支出由申报主体承担。</w:t>
      </w:r>
    </w:p>
    <w:p w14:paraId="60D2A64E">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第十一条</w:t>
      </w:r>
      <w:r>
        <w:rPr>
          <w:rFonts w:hint="eastAsia" w:ascii="Times New Roman" w:hAnsi="Times New Roman" w:eastAsia="方正仿宋简体" w:cs="Times New Roman"/>
          <w:color w:val="000000"/>
          <w:kern w:val="0"/>
          <w:sz w:val="32"/>
          <w:szCs w:val="32"/>
          <w14:ligatures w14:val="none"/>
        </w:rPr>
        <w:t>  本办法提到的货币单位，均以人民币计算。涉及“最高”、“达到”、“以上”、“不超过”、“不低于”的数额均含本数。本实施办法部分扶持奖励补贴的比例和限额为上限数额，具体政策扶持兑现视拨付年度财政预算情况相应调整。本办法提到的“新认定”是指首次认定，“当年”是指奖励年度。“科技VP”是指选聘到企业任总经理、总工程师、副总经理、副总工程师、技术副总、研发副总、技术总监等职务的专业技术人才。</w:t>
      </w:r>
    </w:p>
    <w:p w14:paraId="4FC3B9B0">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第十二条</w:t>
      </w:r>
      <w:r>
        <w:rPr>
          <w:rFonts w:hint="eastAsia" w:ascii="Times New Roman" w:hAnsi="Times New Roman" w:eastAsia="方正仿宋简体" w:cs="Times New Roman"/>
          <w:color w:val="000000"/>
          <w:kern w:val="0"/>
          <w:sz w:val="32"/>
          <w:szCs w:val="32"/>
          <w14:ligatures w14:val="none"/>
        </w:rPr>
        <w:t>  本办法各项奖励条款的申报指南由本区各相关行政主管部门另行发布。本办法的申领兑现程序、需要提交的具体申报材料及其他要求，以发布的申报指南要求为准。</w:t>
      </w:r>
    </w:p>
    <w:p w14:paraId="30F0BD0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第十三条</w:t>
      </w:r>
      <w:r>
        <w:rPr>
          <w:rFonts w:hint="eastAsia" w:ascii="Times New Roman" w:hAnsi="Times New Roman" w:eastAsia="方正仿宋简体" w:cs="Times New Roman"/>
          <w:color w:val="000000"/>
          <w:kern w:val="0"/>
          <w:sz w:val="32"/>
          <w:szCs w:val="32"/>
          <w14:ligatures w14:val="none"/>
        </w:rPr>
        <w:t>  本办法自印发之日起施行，有效期3年。因本办法所涉扶持资金属于事后奖补，自办法印发实施当年起，每年对上一年度符合条件的事项依照办法规定进行扶持。本办法有效期内如遇法律、法规或有关政策调整变化的，从其规定。本办法到期前，本区科技行政主管部门按上级相关规定开展政策实施阶段性评估，并根据评估结果按程序适时调整。</w:t>
      </w:r>
    </w:p>
    <w:p w14:paraId="355C3FF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19CCD97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79E37B09">
      <w:pPr>
        <w:widowControl/>
        <w:spacing w:line="540" w:lineRule="atLeast"/>
        <w:jc w:val="left"/>
        <w:rPr>
          <w:rFonts w:hint="eastAsia" w:ascii="Times New Roman" w:hAnsi="Times New Roman" w:eastAsia="方正仿宋简体" w:cs="宋体"/>
          <w:color w:val="000000"/>
          <w:kern w:val="0"/>
          <w:sz w:val="32"/>
          <w:szCs w:val="32"/>
          <w14:ligatures w14:val="none"/>
        </w:rPr>
      </w:pPr>
    </w:p>
    <w:p w14:paraId="37DDBBF2">
      <w:pPr>
        <w:shd w:val="clear" w:color="auto" w:fill="FFFFFF"/>
        <w:jc w:val="center"/>
        <w:textAlignment w:val="baseline"/>
        <w:outlineLvl w:val="0"/>
        <w:rPr>
          <w:rFonts w:hint="eastAsia" w:ascii="Times New Roman" w:hAnsi="Times New Roman" w:eastAsia="方正仿宋简体" w:cs="Times New Roman"/>
          <w:b/>
          <w:color w:val="000000"/>
          <w:kern w:val="44"/>
          <w:sz w:val="32"/>
          <w:szCs w:val="32"/>
          <w14:ligatures w14:val="none"/>
        </w:rPr>
      </w:pPr>
      <w:r>
        <w:rPr>
          <w:rFonts w:hint="eastAsia" w:ascii="Calibri Light" w:hAnsi="Calibri Light" w:eastAsia="方正小标宋简体" w:cs="Times New Roman"/>
          <w:color w:val="000000"/>
          <w:spacing w:val="-10"/>
          <w:kern w:val="28"/>
          <w:sz w:val="44"/>
          <w:szCs w:val="56"/>
          <w14:ligatures w14:val="standardContextual"/>
        </w:rPr>
        <w:t>广州市南沙区工业和信息化局关于印发广州市南沙区推动工业企业规模效益双倍增若干措施的通知</w:t>
      </w:r>
    </w:p>
    <w:p w14:paraId="68B9089D">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br w:type="textWrapping"/>
      </w:r>
    </w:p>
    <w:p w14:paraId="1001F584">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各镇（街），区政府各部门、各直属机构：</w:t>
      </w:r>
    </w:p>
    <w:p w14:paraId="65026C53">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《广州市南沙区推动工业企业规模效益双倍增若干措施》已经区政府同意，现印发给你们，请认真贯彻执行。执行过程中遇到的问题，请径向区工信局反映。</w:t>
      </w:r>
    </w:p>
    <w:p w14:paraId="24C1D4B5">
      <w:pPr>
        <w:widowControl/>
        <w:shd w:val="clear" w:color="auto" w:fill="FFFFFF"/>
        <w:spacing w:line="500" w:lineRule="atLeast"/>
        <w:jc w:val="left"/>
        <w:textAlignment w:val="baseline"/>
        <w:rPr>
          <w:rFonts w:hint="eastAsia" w:ascii="Times New Roman" w:hAnsi="Times New Roman" w:eastAsia="方正仿宋简体" w:cs="宋体"/>
          <w:color w:val="000000"/>
          <w:kern w:val="0"/>
          <w:sz w:val="32"/>
          <w:szCs w:val="32"/>
          <w14:ligatures w14:val="none"/>
        </w:rPr>
      </w:pPr>
    </w:p>
    <w:p w14:paraId="65087C9B">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广州市南沙区工业和信息化局</w:t>
      </w:r>
    </w:p>
    <w:p w14:paraId="75F843BE">
      <w:pPr>
        <w:shd w:val="clear" w:color="auto" w:fill="FFFFFF"/>
        <w:spacing w:line="420" w:lineRule="atLeast"/>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2025年1月24日</w:t>
      </w:r>
    </w:p>
    <w:p w14:paraId="3E156D58">
      <w:pPr>
        <w:widowControl/>
        <w:shd w:val="clear" w:color="auto" w:fill="FFFFFF"/>
        <w:spacing w:line="500" w:lineRule="atLeast"/>
        <w:jc w:val="right"/>
        <w:textAlignment w:val="baseline"/>
        <w:rPr>
          <w:rFonts w:hint="eastAsia" w:ascii="Times New Roman" w:hAnsi="Times New Roman" w:eastAsia="方正仿宋简体" w:cs="宋体"/>
          <w:color w:val="000000"/>
          <w:kern w:val="0"/>
          <w:sz w:val="32"/>
          <w:szCs w:val="32"/>
          <w14:ligatures w14:val="none"/>
        </w:rPr>
      </w:pPr>
    </w:p>
    <w:p w14:paraId="2B445BF5">
      <w:pPr>
        <w:shd w:val="clear" w:color="auto" w:fill="FFFFFF"/>
        <w:spacing w:line="420" w:lineRule="atLeast"/>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广州市南沙区推动工业企业规模效益双倍增若干措施</w:t>
      </w:r>
    </w:p>
    <w:p w14:paraId="34AB292A">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为贯彻《国务院关于印发广州南沙深化面向世界的粤港澳全面合作总体方案的通知》《中共广东省委 广东省人民政府关于高质量建设制造强省的意见》，落实国家及省、市加快培育新质生产力的决策部署，培育一批创新能力强、发展潜力大的企业，推动企业实现规模效益双倍增，促进南沙区经济高质量发展，特制定本政策措施。</w:t>
      </w:r>
    </w:p>
    <w:p w14:paraId="2212E8E0">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本措施适用于在本区实际从事经营活动，具有健全的财务制度，并符合相关条件的工业企业及其他机构。</w:t>
      </w:r>
    </w:p>
    <w:p w14:paraId="5187F8C1">
      <w:pPr>
        <w:shd w:val="clear" w:color="auto" w:fill="FFFFFF"/>
        <w:spacing w:line="420" w:lineRule="atLeast"/>
        <w:ind w:firstLine="475"/>
        <w:jc w:val="center"/>
        <w:textAlignment w:val="baseline"/>
        <w:rPr>
          <w:rFonts w:hint="eastAsia" w:ascii="方正黑体简体" w:hAnsi="方正黑体简体" w:eastAsia="方正黑体简体" w:cs="方正黑体简体"/>
          <w:b w:val="0"/>
          <w:bCs w:val="0"/>
          <w:color w:val="000000"/>
          <w:kern w:val="0"/>
          <w:sz w:val="32"/>
          <w:szCs w:val="32"/>
          <w14:ligatures w14:val="none"/>
        </w:rPr>
      </w:pPr>
      <w:r>
        <w:rPr>
          <w:rFonts w:hint="eastAsia" w:ascii="方正黑体简体" w:hAnsi="方正黑体简体" w:eastAsia="方正黑体简体" w:cs="方正黑体简体"/>
          <w:b w:val="0"/>
          <w:bCs w:val="0"/>
          <w:color w:val="000000"/>
          <w:kern w:val="0"/>
          <w:sz w:val="32"/>
          <w:szCs w:val="32"/>
          <w14:ligatures w14:val="none"/>
        </w:rPr>
        <w:t>一、支持企业规模倍增</w:t>
      </w:r>
    </w:p>
    <w:p w14:paraId="4A994E17">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第一条 支持企业产值倍增</w:t>
      </w:r>
    </w:p>
    <w:p w14:paraId="4BF63930">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（一）对产值2000万元以上，且同比增长10%以上的工业经营主体，给予一次性奖励10万元。</w:t>
      </w:r>
    </w:p>
    <w:p w14:paraId="625BE0E9">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（二）对产值同比正增长且符合以下条件的国家高新技术企业，分别给予10万元、20万元、30万元基础奖励，并按照产值每新增1000万元奖励2万元的标准给予增量奖励，每家企业最高奖励300万元：</w:t>
      </w:r>
    </w:p>
    <w:p w14:paraId="1F0F78AC">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1.上年度产值5000万元以下，研发费用总额不低于200万元的国家高新技术企业，近2年产值累计增长50%以上；</w:t>
      </w:r>
    </w:p>
    <w:p w14:paraId="4BCAF463">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2.上年度产值5000万元以上，研发费用总额不低于300万元的国家高新技术企业，且拥有1项及以上有效发明专利的国家高新技术企业，近2年产值累计增长30%以上；</w:t>
      </w:r>
    </w:p>
    <w:p w14:paraId="70AFB6BA">
      <w:pPr>
        <w:shd w:val="clear" w:color="auto" w:fill="FFFFFF"/>
        <w:spacing w:line="420" w:lineRule="atLeast"/>
        <w:ind w:firstLine="475"/>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3.上年度产值4亿元以上，研发费用总额不低于1200万元，且拥有2项及以上有效发明专利的国家高新技术企业，近2年产值累计增长20%以上。</w:t>
      </w:r>
    </w:p>
    <w:p w14:paraId="4FF187BF">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第二条 支持企业上规模发展</w:t>
      </w:r>
    </w:p>
    <w:p w14:paraId="10DB32EA">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对首次达到规模以上的中小型工业企业，给予一次性奖励10万元。</w:t>
      </w:r>
    </w:p>
    <w:p w14:paraId="38307576">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 支持企业产值突破</w:t>
      </w:r>
    </w:p>
    <w:p w14:paraId="26A62C31">
      <w:pPr>
        <w:shd w:val="clear" w:color="auto" w:fill="FFFFFF"/>
        <w:spacing w:line="420" w:lineRule="atLeast"/>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  </w:t>
      </w:r>
      <w:r>
        <w:rPr>
          <w:rFonts w:hint="eastAsia" w:ascii="Times New Roman" w:hAnsi="Times New Roman" w:eastAsia="方正仿宋简体" w:cs="Times New Roman"/>
          <w:color w:val="000000"/>
          <w:kern w:val="0"/>
          <w:sz w:val="32"/>
          <w:szCs w:val="32"/>
          <w14:ligatures w14:val="none"/>
        </w:rPr>
        <w:t>对产值首次超过1500亿元、1000亿元、500亿元、200亿元、100亿元、50亿元、30亿元、20亿元、10亿元、5亿元的工业经营主体，分别给予2000万元、1500万元、1000万元、400万元、200万元、100万元、60万元、40万元、20万元、10万元奖励。该奖励分两年平均支付，若第二年产值低于达标当年产值，则取消剩余部分奖励。达到多个奖励档次的，以补差额的方式按最高档给予奖励。</w:t>
      </w:r>
    </w:p>
    <w:p w14:paraId="5E761DAC">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第四条 支持企业市场开拓</w:t>
      </w:r>
    </w:p>
    <w:p w14:paraId="4EBFBD7B">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加强制造业原材料类保供对接服务，增强供应链灵活性可靠性。支持制造业领域互相采购、协同发展，对当年度采购上下游中小企业制造产品金额达到1000万元（不含税）以上，按照买方企业当年度购买产品金额（不含税）2%的标准给予奖励。其中，首次申报的，最高奖励200万元；非首次申报的，购买金额同比无增长的部分，最高奖励100万元，购买金额同比有增长的部分，最高再奖励200万元。</w:t>
      </w:r>
    </w:p>
    <w:p w14:paraId="2D7201D0">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shd w:val="clear" w:color="auto" w:fill="FFFFFF"/>
          <w14:ligatures w14:val="none"/>
        </w:rPr>
        <w:t>第五条 支持单项冠军认定</w:t>
      </w:r>
    </w:p>
    <w:p w14:paraId="553C1002">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（一）对获得省工业和信息化厅认定的制造业“单项冠军”称号的企业，给予一次性奖励50万元。</w:t>
      </w:r>
    </w:p>
    <w:p w14:paraId="7888BAD1">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二）对获得工业和信息化部认定的制造业“单项冠军产品”，每项产品给予一次性奖励100万元；对获工业和信息化部认定的制造业“单项冠军”培育企业，给予一次性奖励200万元；对获工业和信息化部认定的制造业“单项冠军”示范企业，给予一次性奖励500万元，其中已获得制造业“单项冠军”培育企业奖励的，给予差额奖励。</w:t>
      </w:r>
    </w:p>
    <w:p w14:paraId="45E74F6B">
      <w:pPr>
        <w:shd w:val="clear" w:color="auto" w:fill="FFFFFF"/>
        <w:spacing w:line="420" w:lineRule="atLeast"/>
        <w:ind w:firstLine="475"/>
        <w:jc w:val="center"/>
        <w:textAlignment w:val="baseline"/>
        <w:rPr>
          <w:rFonts w:hint="eastAsia" w:ascii="方正黑体简体" w:hAnsi="方正黑体简体" w:eastAsia="方正黑体简体" w:cs="方正黑体简体"/>
          <w:b w:val="0"/>
          <w:bCs w:val="0"/>
          <w:color w:val="000000"/>
          <w:kern w:val="0"/>
          <w:sz w:val="32"/>
          <w:szCs w:val="32"/>
          <w14:ligatures w14:val="none"/>
        </w:rPr>
      </w:pPr>
      <w:r>
        <w:rPr>
          <w:rFonts w:hint="eastAsia" w:ascii="方正黑体简体" w:hAnsi="方正黑体简体" w:eastAsia="方正黑体简体" w:cs="方正黑体简体"/>
          <w:b w:val="0"/>
          <w:bCs w:val="0"/>
          <w:color w:val="000000"/>
          <w:kern w:val="0"/>
          <w:sz w:val="32"/>
          <w:szCs w:val="32"/>
          <w14:ligatures w14:val="none"/>
        </w:rPr>
        <w:t>二、支持企业效益倍增</w:t>
      </w:r>
    </w:p>
    <w:p w14:paraId="61395469">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第六条 支持企业加大投资</w:t>
      </w:r>
    </w:p>
    <w:p w14:paraId="10FC8E82">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对实施固定资产投资500万元以上增资扩产、技术改造项目的企业，按项目固定资产投资额的5%给予奖励，最高5000万元。</w:t>
      </w:r>
    </w:p>
    <w:p w14:paraId="4049A030">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第七条 支持企业设备更新</w:t>
      </w:r>
    </w:p>
    <w:p w14:paraId="71B4798D">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支持企业引进和购置先进生产设备，对企业符合条件的投资期内新设备购置额达到500万元以上的技术改造项目，按新设备购置额不超过10%的比例予以事后奖励，单个项目奖励金额最高1000万元；新设备购置额在150万元以上500万元以下的技术改造项目，按新设备购置额不超过7.5%的比例予以事后奖励。</w:t>
      </w:r>
    </w:p>
    <w:p w14:paraId="19FAF94D">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shd w:val="clear" w:color="auto" w:fill="FFFFFF"/>
          <w14:ligatures w14:val="none"/>
        </w:rPr>
        <w:t>第八条 支持企业智能制造</w:t>
      </w:r>
    </w:p>
    <w:p w14:paraId="0C4DEA98">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对获评国家级智能制造示范工厂揭榜单位、智能制造优秀场景的企业，分别给予一次性奖励100万元、50万元。</w:t>
      </w:r>
    </w:p>
    <w:p w14:paraId="6E10CFF0">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第九条 支持企业数字化改造</w:t>
      </w:r>
    </w:p>
    <w:p w14:paraId="6D5D57A3">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支持企业数字化转型，对符合条件的投资期内新设备（含软件）支出150万元以上的技术改造项目，按照新设备（含软件）支出不超过15%比例予以事后奖励，单个项目奖励金额最高50万元。单个项目获得中央、省、市、区四级专项资金扶持累计不超过项目核定投入金额的50%，最高不超过150万元。</w:t>
      </w:r>
    </w:p>
    <w:p w14:paraId="5F883782">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第十条 支持企业绿色化改造</w:t>
      </w:r>
    </w:p>
    <w:p w14:paraId="3FA65454">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重点鼓励电力、钢铁、建材、石化、化工、纺织印染、造纸、粮油等领域开展节能降碳改造，支持企业开展工业固体废物资源综合利用改造，以及自建的分布式光伏发电系统和新型储能设施，对符合条件的投资期内新设备购置额150万元以上的项目，按新设备购置额不超过15%的比例予以事后奖励，单个项目奖励金额最高300万元。</w:t>
      </w:r>
    </w:p>
    <w:p w14:paraId="4674E61F">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第十一条 支持企业绿色发展</w:t>
      </w:r>
    </w:p>
    <w:p w14:paraId="74D889C6">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一）对纳入国家绿色制造示范名单的绿色工厂、绿色园区，给予一次性奖励100万元。对纳入国家绿色制造示范名单的绿色供应链管理企业、绿色制造系统集成项目、工业产品绿色设计示范企业，给予一次性奖励50万元。对纳入国家绿色制造示范名单的绿色设计产品，每项产品给予一次性奖励10万元且每家企业每年最高50万元。</w:t>
      </w:r>
    </w:p>
    <w:p w14:paraId="7121949D">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二）对通过简易流程清洁生产审核的企业，给予奖励2.5万元；对首次通过全流程清洁生产审核的企业，给予奖励10万元，其中已获得简易流程清洁生产奖励的，给予差额奖励；对因“清洁生产企业”证书到期，企业按照全流程通过新一轮清洁生产审核验收的，给予5万元奖励。</w:t>
      </w:r>
    </w:p>
    <w:p w14:paraId="3F693E0D">
      <w:pPr>
        <w:shd w:val="clear" w:color="auto" w:fill="FFFFFF"/>
        <w:spacing w:line="420" w:lineRule="atLeast"/>
        <w:ind w:firstLine="475"/>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三、强化企业要素保障</w:t>
      </w:r>
    </w:p>
    <w:p w14:paraId="550ED5CE">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第十二条 加强企业金融支持</w:t>
      </w:r>
    </w:p>
    <w:p w14:paraId="18105E1F">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对符合条件的技术改造项目，区财政在省、市技改贷款贴息、融资租赁补贴政策的基础上，按经核实的省、市补贴金额不超过50%的比例予以资金配套支持，单个项目奖励金额最高50万元。省、市、区资金扶持额度之和最高不超过项目贷款利息、融资租赁费用实际支出，且不超过按中国人民银行公布的同期同档次贷款市场报价利率（LPR）计算的贷款利息、融资租赁费用。</w:t>
      </w:r>
    </w:p>
    <w:p w14:paraId="74B6A0C4">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第十三条 鼓励企业实施“零增地”技术改造</w:t>
      </w:r>
    </w:p>
    <w:p w14:paraId="558A7A1A">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一）支持企业在现有用地上拓展产业发展空间，通过实施“零增地”提容改造，增加建筑面积，提高工业用地利用效率。其中，对已取得土地使用权证书或符合建设用地确权登记条件的“零增地”技改项目，针对用地内规划、建设手续不完善的既有建筑，可在满足消防、安全等规范要求的前提下，按同步完善、同步报建的原则，先行容缺受理新建项目的建设工程规划许可，并按要求同步依法依规完善既有建筑相关手续或完成整改。</w:t>
      </w:r>
    </w:p>
    <w:p w14:paraId="79C1E772">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（二）对在原规划厂区已竣工且不新增用地的情况下，根据规划条件适当提高容积率新增自用场地1万平方米以上的制造业经营主体，按照每平方米50元给予一次性奖励，最高400万元。</w:t>
      </w:r>
    </w:p>
    <w:p w14:paraId="409252B0">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三）对改造后总建筑面积达到2万平方米以上的存量工业用地“零增地”项目开展专业品牌管理咨询、市场推广等服务，项目内企业年度新增工业产值合计超过1亿元以上，按照每新增1亿元工业产值奖励10万元的标准，给予运营专业服务机构奖励。对依法依规获得扶持的新型工业化示范基地，按市扶持金额50%的标准给予奖励，最高500万元。</w:t>
      </w:r>
    </w:p>
    <w:p w14:paraId="12D0B051">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第十四条 优化企业服务机制</w:t>
      </w:r>
    </w:p>
    <w:p w14:paraId="5D912340">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完善企业人才服务保障体系，优化人才服务链条，在人才入户、子女入学、住房保障、医疗保健、外国人才来华工作等方面推出更优人才服务措施；设立项目招商、用地规划、住房和交通、政策保障、行政审批、市场监管和执法、人力资源和教育、要素综合保障8个工作专班作为企业服务“后台”，限时办结及时反馈企业，做到企业诉求“件件有着落、事事有回音”。落实督办回访制度，实行全流程闭环式管理。</w:t>
      </w:r>
    </w:p>
    <w:p w14:paraId="5385D5CE">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b/>
          <w:color w:val="000000"/>
          <w:kern w:val="0"/>
          <w:sz w:val="32"/>
          <w:szCs w:val="32"/>
          <w14:ligatures w14:val="none"/>
        </w:rPr>
        <w:t>第十五条 支持推行信用监管</w:t>
      </w:r>
    </w:p>
    <w:p w14:paraId="315292F2">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建立健全事前事中事后全流程“白名单”管理措施。推行实施包容审慎监管和柔性执法。实行“进一次门，查多项事”等措施。构建跨部门、跨领域联合检查机制，推行涉企“综合查一次”清单制度。探索非接触式监管，降低现场执法检查数量，实现监管“无事不扰”又“无处不在”。依法落实行政处罚‘首违不罚’和轻微违法行为免处罚免强制制度。</w:t>
      </w:r>
    </w:p>
    <w:p w14:paraId="7A738F8F">
      <w:pPr>
        <w:shd w:val="clear" w:color="auto" w:fill="FFFFFF"/>
        <w:spacing w:line="420" w:lineRule="atLeast"/>
        <w:ind w:firstLine="475"/>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附则</w:t>
      </w:r>
    </w:p>
    <w:p w14:paraId="5AAE317E">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一）申请获得本措施资金支持的事项或项目同时符合本区其他扶持规定的，按照就高不重复的原则予以支持，另有规定的除外。企业可同时享受上级和本区同一类型政策扶持，但对上级政策要求本区分担部分应在企业向本区申报扶持时予以扣除。对于信用评价等级为D的市场主体，依照《广州市南沙区市场主体信用评价管理办法》等相关规定不予奖励。享受本措施扶持的对象，应签订相关承诺书，若违反承诺的，应退回已获得的扶持资金。获得奖补的涉税支出由申报主体承担。</w:t>
      </w:r>
    </w:p>
    <w:p w14:paraId="203FDDDD">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（二）本措施提到的货币单位均以人民币计算，涉及“最高”“达到”“以上”“不超过”“超过”“高于”的数额均包含本数，“以下”不包括本数。</w:t>
      </w:r>
    </w:p>
    <w:p w14:paraId="3D203EC3">
      <w:pPr>
        <w:shd w:val="clear" w:color="auto" w:fill="FFFFFF"/>
        <w:spacing w:line="420" w:lineRule="atLeast"/>
        <w:ind w:firstLine="475"/>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三）本措施自印发之日起施行，有效期至2027年12月31日。2025年1月1日至印发之日，可参照本措施执行。2023年7月7日印发的《广州南沙新区（自贸片区）促进制造业高质量发展十条措施》（穗南开工信规字〔2023〕1号）同时废止。本措施有效期内如遇法律、法规或有关政策调整变化的，从其规定。</w:t>
      </w:r>
    </w:p>
    <w:p w14:paraId="6E688794">
      <w:pPr>
        <w:widowControl/>
        <w:shd w:val="clear" w:color="auto" w:fill="FFFFFF"/>
        <w:spacing w:line="500" w:lineRule="atLeast"/>
        <w:textAlignment w:val="baseline"/>
        <w:rPr>
          <w:rFonts w:hint="eastAsia" w:ascii="Times New Roman" w:hAnsi="Times New Roman" w:eastAsia="方正仿宋简体" w:cs="宋体"/>
          <w:color w:val="000000"/>
          <w:kern w:val="0"/>
          <w:sz w:val="32"/>
          <w:szCs w:val="32"/>
          <w14:ligatures w14:val="none"/>
        </w:rPr>
      </w:pPr>
    </w:p>
    <w:p w14:paraId="4B4C7F04">
      <w:pPr>
        <w:shd w:val="clear" w:color="auto" w:fill="FFFFFF"/>
        <w:spacing w:line="420" w:lineRule="atLeas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公开方式：主动公开</w:t>
      </w:r>
    </w:p>
    <w:p w14:paraId="6A466352">
      <w:pPr>
        <w:rPr>
          <w:rFonts w:ascii="Times New Roman" w:hAnsi="Times New Roman" w:eastAsia="方正仿宋简体" w:cs="Times New Roman"/>
          <w:color w:val="000000"/>
          <w:sz w:val="32"/>
          <w:szCs w:val="32"/>
          <w14:ligatures w14:val="none"/>
        </w:rPr>
      </w:pPr>
    </w:p>
    <w:p w14:paraId="75284598">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广州市规划和自然资源局 广州市住房和城乡建设局 广州市发展和改革委员会 广州市投资发展委员会办公室关于印发《广州市产业项目筹建“全周期”服务方案（试行）》的通知</w:t>
      </w:r>
    </w:p>
    <w:p w14:paraId="457EE6AC">
      <w:pPr>
        <w:widowControl/>
        <w:spacing w:line="54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市工业和信息化局、市民政局、市生态环境局、市交通运输局、市水务局、市农业农村局、市文化广电旅游局、市政务和数据局、市城市管理综合执法局、市林业园林局、市气象局、市档案局、市通信建设管理办公室、各区政府、广州空港委，广州供电局、广州市自来水有限公司、广州燃气集团，各有关单位：</w:t>
      </w:r>
    </w:p>
    <w:p w14:paraId="180AF48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为持续优化我市营商环境，按我市深化改革专项行动和《广州市2024年优化营商环境工作要点》（穗营商办〔2024〕2号）要求，现将《广州市产业项目筹建“全周期”服务方案（试行）》印发给你们，请遵照执行。</w:t>
      </w:r>
    </w:p>
    <w:p w14:paraId="5290EA7D">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附件：广州市产业项目筹建“全周期”服务方案（试行）</w:t>
      </w:r>
    </w:p>
    <w:p w14:paraId="67D3775F">
      <w:pPr>
        <w:widowControl/>
        <w:spacing w:line="54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广州市规划和自然资源局       广州市住房和城乡建设局</w:t>
      </w:r>
    </w:p>
    <w:p w14:paraId="09AD900B">
      <w:pPr>
        <w:widowControl/>
        <w:spacing w:line="54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广州市发展和改革委员会   广州市投资发展委员会办公室</w:t>
      </w:r>
    </w:p>
    <w:p w14:paraId="6935F463">
      <w:pPr>
        <w:widowControl/>
        <w:spacing w:line="54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2025年1月6日</w:t>
      </w:r>
    </w:p>
    <w:p w14:paraId="627BBE8A">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附件</w:t>
      </w:r>
    </w:p>
    <w:p w14:paraId="7819DE21">
      <w:pPr>
        <w:widowControl/>
        <w:spacing w:line="540" w:lineRule="atLeast"/>
        <w:jc w:val="center"/>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广州市产业项目筹建“全周期”服务方案（试行）</w:t>
      </w:r>
    </w:p>
    <w:p w14:paraId="73B05DF0">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为持续优化我市营商环境，助力全市经济高质量发展，促进企业投资项目早开工早投产，有效降低制度性成本，进一步激发市场主体活力。根据《广州市人民政府关于印发广州市工程建设项目审批制度改革试点实施方案的通知》（穗府〔2018〕12号）《广州市人民政府关于印发广州市进一步深化工程建设项目审批制度改革工作实施方案的通知》(穗府函〔2019〕194号)《广州市2024年优化营商环境工作要点》（穗营商办〔2024〕2号），以及我市深化改革专项行动和推动招商引资高质量发展的要求，制定本方案。</w:t>
      </w:r>
    </w:p>
    <w:p w14:paraId="33E44042">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color w:val="000000"/>
          <w:kern w:val="0"/>
          <w:sz w:val="32"/>
          <w:szCs w:val="32"/>
          <w14:ligatures w14:val="none"/>
        </w:rPr>
        <w:t>一、总体要求</w:t>
      </w:r>
    </w:p>
    <w:p w14:paraId="372C541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方案所称的产业项目筹建“全周期”服务是指打造项目拿地、开工审批、完工投产等全闭环集成服务，最大限度提升产业项目引进、拿地开工、完工投产全生命周期筹建服务效能。实现“引进即筹建、拿地即开工、完工即投产”。</w:t>
      </w:r>
    </w:p>
    <w:p w14:paraId="163DD376">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color w:val="000000"/>
          <w:kern w:val="0"/>
          <w:sz w:val="32"/>
          <w:szCs w:val="32"/>
          <w14:ligatures w14:val="none"/>
        </w:rPr>
        <w:t>二、实施范围</w:t>
      </w:r>
    </w:p>
    <w:p w14:paraId="38ABF53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方案原则上适用于广州市范围内，符合国家、省、市和本区产业政策，经区委、区政府审议同意落户的产业项目（涉及易燃易爆危险品、危险化学品的生产和储存或者技术难度特别复杂的项目；关系国家安全和生态安全、涉及重大生产力布局、重大公共利益的项目；特殊工程和交通、水利、能源等领域的重大工程除外）。存量企业增资扩产项目视同新引进项目纳入本方案服务范畴。</w:t>
      </w:r>
    </w:p>
    <w:p w14:paraId="228829B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color w:val="000000"/>
          <w:kern w:val="0"/>
          <w:sz w:val="32"/>
          <w:szCs w:val="32"/>
          <w14:ligatures w14:val="none"/>
        </w:rPr>
        <w:t>三、服务前置，实现“引进即筹建”</w:t>
      </w:r>
    </w:p>
    <w:p w14:paraId="2DFD2352">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方案“引进即筹建”是指将项目筹建服务工作关口前移，在项目招商阶段，依托市、区项目招商机制，充分利用项目准入评审、用地评审、土地出让完成前的准备时间和公告公示等法定期限，全面前移全过程审批服务，做到“引进即筹建”。</w:t>
      </w:r>
    </w:p>
    <w:p w14:paraId="347D9783">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（一）筹建服务前移“全程领办”</w:t>
      </w:r>
    </w:p>
    <w:p w14:paraId="7AAA0D55">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1.推行“全周期”服务工作机制，提高筹建效率。</w:t>
      </w:r>
      <w:r>
        <w:rPr>
          <w:rFonts w:hint="eastAsia" w:ascii="Times New Roman" w:hAnsi="Times New Roman" w:eastAsia="方正仿宋简体" w:cs="宋体"/>
          <w:color w:val="000000"/>
          <w:kern w:val="0"/>
          <w:sz w:val="32"/>
          <w:szCs w:val="32"/>
          <w14:ligatures w14:val="none"/>
        </w:rPr>
        <w:t>在项目洽谈过程中，市、区招商部门会同各审批部门依托产业项目筹建服务协调机制，联动重大项目协调机制，根据项目特性，提出招商项目投资发展信息需求（包括可供企业选择的地块状况、产业准入、用地指标、环境指标、能耗指标、出让时间节点等关键信息），由各资源保障和审批部门反馈相关信息。涉及拿地建设的，在企业充分知晓且诚信自愿的前提下，市、区招商部门建立“全周期服务项目库”，组织各审批部门开展专人产业项目筹建“全周期”服务，开展宣讲辅导，一次性告知企业筹建流程，同时协助做好企业设立、项目立项与备案等筹建前期工作。优化或根据具体项目情况灵活处理投入产出监管协议签订相关事宜。涉及需省、市协调保障的资源要素，各区应做好预判，提前与市对口审批部门做好衔接反馈，市区形成合力做好服务。如各区已有现行相关工作机制，各区可按实际情况落实。（牵头单位：市投资发展委办公室、市规划和自然资源局、各区；配合单位：市发展改革委、市工业和信息化局、市住房城乡建设局等）</w:t>
      </w:r>
    </w:p>
    <w:p w14:paraId="3A0E59BF">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2.充分利用“可招商土地库”精准匹配产业空间。</w:t>
      </w:r>
      <w:r>
        <w:rPr>
          <w:rFonts w:hint="eastAsia" w:ascii="Times New Roman" w:hAnsi="Times New Roman" w:eastAsia="方正仿宋简体" w:cs="宋体"/>
          <w:color w:val="000000"/>
          <w:kern w:val="0"/>
          <w:sz w:val="32"/>
          <w:szCs w:val="32"/>
          <w14:ligatures w14:val="none"/>
        </w:rPr>
        <w:t>在项目招商洽谈中，各有关部门充分利用“可招商土地库”，根据选址区位、产业需求、规划指标等因素，为企业精准匹配产业空间。（牵头单位：市规划和自然资源局；配合单位：市投资发展委办公室、市发展改革委、市工业和信息化局、市住房城乡建设局、各区）</w:t>
      </w:r>
    </w:p>
    <w:p w14:paraId="5A60DBCF">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　（二）供地前准备“能办尽办”</w:t>
      </w:r>
    </w:p>
    <w:p w14:paraId="00500A43">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3.深化“用地清单制”，明确土地技术指标控制要求。</w:t>
      </w:r>
      <w:r>
        <w:rPr>
          <w:rFonts w:hint="eastAsia" w:ascii="Times New Roman" w:hAnsi="Times New Roman" w:eastAsia="方正仿宋简体" w:cs="宋体"/>
          <w:color w:val="000000"/>
          <w:kern w:val="0"/>
          <w:sz w:val="32"/>
          <w:szCs w:val="32"/>
          <w14:ligatures w14:val="none"/>
        </w:rPr>
        <w:t>企业确定项目意向位置后，规划和自然资源部门向土地储备部门出具地块红线（或视情况出具预红线），市、区土地储备机构提前开展土地普查和评估评价工作，征求相关部门意见和管理要求，各部门充分核查项目范围涉及的区域评估成果，形成“土地资源和技术控制指标清单”并完成资料移交</w:t>
      </w:r>
      <w:r>
        <w:rPr>
          <w:rFonts w:hint="eastAsia" w:ascii="Times New Roman" w:hAnsi="Times New Roman" w:eastAsia="方正仿宋简体" w:cs="宋体"/>
          <w:b/>
          <w:bCs/>
          <w:color w:val="000000"/>
          <w:kern w:val="0"/>
          <w:sz w:val="32"/>
          <w:szCs w:val="32"/>
          <w14:ligatures w14:val="none"/>
        </w:rPr>
        <w:t>。</w:t>
      </w:r>
      <w:r>
        <w:rPr>
          <w:rFonts w:hint="eastAsia" w:ascii="Times New Roman" w:hAnsi="Times New Roman" w:eastAsia="方正仿宋简体" w:cs="宋体"/>
          <w:color w:val="000000"/>
          <w:kern w:val="0"/>
          <w:sz w:val="32"/>
          <w:szCs w:val="32"/>
          <w14:ligatures w14:val="none"/>
        </w:rPr>
        <w:t>（牵头单位：市规划和自然资源局；配合单位：各行业主管部门，广州供电局，市、区土地储备机构）</w:t>
      </w:r>
    </w:p>
    <w:p w14:paraId="74870AB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4.确保项目用地具备“净地出让”条件。</w:t>
      </w:r>
      <w:r>
        <w:rPr>
          <w:rFonts w:hint="eastAsia" w:ascii="Times New Roman" w:hAnsi="Times New Roman" w:eastAsia="方正仿宋简体" w:cs="宋体"/>
          <w:color w:val="000000"/>
          <w:kern w:val="0"/>
          <w:sz w:val="32"/>
          <w:szCs w:val="32"/>
          <w14:ligatures w14:val="none"/>
        </w:rPr>
        <w:t>市、区土地储备机构会同相关单位坚持做到“净地出让”，在土地出让前开展地籍调查，确保出让地块权利清晰，安置补偿落实到位，没有法律经济纠纷，地块位置、用地性质、开发强度等规划条件明确，具备动工开发所必需的通水通电通路、无影响动工开发的管线等基本条件。（牵头单位：市规划和自然资源局；配合单位：市投资发展委员会办公室、各区，市、区土地储备机构）</w:t>
      </w:r>
    </w:p>
    <w:p w14:paraId="39F0B904">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5.制定个性化开工“交底清单”。</w:t>
      </w:r>
      <w:r>
        <w:rPr>
          <w:rFonts w:hint="eastAsia" w:ascii="Times New Roman" w:hAnsi="Times New Roman" w:eastAsia="方正仿宋简体" w:cs="宋体"/>
          <w:color w:val="000000"/>
          <w:kern w:val="0"/>
          <w:sz w:val="32"/>
          <w:szCs w:val="32"/>
          <w14:ligatures w14:val="none"/>
        </w:rPr>
        <w:t>由市、区招商部门会同各审批部门制定开工“交底清单”，列出项目开工审查要点涉及到各行业主管部门的要求、政策要求和技术问题等，各区按实际情况对“交底清单”进行完善，点对点、一对一，主动研判项目开工潜在风险瓶颈，提前介入协调拿出解决方案，共同为项目量身订制个性化筹建报批方案。如各区已有现行相关工作机制，各区可按实际情况落实。（牵头单位：市投资发展委员会办公室、各区、市规划和自然资源局、市住房城乡建设局；配合单位：市工业和信息化局、市发展改革委、市水务局、市民政局、市生态环境局、市文化广电旅游局、市交通运输局、市城市管理综合执法局、市林业园林局、市农业农村局，广州供电局、广州市自来水有限公司、广州燃气集团等）</w:t>
      </w:r>
    </w:p>
    <w:p w14:paraId="65C7C161">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　（三）技术咨询前置“菜单式服务”</w:t>
      </w:r>
    </w:p>
    <w:p w14:paraId="1C960FB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6.技术指导服务前置，鼓励土地“带方案出让”。</w:t>
      </w:r>
      <w:r>
        <w:rPr>
          <w:rFonts w:hint="eastAsia" w:ascii="Times New Roman" w:hAnsi="Times New Roman" w:eastAsia="方正仿宋简体" w:cs="宋体"/>
          <w:color w:val="000000"/>
          <w:kern w:val="0"/>
          <w:sz w:val="32"/>
          <w:szCs w:val="32"/>
          <w14:ligatures w14:val="none"/>
        </w:rPr>
        <w:t>规划和自然资源部门对拟出让产业项目地块编制的规划设计方案提前开展技术指导服务。市、区土地储备机构将提前服务确定的规划设计方案纳入土地出让方案，报具有审批权限的市或者区人民政府审批，并作为土地出让合同文件的附件（土地成交后，确需调整规划设计方案的，在不涉及规划条件变更的前提下可按程序申请办理，不再调整出让合同）。在企业自愿承担风险的前提下，支持项目方提前进场，根据已稳定的设计方案开展规划放线、工程勘察工作，根据实际情况可先行开展桩基础等施工图设计。（牵头单位：市规划和自然资源局；配合单位：市住房城乡建设局，市投资发展委员会办公室、各区，市、区土地储备机构）</w:t>
      </w:r>
    </w:p>
    <w:p w14:paraId="6538CD2A">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四、“菜单式”多证齐发，实现“拿地即开工”</w:t>
      </w:r>
    </w:p>
    <w:p w14:paraId="4FADCE2D">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方案所称的“拿地即开工”是指尽可能将服务前置，按“规划许可线、施工许可线、施工前配套手续”三线并行，同步推进，从而实现拿地后建设用地规划许可证、不动产权证、人防报建批复文件、建设工程规划许可证、建筑工程施工许可证、建筑废弃物处置证（排放）、施工排水许可证等事项快速办理，实现“拿地即开工”。</w:t>
      </w:r>
    </w:p>
    <w:p w14:paraId="16A77DE0">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7.规划许可线，深化“交地即交证”。</w:t>
      </w:r>
      <w:r>
        <w:rPr>
          <w:rFonts w:hint="eastAsia" w:ascii="Times New Roman" w:hAnsi="Times New Roman" w:eastAsia="方正仿宋简体" w:cs="宋体"/>
          <w:color w:val="000000"/>
          <w:kern w:val="0"/>
          <w:sz w:val="32"/>
          <w:szCs w:val="32"/>
          <w14:ligatures w14:val="none"/>
        </w:rPr>
        <w:t>根据项目需求和进度，项目取得供地批复，完成土地公告挂牌、成交确认、土地合同及监管协议签订、全额缴清土地出让金和相关税费等手续后，直接核发《建设用地规划许可证》《不动产权证书》。同步推进《建设工程规划许可证》审批。探索优化《建设工程规划许可证》告知承诺制审批、优化施工总承包单位产生等。（牵头单位：市规划和自然资源局、市住房城乡建设局，配合单位：各区）</w:t>
      </w:r>
    </w:p>
    <w:p w14:paraId="50DC9A7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8.施工许可线，深化“分阶段办理施工许可”。</w:t>
      </w:r>
      <w:r>
        <w:rPr>
          <w:rFonts w:hint="eastAsia" w:ascii="Times New Roman" w:hAnsi="Times New Roman" w:eastAsia="方正仿宋简体" w:cs="宋体"/>
          <w:color w:val="000000"/>
          <w:kern w:val="0"/>
          <w:sz w:val="32"/>
          <w:szCs w:val="32"/>
          <w14:ligatures w14:val="none"/>
        </w:rPr>
        <w:t>建设单位确定施工总承包单位后及各方责任主体单位后，建设单位向住房和城乡建设部门申报施工许可，可根据施工进展顺序自主选择“基坑支护和土方开挖、地下室、±0.000以上”三阶段，或“±0.000以下、±0.000以上”两阶段办理施工许可，也可一次性直接申办。办理“基坑支护和土方开挖”阶段的施工许可证时，可以规划和自然资源部门出具的用地规划条件批文作为规划手续；办理“地下室”（无地下室的为“±0.000以下”）阶段的施工许可证时，可以规划和自然资源部门出具的设计方案审查批复文件作为规划手续，施工图设计文件技术审查意见可承诺容缺。办理施工许可证时合并办理办理工程质量、安全监督登记、人防工程质量监督登记手续。项目在采取分“±0.000以下、±0.000以上”两阶段或分“基坑支护和土方开挖、地下室、±0.000以上”三阶段办理时，承诺在办理“±0.000以上”阶段施工许可证时会将“±0.000以下”或“基坑支护和土方开挖”阶段施工单位纳入整体工程总包单位管理的，无需确定整体工程的总包单位即可办理。优化保障性租赁住房认定，产业项目在向行政审批部门提供宿舍部分租赁性住房相关资料后，宿舍部分单体的城市配套费缴交采取承诺制，企业方在完成除宿舍部分的城市配套费缴交后，即可申请办理施工许可证。（牵头单位：市、区住房城乡建设部门；配合单位：市规划和自然资源局、各区）</w:t>
      </w:r>
    </w:p>
    <w:p w14:paraId="327F2CD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9.施工前配套手续，深化多专业并联审批。</w:t>
      </w:r>
      <w:r>
        <w:rPr>
          <w:rFonts w:hint="eastAsia" w:ascii="Times New Roman" w:hAnsi="Times New Roman" w:eastAsia="方正仿宋简体" w:cs="宋体"/>
          <w:color w:val="000000"/>
          <w:kern w:val="0"/>
          <w:sz w:val="32"/>
          <w:szCs w:val="32"/>
          <w14:ligatures w14:val="none"/>
        </w:rPr>
        <w:t>项目建设单位凭规划设计方案技术审查意见，可提出雨污水排放、临时路口开设等，由各区对接企业需求并加快办理，需省、市支持审批事项及时衔接市对口审批部门反馈，并主动积极跟进审批事项办理情况，具体包括临时用电及用水报装、占用挖掘城市道路审批、建筑起重机械使用登记、城市建筑垃圾处置核准、水土保持方案审批、节能审查、环境影响评估、水电气网联合报装、施工排水许可证核发等事项。（牵头单位：各区；配合单位：市投资发展委员会办公室、市发展改革委、市林业园林局、市工业和信息化局、市城市管理综合执法局、市生态环境局、市水务局、广州供电局、市通信建设管理办公室）</w:t>
      </w:r>
    </w:p>
    <w:p w14:paraId="17F0D8CF">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五、支持分期联合验收，实现“完工即投产”</w:t>
      </w:r>
    </w:p>
    <w:p w14:paraId="4DB2BA65">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本方案所称的“完工即投产”是指，在项目完工后，在确保工程安全质量可控的前提下，明确企业安全生产主体责任，企业自行完成安全质量验收和出具消防检测意见书后，可进行设备调试、试生产，3个月内及时申请办理竣工联合验收。</w:t>
      </w:r>
    </w:p>
    <w:p w14:paraId="46477FF3">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10.实施竣工联合验收。</w:t>
      </w:r>
      <w:r>
        <w:rPr>
          <w:rFonts w:hint="eastAsia" w:ascii="Times New Roman" w:hAnsi="Times New Roman" w:eastAsia="方正仿宋简体" w:cs="宋体"/>
          <w:color w:val="000000"/>
          <w:kern w:val="0"/>
          <w:sz w:val="32"/>
          <w:szCs w:val="32"/>
          <w14:ligatures w14:val="none"/>
        </w:rPr>
        <w:t>按照一口受理、集成服务的办理流程，相关部门限时开展竣工联合验收，避免建设单位反复与多个政府部门沟通协调。工程质量安全监督机构及其它相关部门在项目施工过程中对企业做好技术服务，在具备竣工联合验收条件后指导企业申请办理竣工联合验收。（牵头单位：市住房城乡建设局；配合单位：市规划和自然资源局、市水务局、市政务和数据局、市档案局、市气象局、市通信建设管理办公室、各区）  </w:t>
      </w:r>
    </w:p>
    <w:p w14:paraId="3EFC6478">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11.支持分期验收加快投产。</w:t>
      </w:r>
      <w:r>
        <w:rPr>
          <w:rFonts w:hint="eastAsia" w:ascii="Times New Roman" w:hAnsi="Times New Roman" w:eastAsia="方正仿宋简体" w:cs="宋体"/>
          <w:color w:val="000000"/>
          <w:kern w:val="0"/>
          <w:sz w:val="32"/>
          <w:szCs w:val="32"/>
          <w14:ligatures w14:val="none"/>
        </w:rPr>
        <w:t>产业项目涉及多个独立单位工程的工业厂房项目，在符合项目整体的质量安全要求、达到安全使用条件的前提下，建设单位可按照“功能独立、确保安全”的原则申请组织办理分期竣工联合验收，加快项目投产进度。（牵头单位：市、区住房城乡建设局；配合单位：各区、市规划和自然资源局、市政务和数据局、市投资发展委员会办公室）</w:t>
      </w:r>
    </w:p>
    <w:p w14:paraId="0939B93E">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12.优化不动产登记服务。</w:t>
      </w:r>
      <w:r>
        <w:rPr>
          <w:rFonts w:hint="eastAsia" w:ascii="Times New Roman" w:hAnsi="Times New Roman" w:eastAsia="方正仿宋简体" w:cs="宋体"/>
          <w:color w:val="000000"/>
          <w:kern w:val="0"/>
          <w:sz w:val="32"/>
          <w:szCs w:val="32"/>
          <w14:ligatures w14:val="none"/>
        </w:rPr>
        <w:t>推广“验登合一”“带押过户”等不动产登记改革事项。按要求落实工业物业产权分割转让政策，加强工业厂房供给，保障中小微企业置业落户发展需求。（牵头单位：市规划和自然资源局，配合单位：市住房城乡建设局、市工业和信息化局、各区）</w:t>
      </w:r>
    </w:p>
    <w:p w14:paraId="50C5CE90">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黑体简体" w:hAnsi="方正黑体简体" w:eastAsia="方正黑体简体" w:cs="方正黑体简体"/>
          <w:b w:val="0"/>
          <w:bCs w:val="0"/>
          <w:color w:val="000000"/>
          <w:kern w:val="0"/>
          <w:sz w:val="32"/>
          <w:szCs w:val="32"/>
          <w14:ligatures w14:val="none"/>
        </w:rPr>
        <w:t>　六、实施原则</w:t>
      </w:r>
    </w:p>
    <w:p w14:paraId="2FB6D855">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　（一）服务先行，全程协办。</w:t>
      </w:r>
      <w:r>
        <w:rPr>
          <w:rFonts w:hint="eastAsia" w:ascii="Times New Roman" w:hAnsi="Times New Roman" w:eastAsia="方正仿宋简体" w:cs="宋体"/>
          <w:color w:val="000000"/>
          <w:kern w:val="0"/>
          <w:sz w:val="32"/>
          <w:szCs w:val="32"/>
          <w14:ligatures w14:val="none"/>
        </w:rPr>
        <w:t>针对审批事项，市、区招商部门提前介入，全程提供协办服务，协助企业与审批部门对接；审批部门加强协同配合、各负其责，全方位提供咨询与技术指导服务，变“坐等”审批为主动“靠前”服务。对“带方案出让”的产业项目，在竞得土地使用权之前，各审批部门按照容缺受理、并联审查模式，提前开展实质性审查服务，出具技术审查意见，告知审批风险。</w:t>
      </w:r>
    </w:p>
    <w:p w14:paraId="5B61D427">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（二）告知承诺，信任审批。</w:t>
      </w:r>
      <w:r>
        <w:rPr>
          <w:rFonts w:hint="eastAsia" w:ascii="Times New Roman" w:hAnsi="Times New Roman" w:eastAsia="方正仿宋简体" w:cs="宋体"/>
          <w:color w:val="000000"/>
          <w:kern w:val="0"/>
          <w:sz w:val="32"/>
          <w:szCs w:val="32"/>
          <w14:ligatures w14:val="none"/>
        </w:rPr>
        <w:t>实行告知承诺制，严格执行省、市关于告知承诺制审批的有关规定，在市场准入、资质审核、用地审批、行业自律等环节建立信用承诺机制，扎实以承诺推进减材料、缩环节、强约束，做到“承诺即批、即批即得”。根据实际情况需要，动态调整告知承诺制审批事项覆盖范围，各项行政许可均不得以相关事项的审查合格文件作为前置条件。同时各部门完善诚信体系建设，对承诺行为信息和履约情况进行征集、记录、评价和应用，依法实施失信惩戒措施。</w:t>
      </w:r>
    </w:p>
    <w:p w14:paraId="6F1CBBE9">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（三）强化监管，风险自担。</w:t>
      </w:r>
      <w:r>
        <w:rPr>
          <w:rFonts w:hint="eastAsia" w:ascii="Times New Roman" w:hAnsi="Times New Roman" w:eastAsia="方正仿宋简体" w:cs="宋体"/>
          <w:color w:val="000000"/>
          <w:kern w:val="0"/>
          <w:sz w:val="32"/>
          <w:szCs w:val="32"/>
          <w14:ligatures w14:val="none"/>
        </w:rPr>
        <w:t>相关部门要按照“谁审批谁监管、谁主管谁监管”的要求，加强对项目的事中事后监管，对企业按照规定履行承诺的情况进行指导服务，及时将项目纳入监管，纠正企业不符合法律法规及相关规定的行为。企业需作出承诺，主动配合审批工作，如因资料报送问题影响审批进展的，或因企业未按告知承诺制进行建设或项目出现重大调整，或因已被告知审批风险后仍进行建设，导致审批过程中产生的勘察设计、评价评估等费用以及不能办理相关审批手续或验收不合格风险的，由企业自行承担。</w:t>
      </w:r>
    </w:p>
    <w:p w14:paraId="678A22B6">
      <w:pPr>
        <w:widowControl/>
        <w:spacing w:line="540" w:lineRule="atLeas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方正楷体简体" w:hAnsi="方正楷体简体" w:eastAsia="方正楷体简体" w:cs="方正楷体简体"/>
          <w:b/>
          <w:bCs/>
          <w:color w:val="000000"/>
          <w:kern w:val="0"/>
          <w:sz w:val="32"/>
          <w:szCs w:val="32"/>
          <w14:ligatures w14:val="none"/>
        </w:rPr>
        <w:t>（四）本方案自印发之日起实施，试行期2年。</w:t>
      </w:r>
      <w:r>
        <w:rPr>
          <w:rFonts w:hint="eastAsia" w:ascii="Times New Roman" w:hAnsi="Times New Roman" w:eastAsia="方正仿宋简体" w:cs="宋体"/>
          <w:color w:val="000000"/>
          <w:kern w:val="0"/>
          <w:sz w:val="32"/>
          <w:szCs w:val="32"/>
          <w14:ligatures w14:val="none"/>
        </w:rPr>
        <w:t>施行期间，国家法律、法规有新规定的，从其规定。</w:t>
      </w:r>
    </w:p>
    <w:p w14:paraId="2FBEC4B9">
      <w:pPr>
        <w:widowControl/>
        <w:spacing w:line="420" w:lineRule="atLeast"/>
        <w:ind w:firstLine="540"/>
        <w:jc w:val="left"/>
        <w:rPr>
          <w:rFonts w:ascii="Times New Roman" w:hAnsi="Times New Roman" w:eastAsia="方正仿宋简体" w:cs="宋体"/>
          <w:color w:val="000000"/>
          <w:kern w:val="0"/>
          <w:sz w:val="32"/>
          <w:szCs w:val="32"/>
          <w14:ligatures w14:val="none"/>
        </w:rPr>
      </w:pPr>
    </w:p>
    <w:p w14:paraId="42AAF999">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广州市天河区科技工业和信息化局关于印发广州市天河区工业软件产业重点人才培育若干政策措施的通知</w:t>
      </w:r>
    </w:p>
    <w:p w14:paraId="0EDFD95E">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br w:type="textWrapping"/>
      </w:r>
    </w:p>
    <w:p w14:paraId="44CA85C8">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各街道办事处、区府直属各单位：</w:t>
      </w:r>
    </w:p>
    <w:p w14:paraId="16CCB46F">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《广州市天河区工业软件产业重点人才培育若干政策措施》业经区政府同意，现印发实施，请认真贯彻执行，执行过程中如遇问题，请径向区科工信局反映。</w:t>
      </w:r>
    </w:p>
    <w:p w14:paraId="1BF81782">
      <w:pPr>
        <w:widowControl/>
        <w:spacing w:after="150"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特此通知。</w:t>
      </w:r>
    </w:p>
    <w:p w14:paraId="27CF2A54">
      <w:pPr>
        <w:widowControl/>
        <w:spacing w:after="150" w:line="42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广州市天河区科技工业和信息化局</w:t>
      </w:r>
    </w:p>
    <w:p w14:paraId="2CAEB232">
      <w:pPr>
        <w:widowControl/>
        <w:spacing w:after="150" w:line="420" w:lineRule="atLeast"/>
        <w:jc w:val="righ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2025年1月27日  </w:t>
      </w:r>
    </w:p>
    <w:p w14:paraId="7B73798D">
      <w:pPr>
        <w:widowControl/>
        <w:spacing w:line="54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clear="all"/>
      </w:r>
    </w:p>
    <w:p w14:paraId="4D3CD3D1">
      <w:pPr>
        <w:widowControl/>
        <w:spacing w:line="420" w:lineRule="atLeast"/>
        <w:jc w:val="center"/>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广州市天河区工业软件产业重点人才培育若干政策措施</w:t>
      </w:r>
    </w:p>
    <w:p w14:paraId="2E15FBB2">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b/>
          <w:bCs/>
          <w:color w:val="000000"/>
          <w:kern w:val="0"/>
          <w:sz w:val="32"/>
          <w:szCs w:val="32"/>
          <w14:ligatures w14:val="none"/>
        </w:rPr>
        <w:t>  </w:t>
      </w:r>
      <w:r>
        <w:rPr>
          <w:rFonts w:hint="eastAsia" w:ascii="Times New Roman" w:hAnsi="Times New Roman" w:eastAsia="方正仿宋简体" w:cs="宋体"/>
          <w:color w:val="000000"/>
          <w:kern w:val="0"/>
          <w:sz w:val="32"/>
          <w:szCs w:val="32"/>
          <w14:ligatures w14:val="none"/>
        </w:rPr>
        <w:t>为全面贯彻落实党的二十大和二十届二中、三中全会以及中央经济工作会议精神，深入贯彻落实习近平总书记视察广东重要讲话、重要指示精神，认真落实省委“1310”具体部署和市委“1312”思路举措，推动天河区工业软件产业高质量发展，深化人才发展体制机制改革，打造粤港澳大湾区高水平人才高地。根据《工业和信息化部关于加强和改进工业和信息化人才队伍建设的实施意见》（工信部人〔2022〕138号）等文件精神，结合天河区实际，特制定本措施。</w:t>
      </w:r>
    </w:p>
    <w:p w14:paraId="779322C7">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第一条【培育产业创新团队】</w:t>
      </w:r>
      <w:r>
        <w:rPr>
          <w:rFonts w:hint="eastAsia" w:ascii="Times New Roman" w:hAnsi="Times New Roman" w:eastAsia="方正仿宋简体" w:cs="宋体"/>
          <w:color w:val="000000"/>
          <w:kern w:val="0"/>
          <w:sz w:val="32"/>
          <w:szCs w:val="32"/>
          <w14:ligatures w14:val="none"/>
        </w:rPr>
        <w:t>鼓励大型工业企业、重点行业企业聚焦数智化转型，剥离工业软件业务新成立工业软件企业。对新成立的工业软件企业，给予企业核心管理团队不超过100万元一次性资金支持。</w:t>
      </w:r>
    </w:p>
    <w:p w14:paraId="4C470FA8">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第二条【引进产业顶尖人才】</w:t>
      </w:r>
      <w:r>
        <w:rPr>
          <w:rFonts w:hint="eastAsia" w:ascii="Times New Roman" w:hAnsi="Times New Roman" w:eastAsia="方正仿宋简体" w:cs="宋体"/>
          <w:color w:val="000000"/>
          <w:kern w:val="0"/>
          <w:sz w:val="32"/>
          <w:szCs w:val="32"/>
          <w14:ligatures w14:val="none"/>
        </w:rPr>
        <w:t>鼓励工业软件企业面向全球范围引进顶尖人才。对工业软件企业新引进的具有重大科技创新能力、对推动产业发展作出较大贡献的顶尖创新人才，每年择优遴选不超过10人，给予每人最高30万元一次性安家费用支持。</w:t>
      </w:r>
    </w:p>
    <w:p w14:paraId="41BE9DE3">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第三条【提升研究开发投入】</w:t>
      </w:r>
      <w:r>
        <w:rPr>
          <w:rFonts w:hint="eastAsia" w:ascii="Times New Roman" w:hAnsi="Times New Roman" w:eastAsia="方正仿宋简体" w:cs="宋体"/>
          <w:color w:val="000000"/>
          <w:kern w:val="0"/>
          <w:sz w:val="32"/>
          <w:szCs w:val="32"/>
          <w14:ligatures w14:val="none"/>
        </w:rPr>
        <w:t>鼓励工业软件企业聚力关键核心技术攻关，对年度研发投入同比正增长的工业软件企业，按照当年度研发投入10%的标准，给予企业核心管理团队支持，每家企业每年支持不超过100万元。</w:t>
      </w:r>
    </w:p>
    <w:p w14:paraId="44617101">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第四条【加强示范应用引领】</w:t>
      </w:r>
      <w:r>
        <w:rPr>
          <w:rFonts w:hint="eastAsia" w:ascii="Times New Roman" w:hAnsi="Times New Roman" w:eastAsia="方正仿宋简体" w:cs="宋体"/>
          <w:color w:val="000000"/>
          <w:kern w:val="0"/>
          <w:sz w:val="32"/>
          <w:szCs w:val="32"/>
          <w14:ligatures w14:val="none"/>
        </w:rPr>
        <w:t>鼓励工业软件企业加大创新应用研发，推动汽车制造、数控设备、电力能源、工业通信等重点行业加大应用场景开放力度，积极打造具有全国示范效应的项目。每年遴选一批工业软件示范项目，按照合同实际支付金额10%的标准，给予项目核心成员支持，每家企业每年支持不超过100万元。</w:t>
      </w:r>
    </w:p>
    <w:p w14:paraId="5A56DB62">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第五条【探索科技保险助力】</w:t>
      </w:r>
      <w:r>
        <w:rPr>
          <w:rFonts w:hint="eastAsia" w:ascii="Times New Roman" w:hAnsi="Times New Roman" w:eastAsia="方正仿宋简体" w:cs="宋体"/>
          <w:color w:val="000000"/>
          <w:kern w:val="0"/>
          <w:sz w:val="32"/>
          <w:szCs w:val="32"/>
          <w14:ligatures w14:val="none"/>
        </w:rPr>
        <w:t>鼓励保险公司围绕工业软件领域丰富科技保险产品，完善工业软件研发、应用、推广全生命周期科技保险体系。对工业软件企业购买工业软件产品相关的科技保险产品，最高按当年保费实际支付金额50%的标准，给予企业核心技术团队支持，每家企业每年支持不超过10万元。</w:t>
      </w:r>
    </w:p>
    <w:p w14:paraId="261A4C38">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第六条【支持创新平台建设】</w:t>
      </w:r>
      <w:r>
        <w:rPr>
          <w:rFonts w:hint="eastAsia" w:ascii="Times New Roman" w:hAnsi="Times New Roman" w:eastAsia="方正仿宋简体" w:cs="宋体"/>
          <w:color w:val="000000"/>
          <w:kern w:val="0"/>
          <w:sz w:val="32"/>
          <w:szCs w:val="32"/>
          <w14:ligatures w14:val="none"/>
        </w:rPr>
        <w:t>支持工业软件企业组建产业基础共性技术平台，对新获评省级以上工业软件相关工程技术研究中心、企业技术中心、新型研发机构、重点实验室等创新平台的工业软件企业，给予企业平台运营团队最高20万元一次性资金支持。</w:t>
      </w:r>
    </w:p>
    <w:p w14:paraId="1391BB1E">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第七条【推动产教创新融合】</w:t>
      </w:r>
      <w:r>
        <w:rPr>
          <w:rFonts w:hint="eastAsia" w:ascii="Times New Roman" w:hAnsi="Times New Roman" w:eastAsia="方正仿宋简体" w:cs="宋体"/>
          <w:color w:val="000000"/>
          <w:kern w:val="0"/>
          <w:sz w:val="32"/>
          <w:szCs w:val="32"/>
          <w14:ligatures w14:val="none"/>
        </w:rPr>
        <w:t>鼓励高等院校、中高职学校和工业软件企业联合开设工业软件开发与应用课程，建设软件产业学院、实训基地，开展人才认证等协同育人合作，每年遴选不超过10个产教创新融合项目，对开展项目的学校进行支持，每所学校每年支持不超过20万元。</w:t>
      </w:r>
    </w:p>
    <w:p w14:paraId="2BBEBD6A">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第八条【支持急需紧缺人才招引】</w:t>
      </w:r>
      <w:r>
        <w:rPr>
          <w:rFonts w:hint="eastAsia" w:ascii="Times New Roman" w:hAnsi="Times New Roman" w:eastAsia="方正仿宋简体" w:cs="宋体"/>
          <w:color w:val="000000"/>
          <w:kern w:val="0"/>
          <w:sz w:val="32"/>
          <w:szCs w:val="32"/>
          <w14:ligatures w14:val="none"/>
        </w:rPr>
        <w:t>对工业软件企业新引进的急需紧缺人才，根据《天河区重点产业紧缺人才目录》岗位要求，按照紧缺指数、个人素质、薪酬水平等标准根据一定权重计分排名，每年遴选不超过50人，给予每人5万元支持，每家企业每年支持不超过50万元。</w:t>
      </w:r>
    </w:p>
    <w:p w14:paraId="304B57AE">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第九条【强化基础人才培养】</w:t>
      </w:r>
      <w:r>
        <w:rPr>
          <w:rFonts w:hint="eastAsia" w:ascii="Times New Roman" w:hAnsi="Times New Roman" w:eastAsia="方正仿宋简体" w:cs="宋体"/>
          <w:color w:val="000000"/>
          <w:kern w:val="0"/>
          <w:sz w:val="32"/>
          <w:szCs w:val="32"/>
          <w14:ligatures w14:val="none"/>
        </w:rPr>
        <w:t>鼓励工业软件企业积极参与中小学科学教育模式创新，优化科学教育课程，提升中小学生科学素养，向学校提供信创教学软件、基础教材和教学设备等，开展师资培训、技术服务，并对标教育部竞赛白名单，协助组织中小学相关比赛，对与中小学校开展科学教育合作且符合相关条件的工业软件企业，每合作一所学校（校区）给予企业10万元支持，每家企业每年支持不超过100万元。</w:t>
      </w:r>
    </w:p>
    <w:p w14:paraId="2F8B424B">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第十条【支持从业人才认证】</w:t>
      </w:r>
      <w:r>
        <w:rPr>
          <w:rFonts w:hint="eastAsia" w:ascii="Times New Roman" w:hAnsi="Times New Roman" w:eastAsia="方正仿宋简体" w:cs="宋体"/>
          <w:color w:val="000000"/>
          <w:kern w:val="0"/>
          <w:sz w:val="32"/>
          <w:szCs w:val="32"/>
          <w14:ligatures w14:val="none"/>
        </w:rPr>
        <w:t>鼓励专业人才参与工业软件相关技能认证。对在工业软件企业任职，且获得经省级以上政府部门认定的工业软件职业资格、职称认定的人员，每人补贴5000元，每家企业每年支持不超过20万元。</w:t>
      </w:r>
    </w:p>
    <w:p w14:paraId="37179F72">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w:t>
      </w:r>
      <w:r>
        <w:rPr>
          <w:rFonts w:hint="eastAsia" w:ascii="Times New Roman" w:hAnsi="Times New Roman" w:eastAsia="方正仿宋简体" w:cs="宋体"/>
          <w:b/>
          <w:bCs/>
          <w:color w:val="000000"/>
          <w:kern w:val="0"/>
          <w:sz w:val="32"/>
          <w:szCs w:val="32"/>
          <w14:ligatures w14:val="none"/>
        </w:rPr>
        <w:t>第十一条【附则】</w:t>
      </w:r>
    </w:p>
    <w:p w14:paraId="22FA931A">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一）本措施所扶持的软件和信息技术服务业以《国民经济行业分类（2017年版）》分类为标准，纳统标准以国家统计局发布的相关规定为准。工业软件企业是指专用于或主要用于工业领域，围绕产品研发设计、生产控制、业务管理和过程集成等软件分类，从事研究、开发、行业应用，并提供技术服务、解决方案等的软件和信息技术服务企业。</w:t>
      </w:r>
    </w:p>
    <w:p w14:paraId="316C29DC">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（二）获得本措施各项支持的涉税支出由企业或个人承担。本措施所称企业核心管理团队、核心技术团队、项目核心成员、平台运营团队由企业自行认定，资金分配方案由企业自主决定。</w:t>
      </w:r>
    </w:p>
    <w:p w14:paraId="1752AEC1">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（三）本措施涉及“以上”“最高”“不超过”的数额，均包含本数。本措施涉及政策扶持资金来源为天河区财政资金，涉及奖补比例和限额均为上限，实际奖补比例和金额受年度预算控制。</w:t>
      </w:r>
    </w:p>
    <w:p w14:paraId="3259D6E8">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四）支持资金实行最高限额原则，对同一支持对象同一事项或同一项目同时符合本措施其他条款或天河区其他扶持政策措施的（含上级部门要求区级配套或负担资金的规定），按照“就高不重复”的原则执行，另有规定的除外。</w:t>
      </w:r>
    </w:p>
    <w:p w14:paraId="24CA042C">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（五）有下列情形之一的，不予资金支持：获扶持年度被列入严重失信主体名单；获扶持年度被公安机关查处或政策兑现时仍处于刑事立案侦查阶段的；申报或佐证材料弄虚作假的。</w:t>
      </w:r>
    </w:p>
    <w:p w14:paraId="78329C95">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（六）相关政策措施申报请登录广州市天河区政策兑现服务平台，政策申报指南和操作指引由天河区科技工业和信息化局另行制定。</w:t>
      </w:r>
    </w:p>
    <w:p w14:paraId="5FEA8EFD">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（七）本措施自公布之日起30日后施行，有效期三年。有效期届满后，支持资金应当支付而未支付完毕的，应当继续执行直至全部支付完毕。</w:t>
      </w:r>
    </w:p>
    <w:p w14:paraId="40CF6787">
      <w:pPr>
        <w:widowControl/>
        <w:spacing w:line="54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br w:type="textWrapping"/>
      </w:r>
    </w:p>
    <w:p w14:paraId="0D931A66">
      <w:pPr>
        <w:widowControl/>
        <w:spacing w:line="54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   公开方式：主动公开</w:t>
      </w:r>
    </w:p>
    <w:p w14:paraId="3AF30E5C">
      <w:pPr>
        <w:widowControl/>
        <w:spacing w:line="540" w:lineRule="atLeast"/>
        <w:jc w:val="left"/>
        <w:rPr>
          <w:rFonts w:hint="eastAsia" w:ascii="Times New Roman" w:hAnsi="Times New Roman" w:eastAsia="方正仿宋简体" w:cs="宋体"/>
          <w:color w:val="000000"/>
          <w:kern w:val="0"/>
          <w:sz w:val="32"/>
          <w:szCs w:val="32"/>
          <w14:ligatures w14:val="none"/>
        </w:rPr>
      </w:pPr>
    </w:p>
    <w:p w14:paraId="108CCE1C">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广州市天河区科技工业和信息化局</w:t>
      </w:r>
    </w:p>
    <w:p w14:paraId="162E4015">
      <w:pPr>
        <w:widowControl/>
        <w:spacing w:line="420" w:lineRule="atLeast"/>
        <w:jc w:val="left"/>
        <w:rPr>
          <w:rFonts w:hint="eastAsia" w:ascii="Times New Roman" w:hAnsi="Times New Roman" w:eastAsia="方正仿宋简体" w:cs="宋体"/>
          <w:color w:val="000000"/>
          <w:kern w:val="0"/>
          <w:sz w:val="32"/>
          <w:szCs w:val="32"/>
          <w14:ligatures w14:val="none"/>
        </w:rPr>
      </w:pPr>
      <w:r>
        <w:rPr>
          <w:rFonts w:hint="eastAsia" w:ascii="Times New Roman" w:hAnsi="Times New Roman" w:eastAsia="方正仿宋简体" w:cs="宋体"/>
          <w:color w:val="000000"/>
          <w:kern w:val="0"/>
          <w:sz w:val="32"/>
          <w:szCs w:val="32"/>
          <w14:ligatures w14:val="none"/>
        </w:rPr>
        <w:t>2025年1月27日印发</w:t>
      </w:r>
    </w:p>
    <w:p w14:paraId="52CFB206">
      <w:pPr>
        <w:shd w:val="clear" w:color="auto" w:fill="FFFFFF"/>
        <w:jc w:val="center"/>
        <w:textAlignment w:val="baseline"/>
        <w:outlineLvl w:val="0"/>
        <w:rPr>
          <w:rFonts w:hint="eastAsia" w:ascii="Calibri" w:hAnsi="Calibri" w:eastAsia="宋体" w:cs="Times New Roman"/>
          <w:color w:val="000000"/>
          <w:szCs w:val="22"/>
          <w14:ligatures w14:val="standardContextual"/>
        </w:rPr>
      </w:pPr>
      <w:r>
        <w:rPr>
          <w:rFonts w:hint="eastAsia" w:ascii="Calibri Light" w:hAnsi="Calibri Light" w:eastAsia="方正小标宋简体" w:cs="Times New Roman"/>
          <w:color w:val="000000"/>
          <w:spacing w:val="-10"/>
          <w:kern w:val="28"/>
          <w:sz w:val="44"/>
          <w:szCs w:val="56"/>
          <w14:ligatures w14:val="standardContextual"/>
        </w:rPr>
        <w:t>广州市天河区商务局关于印发广州市天河区加快推动现代商贸业高质量发展的若干政策措施的通知</w:t>
      </w:r>
    </w:p>
    <w:p w14:paraId="5AD759CA">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各街道办事处、区府直属各单位：</w:t>
      </w:r>
    </w:p>
    <w:p w14:paraId="3EE4722B">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《广州市天河区加快推动现代商贸业高质量发展的若干政策措施》业经区政府同意，现印发实施，请认真贯彻执行，执行过程中如遇问题，请径向区商务局反映。</w:t>
      </w:r>
    </w:p>
    <w:p w14:paraId="4E1AAE4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特此通知。</w:t>
      </w:r>
    </w:p>
    <w:p w14:paraId="174D31C5">
      <w:pPr>
        <w:shd w:val="clear" w:color="auto" w:fill="FFFFFF"/>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广州市天河区商务局</w:t>
      </w:r>
    </w:p>
    <w:p w14:paraId="44A7CFA5">
      <w:pPr>
        <w:shd w:val="clear" w:color="auto" w:fill="FFFFFF"/>
        <w:jc w:val="righ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2025年2月6日</w:t>
      </w:r>
    </w:p>
    <w:p w14:paraId="27313A2C">
      <w:pPr>
        <w:shd w:val="clear" w:color="auto" w:fill="FFFFFF"/>
        <w:jc w:val="center"/>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广州市天河区加快推动现代商贸业高质量发展的若干政策措施</w:t>
      </w:r>
    </w:p>
    <w:p w14:paraId="31ABC84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为全面贯彻落实党的二十大和二十届二中、三中全会以及中央经济工作会议精神，深入贯彻落实习近平总书记视察广东重要讲话、重要指示精神，认真落实省委“1310”具体部署和市委“1312”思路举措，加快完善天河区现代商贸流通体系和扩大消费长效机制，构建商贸业高质量发展新格局，创新多元化消费场景，抢抓商贸新赛道，扩大高水平对外开放，助力广州市建设国际商贸中心和国际消费中心城市，根据《国务院关于促进服务消费高质量发展的意见》《商务部关于印发促进外贸稳定增长若干政策措施的通知》《商务部等9部门印发关于完善现代商贸流通体系推动批发零售业高质量发展的行动计划的通知》等文件，制定如下政策措施。</w:t>
      </w:r>
    </w:p>
    <w:p w14:paraId="42FDBC2F">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第一条 【畅通先进制造业和战略性产业贸易流通环节】</w:t>
      </w:r>
      <w:r>
        <w:rPr>
          <w:rFonts w:hint="eastAsia" w:ascii="Times New Roman" w:hAnsi="Times New Roman" w:eastAsia="方正仿宋简体" w:cs="Times New Roman"/>
          <w:color w:val="000000"/>
          <w:kern w:val="0"/>
          <w:sz w:val="32"/>
          <w:szCs w:val="32"/>
          <w14:ligatures w14:val="none"/>
        </w:rPr>
        <w:t>鼓励市场主体产销并进，充分发挥天河供应链资源优势，拓展战略性产业贸易业务，畅通贸易流通环节。</w:t>
      </w:r>
    </w:p>
    <w:p w14:paraId="74E2A8D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（一）对先进基础材料、关键战略材料、前沿材料等新材料（新型能源材料除外）品类贸易企业，按照该品类年度规模同比每增长5000万元支持最高1万元的标准，每年给予单个企业最高100万元支持。</w:t>
      </w:r>
    </w:p>
    <w:p w14:paraId="6B65882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（二）对创新药以及高端医疗器械、设备品类贸易企业，按照该品类年度规模同比每增长2000万元支持最高1万元的标准，每年给予单个企业最高100万元支持。</w:t>
      </w:r>
    </w:p>
    <w:p w14:paraId="0227115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第二条【鼓励新能源产业应用配套】</w:t>
      </w:r>
      <w:r>
        <w:rPr>
          <w:rFonts w:hint="eastAsia" w:ascii="Times New Roman" w:hAnsi="Times New Roman" w:eastAsia="方正仿宋简体" w:cs="Times New Roman"/>
          <w:color w:val="000000"/>
          <w:kern w:val="0"/>
          <w:sz w:val="32"/>
          <w:szCs w:val="32"/>
          <w14:ligatures w14:val="none"/>
        </w:rPr>
        <w:t>推动能源生产消费方式绿色低碳变革，鼓励技术创新，引导新能源消费。</w:t>
      </w:r>
    </w:p>
    <w:p w14:paraId="16367E11">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（一）对主营光伏、氢能、风电、生物质能等新型能源材料及设备品类贸易企业，按照该品类年度规模同比每增长2000万元支持最高1万元的标准，每年给予单个企业最高100万元支持。</w:t>
      </w:r>
    </w:p>
    <w:p w14:paraId="7D3C72E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（二）对主营机动车充电零售、氢能源加注销售等新能源销售企业，年度规模首次突破5000万元、1亿元、3亿元、10亿元的，分别给予一次性最高5万元、10万元、30万元、100万元支持。</w:t>
      </w:r>
    </w:p>
    <w:p w14:paraId="7ABB42A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（三）对年度规模5亿元以上，且同比增长5%以上的主营新能源汽车零售企业，每年给予单个企业最高100万元支持。</w:t>
      </w:r>
    </w:p>
    <w:p w14:paraId="7145CCE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第三条【鼓励家居家电产业定制化、智能化发展】</w:t>
      </w:r>
      <w:r>
        <w:rPr>
          <w:rFonts w:hint="eastAsia" w:ascii="Times New Roman" w:hAnsi="Times New Roman" w:eastAsia="方正仿宋简体" w:cs="Times New Roman"/>
          <w:color w:val="000000"/>
          <w:kern w:val="0"/>
          <w:sz w:val="32"/>
          <w:szCs w:val="32"/>
          <w14:ligatures w14:val="none"/>
        </w:rPr>
        <w:t>促进家电、数码品类贸易发展，提振家电、数码消费。推动家居产业协同联动、融合互通、智能互联，培育一批个性化、智能化品牌总部企业，打造时尚定制消费生态。</w:t>
      </w:r>
    </w:p>
    <w:p w14:paraId="5F30D6F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年度规模2亿元以上的家电、数码、智能穿戴设备批发企业，以及年度规模5000万元以上的家电、数码、智能穿戴设备零售企业，分别按照年度规模同比每增长2000万元支持最高1万元、每增长1000万元支持最高1万元的标准，每年给予单个企业最高100万元支持。</w:t>
      </w:r>
    </w:p>
    <w:p w14:paraId="4DEABE71">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年度规模2亿元以上的定制家居、智能家居批发企业，以及年度规模5000万元以上的定制家居、智能家居零售企业，分别按照年度规模同比每增长2000万元支持最高1万元、每增长1000万元支持最高1万元的标准，每年给予单个企业最高100万元支持。</w:t>
      </w:r>
    </w:p>
    <w:p w14:paraId="3A225B7A">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第四条【支持商贸流通领域强链发展】</w:t>
      </w:r>
      <w:r>
        <w:rPr>
          <w:rFonts w:hint="eastAsia" w:ascii="Times New Roman" w:hAnsi="Times New Roman" w:eastAsia="方正仿宋简体" w:cs="Times New Roman"/>
          <w:color w:val="000000"/>
          <w:kern w:val="0"/>
          <w:sz w:val="32"/>
          <w:szCs w:val="32"/>
          <w14:ligatures w14:val="none"/>
        </w:rPr>
        <w:t>充分发挥现货贸易市场优势，强化大宗商品资源配置枢纽功能，提升制造业服务能力，促进金属、化工、农粮、医药、机电设备产品贸易稳步壮大发展。对满足下列基本增速要求的批发企业，按其当年规模0.4‰的标准给予基本支持；若增速达到下列基本增速一倍以上两倍以内，在基本支持的基础上对超出基本增速规模部分按0.4‰的标准给予额外支持；若增速达到下列基本增速两倍以上，在基本支持的基础上对超出基本增速规模部分按0.6‰的标准给予额外支持。每年给予单个企业最高3000万元支持。对于提前达到年度增速的企业，可在当年下半年按实际情况，提前兑现部分支持。</w:t>
      </w:r>
    </w:p>
    <w:p w14:paraId="1B3EC279">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金属产品批发企业：共分5个档次，年度规模5亿元-10亿元且同比增长30%以上的；年度规模10亿元-20亿元且同比增长15%以上的；年度规模20亿元-40亿元且同比增长10%以上的；年度规模40亿元-120亿元且同比增长7%以上的；年度规模120亿元以上且同比增长5%以上的。</w:t>
      </w:r>
    </w:p>
    <w:p w14:paraId="7A04967A">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化工产品批发企业：共分4个档次，年度规模5亿元-10亿元且同比增长30%以上的；年度规模10亿元-20亿元且同比增长15%以上的；年度规模20亿元-40亿元且同比增长10%以上的；年度规模40亿元-500亿元且同比增长7%以上的。</w:t>
      </w:r>
    </w:p>
    <w:p w14:paraId="1AE9EEF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（三）农粮产品批发企业：共分3个档次，年度规模5亿元-20亿元且同比增长20%以上的；年度规模20亿元-100亿元且同比增长13%以上的；年度规模100亿元以上且同比增长8%以上的。</w:t>
      </w:r>
    </w:p>
    <w:p w14:paraId="7660A59B">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（四）医药产品批发企业：共分3个档次，年度规模5亿元-20亿元且同比增长20%以上的；年度规模20亿元-50亿元且同比增长13%以上的；年度规模50亿元以上且同比增长8%以上的。</w:t>
      </w:r>
    </w:p>
    <w:p w14:paraId="741658C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（五）机电设备批发企业：共分2个档次，年度规模5亿元-20亿元且同比增长10%以上的；年度规模20亿元以上且同比增长5%以上的。</w:t>
      </w:r>
    </w:p>
    <w:p w14:paraId="6C9A031F">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若同一企业同时满足本条款与本措施其他条款，则按就高不重复原则予以支持。</w:t>
      </w:r>
    </w:p>
    <w:p w14:paraId="1162C88D">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第五条【鼓励电商新业态集聚】</w:t>
      </w:r>
      <w:r>
        <w:rPr>
          <w:rFonts w:hint="eastAsia" w:ascii="Times New Roman" w:hAnsi="Times New Roman" w:eastAsia="方正仿宋简体" w:cs="Times New Roman"/>
          <w:color w:val="000000"/>
          <w:kern w:val="0"/>
          <w:sz w:val="32"/>
          <w:szCs w:val="32"/>
          <w14:ligatures w14:val="none"/>
        </w:rPr>
        <w:t>鼓励批发零售企业运用大数据、云计算、人工智能、移动互联网等现代信息技术，加快传统产业向数字化、网络化、智能化、服务化转型升级。</w:t>
      </w:r>
    </w:p>
    <w:p w14:paraId="45045C0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支持产业数字化、电商化转型。对通过公共网络实现零售额年度规模达3000万元-1亿元且同比增长50%以上、1亿元-2亿元且同比增长30%以上、2亿元-5亿元且同比增长20%以上、5亿元以上且同比增长10%以上的批发零售企业，按照年度规模每增长3000万元支持最高1万元的标准，每年给予单个企业最高100万元支持。</w:t>
      </w:r>
    </w:p>
    <w:p w14:paraId="59E3CBA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支持专业电商平台发展。对运用新一代信息技术，运行上线具有询价报价、采购供应、项目招标、交易撮合、评估认证、委托代理、结算融资等功能，服务于大宗商品、工业品、医药品、消费品等各类产品的专业电商平台，对平台运营方给予一次性20万元支持。平台年度交易额首次突破10亿元、100亿元、1000亿元的，再分别给予一次性最高10万元、20万元、100万元支持。</w:t>
      </w:r>
    </w:p>
    <w:p w14:paraId="32CD3A6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鼓励电商业态争先创优。鼓励电商新业态发挥先进典型示范引导作用，对当年度首次获评国家、省、市级示范或相关荣誉、称号的企业，分别给予一次性最高50万元、30万元、20万元支持。对当年度首次获评国家、省、市级示范或相关荣誉、称号的电商新业态产业园区，分别给予园区实际运营主体一次性最高80万元、50万元、30万元支持。</w:t>
      </w:r>
    </w:p>
    <w:p w14:paraId="2C4F70A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第六条【鼓励专业批发市场转型升级】</w:t>
      </w:r>
      <w:r>
        <w:rPr>
          <w:rFonts w:hint="eastAsia" w:ascii="Times New Roman" w:hAnsi="Times New Roman" w:eastAsia="方正仿宋简体" w:cs="Times New Roman"/>
          <w:color w:val="000000"/>
          <w:kern w:val="0"/>
          <w:sz w:val="32"/>
          <w:szCs w:val="32"/>
          <w14:ligatures w14:val="none"/>
        </w:rPr>
        <w:t>对符合我区产业发展规划且完成转型升级或转营发展的专业批发市场，其项目投资额达到200万元-500万元、500万元-1000万元、1000万元以上的，分别给予项目投资方一次性最高10万元、20万元、30万元支持。</w:t>
      </w:r>
    </w:p>
    <w:p w14:paraId="5EECB7B2">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第七条【强化优质市场主体梯度培育】</w:t>
      </w:r>
      <w:r>
        <w:rPr>
          <w:rFonts w:hint="eastAsia" w:ascii="Times New Roman" w:hAnsi="Times New Roman" w:eastAsia="方正仿宋简体" w:cs="Times New Roman"/>
          <w:color w:val="000000"/>
          <w:kern w:val="0"/>
          <w:sz w:val="32"/>
          <w:szCs w:val="32"/>
          <w14:ligatures w14:val="none"/>
        </w:rPr>
        <w:t>分类施策、精准培育，助力企业提档上规，培育一批高成长性企业。</w:t>
      </w:r>
    </w:p>
    <w:p w14:paraId="0AAFAE69">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净增长或同比增长10%以上的月度“新增限上”批发企业，年度规模达到2亿元-5亿元、5亿元-10亿元、10亿元-20亿元、20亿元-50亿元、50亿元-100亿元、100亿元以上的，分别给予最高5万元、50万元、100万元、150万元、200万元、500万元支持。</w:t>
      </w:r>
    </w:p>
    <w:p w14:paraId="20C9488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净增长或同比增长10%以上的月度“新增限上”零售企业，年度规模达到5000万元-2亿元、2亿元-5亿元、5亿元-10亿元、10亿元-20亿元、20亿元-50亿元、50亿元以上的，分别给予最高5万元、30万元、100万元、150万元、200万元、300万元支持。</w:t>
      </w:r>
    </w:p>
    <w:p w14:paraId="79FF75F8">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对净增长或同比增长10%以上的月度“新增限上”住宿餐饮企业，年度规模达到2000万元-5000万元、5000万元-1亿、1亿元-5亿元、5亿元-10亿元、10亿元以上的，分别给予最高5万元、10万元、20万元、30万元、50万元支持。</w:t>
      </w:r>
    </w:p>
    <w:p w14:paraId="4B03FCD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若同一企业同时满足本条款与本措施其他条款，则按就高不重复原则予以支持。</w:t>
      </w:r>
    </w:p>
    <w:p w14:paraId="3FADEDE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第八条【释放骨干企业发展潜力】</w:t>
      </w:r>
      <w:r>
        <w:rPr>
          <w:rFonts w:hint="eastAsia" w:ascii="Times New Roman" w:hAnsi="Times New Roman" w:eastAsia="方正仿宋简体" w:cs="Times New Roman"/>
          <w:color w:val="000000"/>
          <w:kern w:val="0"/>
          <w:sz w:val="32"/>
          <w:szCs w:val="32"/>
          <w14:ligatures w14:val="none"/>
        </w:rPr>
        <w:t>支持商贸企业积极拓展新业务板块，加快成长步伐。</w:t>
      </w:r>
    </w:p>
    <w:p w14:paraId="4B68D92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（一）批发企业</w:t>
      </w:r>
    </w:p>
    <w:p w14:paraId="205DF5C1">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对年度规模5亿元-10亿元且同比增长10%以上的，每年给予单个企业最高30万元支持；</w:t>
      </w:r>
    </w:p>
    <w:p w14:paraId="55AF212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对年度规模10亿元-50亿元且同比增长10%以上的，每年给予单个企业最高80万元支持；</w:t>
      </w:r>
    </w:p>
    <w:p w14:paraId="0CDD1B3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对年度规模50亿元-100亿元且同比增长7%以上的，每年给予单个企业最高150万元支持；</w:t>
      </w:r>
    </w:p>
    <w:p w14:paraId="6DEADC8F">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对年度规模100亿元以上且同比增长5%以上的，每年给予单个企业最高200万元支持。</w:t>
      </w:r>
    </w:p>
    <w:p w14:paraId="6447B536">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　</w:t>
      </w:r>
      <w:r>
        <w:rPr>
          <w:rFonts w:hint="eastAsia" w:ascii="Times New Roman" w:hAnsi="Times New Roman" w:eastAsia="方正仿宋简体" w:cs="Times New Roman"/>
          <w:color w:val="000000"/>
          <w:kern w:val="0"/>
          <w:sz w:val="32"/>
          <w:szCs w:val="32"/>
          <w14:ligatures w14:val="none"/>
        </w:rPr>
        <w:t>（二）零售企业</w:t>
      </w:r>
    </w:p>
    <w:p w14:paraId="7CF9C79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对年度规模2亿元-5亿元且同比增长7%以上的，每年给予单个企业最高40万元支持；</w:t>
      </w:r>
    </w:p>
    <w:p w14:paraId="666DD5E6">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对年度规模5亿元-10亿元且同比增长7%以上的，每年给予单个企业最高80万元支持；</w:t>
      </w:r>
    </w:p>
    <w:p w14:paraId="32454EC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对年度规模10亿元-20亿元且同比增长5%以上的，每年给予单个企业最高120万元支持；</w:t>
      </w:r>
    </w:p>
    <w:p w14:paraId="6085AB6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对年度规模20亿元-50亿元且同比增长5%以上的，每年给予单个企业最高200万元支持；</w:t>
      </w:r>
    </w:p>
    <w:p w14:paraId="45C051F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对年度规模50亿元以上且同比增长5%以上的，每年给予单个企业最高250万元支持。</w:t>
      </w:r>
    </w:p>
    <w:p w14:paraId="7F00579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（三）住宿、餐饮企业</w:t>
      </w:r>
    </w:p>
    <w:p w14:paraId="3B29135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对年度规模5000万元-1亿元且同比增长15%以上的，每年给予单个企业最高8万元支持；</w:t>
      </w:r>
    </w:p>
    <w:p w14:paraId="697409F6">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对年度规模1亿元-3亿元且同比增长10%以上的，每年给予单个企业最高10万元支持；</w:t>
      </w:r>
    </w:p>
    <w:p w14:paraId="5328D45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对年度规模3亿元以上且同比增长7%以上的，每年给予单个企业最高20万元支持。</w:t>
      </w:r>
    </w:p>
    <w:p w14:paraId="20644C3A">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若同一企业同时满足本条款与本措施其他条款，则按就高不重复原则予以支持。</w:t>
      </w:r>
    </w:p>
    <w:p w14:paraId="019AB8CF">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第九条【实施尚品工程，支持“天河名品”培育建设】</w:t>
      </w:r>
    </w:p>
    <w:p w14:paraId="2D69126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创新时尚型商业，引入全球知名品牌首店入驻。对获得市认定的在天河区开设的亚洲首店、中国（内地）首店、华南首店、广州首店（下称“品牌首店”），分别给予品牌首店最高10万元、8万元、5万元、3万元支持。</w:t>
      </w:r>
    </w:p>
    <w:p w14:paraId="7E7B60D8">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推动品质化供给，支持运营机构参与发展首店经济。支持商业设施运营方、街区运营管理机构引进线下商贸业品牌首店。对获得市认定的商业设施运营方、街区运营管理机构，按照在天河区引入1个品牌首店给予最高5万元的标准，每年给予单个主体最高100万元支持。</w:t>
      </w:r>
    </w:p>
    <w:p w14:paraId="76A33E68">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第十条【实施美誉工程，支持“天河名店”优化提升】</w:t>
      </w:r>
    </w:p>
    <w:p w14:paraId="0B4B6BC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加快优质消费企业集聚，支持重点商业载体空间优化提升。鼓励商业载体运营公司强化吸聚带动、资源配置、创新引领和品质支撑能力，引入优质消费企业，提升消费供给能力和消费能级。每年按照商业载体的商业面积、引进品牌数量以及“新增限上”企业数量等情况择优评选，分别给予商业载体运营公司最高50万元、80万元、100万元支持。</w:t>
      </w:r>
    </w:p>
    <w:p w14:paraId="69166F9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推动场景化改造，支持商业载体运营公司对商业载体场所景观进行升级改造，打造沉浸式、体验式消费场景。对企业在其权属范围内开展绿化、公共艺术小品、灯光照明、建筑外立面整饰等景观优化提升项目，按照项目实际投资额20%的标准，给予单个企业一次性最高50万元支持。</w:t>
      </w:r>
    </w:p>
    <w:p w14:paraId="4DECFC6A">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鼓励连锁经营，支持品牌连锁零售企业做大做强。对区域总部零售企业新开直营门店给予支持，在原有门店数量不减少的情况下，按照每新开一家500平方米-1000平方米门店、1000平方米-3000平方米门店、3000平方米-5000平方米门店、5000平方米以上门店，分别支持最高2万元、5万元、8万元、10万元的标准，每年给予单个企业最高50万元支持。</w:t>
      </w:r>
    </w:p>
    <w:p w14:paraId="1902ADB9">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第十一条【实施提质工程，支持“天河名圈”（特色功能区）提级发展】</w:t>
      </w:r>
    </w:p>
    <w:p w14:paraId="0CC2D6E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推动数字化赋能，支持智慧化商圈（商店）建设。鼓励商协会、企业、大型商业综合体开展智慧商圈（智慧商店）建设，推进商圈（商店）设施、服务和管理数字化、智能化改造，不断提升消费便利度和营销精准度水平。对运用现代信息技术，建立面向消费者、商业企业、运营机构和政府部门等智慧应用服务体系或平台的智慧商圈、智慧商店项目，且近三年经市级以上商务部门认定或获评市级以上相关荣誉、称号的，分别按照项目实际投资额20%、10%的标准，给予单个智慧商圈项目、智慧商店项目建设方一次性最高50万元、10万元支持。</w:t>
      </w:r>
    </w:p>
    <w:p w14:paraId="4A7A32D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鼓励各商业载体、商协会、单位或机构等主体争创各级各类示范商业功能区。培育一批集聚效应显著、基础设施完备、服务功能完善、扩消费作用明显的商贸功能区、先行区。对商业载体（业主或该商业场地实际经营者）、商协会、单位或机构（项目申报主体）等主体，近两年获评国家、省、市、区级功能区、示范点等荣誉称号的，分别给予一次性最高20万元、10万元、5万、3万支持。</w:t>
      </w:r>
    </w:p>
    <w:p w14:paraId="30919CB2">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第十二条</w:t>
      </w:r>
      <w:r>
        <w:rPr>
          <w:rFonts w:hint="eastAsia" w:ascii="Times New Roman" w:hAnsi="Times New Roman" w:eastAsia="方正仿宋简体" w:cs="Times New Roman"/>
          <w:color w:val="000000"/>
          <w:kern w:val="0"/>
          <w:sz w:val="32"/>
          <w:szCs w:val="32"/>
          <w14:ligatures w14:val="none"/>
        </w:rPr>
        <w:t>【</w:t>
      </w:r>
      <w:r>
        <w:rPr>
          <w:rFonts w:hint="eastAsia" w:ascii="Times New Roman" w:hAnsi="Times New Roman" w:eastAsia="方正仿宋简体" w:cs="Times New Roman"/>
          <w:b/>
          <w:color w:val="000000"/>
          <w:kern w:val="0"/>
          <w:sz w:val="32"/>
          <w:szCs w:val="32"/>
          <w14:ligatures w14:val="none"/>
        </w:rPr>
        <w:t>实施消费品牌传播工程，支持打造区域品牌消费活动矩阵</w:t>
      </w:r>
      <w:r>
        <w:rPr>
          <w:rFonts w:hint="eastAsia" w:ascii="Times New Roman" w:hAnsi="Times New Roman" w:eastAsia="方正仿宋简体" w:cs="Times New Roman"/>
          <w:color w:val="000000"/>
          <w:kern w:val="0"/>
          <w:sz w:val="32"/>
          <w:szCs w:val="32"/>
          <w14:ligatures w14:val="none"/>
        </w:rPr>
        <w:t>】</w:t>
      </w:r>
    </w:p>
    <w:p w14:paraId="015764A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开展多层次、多形式的各类消费促进主题活动。适时发放政府消费券；围绕贴近群众生活、需求潜力大、带动作用强的重点领域开展商旅文体健融合的系列促消费活动，不断创新消费场景，打造区域品牌消费活动矩阵。</w:t>
      </w:r>
    </w:p>
    <w:p w14:paraId="4A89621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鼓励各类市场主体参与开展消费提质惠民行动。对积极配合市、区政府主办的主题促消费活动的企业、商协会和组织机构，按照活动策划、宣传等实际发生费用30%的标准，每年给予单个主体最高10万元支持。对获得市政府专项促消费资金支持的大型促消费活动的承办企业、商协会和组织机构，按照活动举办实际发生费用30%的标准，每年给予单个主体最高100万元的区级资金配套支持。</w:t>
      </w:r>
    </w:p>
    <w:p w14:paraId="09F579A2">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第十三条【鼓励企业提升国际竞争力】</w:t>
      </w:r>
      <w:r>
        <w:rPr>
          <w:rFonts w:hint="eastAsia" w:ascii="Times New Roman" w:hAnsi="Times New Roman" w:eastAsia="方正仿宋简体" w:cs="Times New Roman"/>
          <w:color w:val="000000"/>
          <w:kern w:val="0"/>
          <w:sz w:val="32"/>
          <w:szCs w:val="32"/>
          <w14:ligatures w14:val="none"/>
        </w:rPr>
        <w:t>推动内外贸一体化发展，培育AEO高级认证企业，助力企业充分享受境内外海关通关便利化措施，提升国际竞争力。</w:t>
      </w:r>
    </w:p>
    <w:p w14:paraId="006AF00F">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（一）培育AEO高级认证企业。对当年度首次通过AEO高级认证的企业，给予最高20万元支持；对已获得AEO高级认证，复审后再次获得的，给予最高10万元支持。</w:t>
      </w:r>
    </w:p>
    <w:p w14:paraId="69D76A0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支持外贸综合服务机构发展。支持有资质、有业务流的外贸综合服务机构服务市场采购贸易方式试点专业批发市场内进出口商户（含企业、个体户等），对年度服务试点市场内进出口商户首次达到30家、50家、100家以上的机构，分别给予一次性最高10万元、20万元、30万元支持。</w:t>
      </w:r>
    </w:p>
    <w:p w14:paraId="3D8E1D2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（三）支持企业加快设立跨境电商海外仓，培育外贸竞争新优势。对被认定为国家级、省级和市级海外仓的企业，分别给予一次性最高50万元、30万元、20万元支持。</w:t>
      </w:r>
    </w:p>
    <w:p w14:paraId="16FD3E6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第十四条【支持会展业发展】</w:t>
      </w:r>
      <w:r>
        <w:rPr>
          <w:rFonts w:hint="eastAsia" w:ascii="Times New Roman" w:hAnsi="Times New Roman" w:eastAsia="方正仿宋简体" w:cs="Times New Roman"/>
          <w:color w:val="000000"/>
          <w:kern w:val="0"/>
          <w:sz w:val="32"/>
          <w:szCs w:val="32"/>
          <w14:ligatures w14:val="none"/>
        </w:rPr>
        <w:t>进一步做大做强会展业，增强会展业服务全区经济社会发展功能，结合广州各类品牌活动，大力开展会议展览、商务考察、文体旅游、消费购物等“会展+”活动，带动相关产业、区域发展。</w:t>
      </w:r>
    </w:p>
    <w:p w14:paraId="2EFCF369">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支持“会展+”品牌化发展。对规模较大、影响力较强、带动产业或区域发展效果较好，参加活动企业在50家以上或参加人数在10000人以上的“会展+”活动，活动或系列活动面积达到2000平方米-5000平方米、5000平方米-1万平方米、1万平方米以上的，分别给予活动举办方最高20万元、30万元、50万元支持。</w:t>
      </w:r>
    </w:p>
    <w:p w14:paraId="43203534">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（二）助力企业“出海”办展。对参展企业在20家以上的境外展会，展览面积达到1000平方米-2000平方米、2000平方米-5000平方米、5000平方米以上的，分别给予展览举办方最高20万元、30万元、50万元支持。</w:t>
      </w:r>
    </w:p>
    <w:p w14:paraId="3AFCB3E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同一企业不重复享受第（一）、（二）款支持，每年单个主体最高支持50万元，本条款年度支持总额不超过200万元，若超过则按照比例计算实际支持金额。</w:t>
      </w:r>
    </w:p>
    <w:p w14:paraId="794686F6">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第十五条【支持二手汽车出口贸易】</w:t>
      </w:r>
      <w:r>
        <w:rPr>
          <w:rFonts w:hint="eastAsia" w:ascii="Times New Roman" w:hAnsi="Times New Roman" w:eastAsia="方正仿宋简体" w:cs="Times New Roman"/>
          <w:color w:val="000000"/>
          <w:kern w:val="0"/>
          <w:sz w:val="32"/>
          <w:szCs w:val="32"/>
          <w14:ligatures w14:val="none"/>
        </w:rPr>
        <w:t>广泛引育二手车出口潜力企业，推动有条件的企业协同拓展二手车海外市场，扩大二手车出口高能级主体数量。</w:t>
      </w:r>
    </w:p>
    <w:p w14:paraId="7DC6958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（一）对首次通过二手车出口企业资质备案，且实际开展二手车出口业务的企业，给予单个企业一次性最高10万元支持。</w:t>
      </w:r>
    </w:p>
    <w:p w14:paraId="3C7772D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（二）对全年汽车出口达到500辆以上的二手车出口企业，在开展汽车出口业务过程中产生的转移过户、车辆整备、出口检测费用，按照当年度实际支出费用20%的标准，每年给予单个企业最高100万元支持。</w:t>
      </w:r>
    </w:p>
    <w:p w14:paraId="6E72932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第十六条【推动服务贸易创新发展】</w:t>
      </w:r>
      <w:r>
        <w:rPr>
          <w:rFonts w:hint="eastAsia" w:ascii="Times New Roman" w:hAnsi="Times New Roman" w:eastAsia="方正仿宋简体" w:cs="Times New Roman"/>
          <w:color w:val="000000"/>
          <w:kern w:val="0"/>
          <w:sz w:val="32"/>
          <w:szCs w:val="32"/>
          <w14:ligatures w14:val="none"/>
        </w:rPr>
        <w:t>培育壮大服务贸易主体，促进服务贸易高质量发展。对年度服务贸易（含离岸服务外包）业务实绩1000万美元-1亿美元且同比增长的企业给予最高30万元支持，对年度服务贸易（含离岸服务外包）业务实绩1亿美元-2亿美元的企业给予最高50万元支持，对年度服务贸易（含离岸服务外包）业务实绩2亿美元以上的企业给予最高80万元支持。</w:t>
      </w:r>
    </w:p>
    <w:p w14:paraId="3E230552">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本条款年度支持总额不超过200万元，若超过则按照比例计算实际支持金额。</w:t>
      </w:r>
    </w:p>
    <w:p w14:paraId="27FB43C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第十七条【支持高层次人才引领产业发展】</w:t>
      </w:r>
      <w:r>
        <w:rPr>
          <w:rFonts w:hint="eastAsia" w:ascii="Times New Roman" w:hAnsi="Times New Roman" w:eastAsia="方正仿宋简体" w:cs="Times New Roman"/>
          <w:color w:val="000000"/>
          <w:kern w:val="0"/>
          <w:sz w:val="32"/>
          <w:szCs w:val="32"/>
          <w14:ligatures w14:val="none"/>
        </w:rPr>
        <w:t>充分发挥人才对企业的支撑作用，通过人才激励和人才服务等方式优化产业人才生态环境，助力企业引育高层次人才。</w:t>
      </w:r>
    </w:p>
    <w:p w14:paraId="54B72633">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（一）支持企业实施人才激励。鼓励获得本措施支持的企业，将支持资金用于激励本企业高管团队、骨干人才。</w:t>
      </w:r>
    </w:p>
    <w:p w14:paraId="72329BBB">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提升人才服务保障水平。对符合条件的产业人才，给予人才落户、人才绿卡、人才公寓、子女入学、医疗保障等方面支持，具体依据《关于印发&lt;广州市天河区推动高质量发展重点人才激励办法&gt;的通知》（穗天人才发〔2024〕1号）执行落实。</w:t>
      </w:r>
    </w:p>
    <w:p w14:paraId="6E6E2571">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第十八条【支持商协会等社会组织为企业赋能增效】</w:t>
      </w:r>
      <w:r>
        <w:rPr>
          <w:rFonts w:hint="eastAsia" w:ascii="Times New Roman" w:hAnsi="Times New Roman" w:eastAsia="方正仿宋简体" w:cs="Times New Roman"/>
          <w:color w:val="000000"/>
          <w:kern w:val="0"/>
          <w:sz w:val="32"/>
          <w:szCs w:val="32"/>
          <w14:ligatures w14:val="none"/>
        </w:rPr>
        <w:t>对具有鲜明产业功能特色，有效搭建“政协企”沟通交流平台，促进天河产业协同发展、企业交流合作、本土品牌建设推广，采取企业、产业联盟的形式，成员企业（单位）超过50家的现代商贸业商协会等社会组织、机构，给予一次性最高50万元支持。</w:t>
      </w:r>
    </w:p>
    <w:p w14:paraId="544FDE01">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若同一企业同时满足本条款与本措施其他条款，则按就高不重复原则予以支持。</w:t>
      </w:r>
    </w:p>
    <w:p w14:paraId="6B6B77B6">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w:t>
      </w:r>
      <w:r>
        <w:rPr>
          <w:rFonts w:hint="eastAsia" w:ascii="Times New Roman" w:hAnsi="Times New Roman" w:eastAsia="方正仿宋简体" w:cs="Times New Roman"/>
          <w:b/>
          <w:color w:val="000000"/>
          <w:kern w:val="0"/>
          <w:sz w:val="32"/>
          <w:szCs w:val="32"/>
          <w14:ligatures w14:val="none"/>
        </w:rPr>
        <w:t>第十九条 附则</w:t>
      </w:r>
    </w:p>
    <w:p w14:paraId="0AB34F0B">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一）本措施适用于批发、零售、住宿、餐饮企业，以及相关商协会、运营机构等。本措施所支持的现代商贸业企业以《国民经济行业分类(2017年版)》分类为标准，“新增限上”所指标准以国家统计局发布的相关规定为准。</w:t>
      </w:r>
    </w:p>
    <w:p w14:paraId="7ABAADF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（二）本措施所指批发、零售、住宿、餐饮企业的“年度规模”，依照相关国家法律、行政法规进行计算。</w:t>
      </w:r>
    </w:p>
    <w:p w14:paraId="673F0399">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三）本措施涉及财政支持资金由区政府统筹安排，涉及奖补比例和限额均为上限，实际奖补比例和金额受年度资金预算总量控制。符合本措施规定的同一项目、事项同时符合天河区其他支持政策措施规定的（含上级部门要求区级配套或负担资金的规定），按照同级财政、同类事项就高不重复的原则予以支持，另有规定的除外。</w:t>
      </w:r>
    </w:p>
    <w:p w14:paraId="65ECE6A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（四）本措施提到的货币单位，未作注明的均以人民币计算。涉及“以上”“最高”“不超过”的数额含本数，涉及“以内”不包含本数。数额区间的下区间包含本数，上区间不包含本数。</w:t>
      </w:r>
    </w:p>
    <w:p w14:paraId="214D1207">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（五）对于第二条第（二）款、第五条第（二）款、第十三条第（二）款的支持，同一企业在本措施有效期内达到2个以上支持档次的，以补差额的方式按最高档次给予支持。</w:t>
      </w:r>
    </w:p>
    <w:p w14:paraId="2083A490">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（六）获得支持的涉税支出由企业或个人承担。</w:t>
      </w:r>
    </w:p>
    <w:p w14:paraId="7AFD9A7E">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（七）相关申报指南和操作指引另行制定。</w:t>
      </w:r>
    </w:p>
    <w:p w14:paraId="30523692">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（八）有下列情形之一的，不予资金支持：获支持年度被列入严重失信主体名单；获支持年度被公安机关查处或政策兑现时仍处于刑事立案侦查阶段的；申报或佐证材料弄虚作假的。</w:t>
      </w:r>
    </w:p>
    <w:p w14:paraId="517415C5">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九）本措施自公布之后30日起施行，有效期至2026年12月31日。本措施有效期届满而相关支持资金应当支付但未支付完毕的，应当继续执行直至全部支付完毕。因不可抗力或上级法律法规、规章及政策调整导致本措施与上级规定不一致的，本措施相应条款不再执行。</w:t>
      </w:r>
    </w:p>
    <w:p w14:paraId="09AB7268">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（十）本措施由广州市天河区商务局负责解释。</w:t>
      </w:r>
    </w:p>
    <w:p w14:paraId="105E9D5C">
      <w:pPr>
        <w:shd w:val="clear" w:color="auto" w:fill="FFFFFF"/>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公开方式：主动公开</w:t>
      </w:r>
    </w:p>
    <w:p w14:paraId="18A797EE">
      <w:pPr>
        <w:shd w:val="clear" w:color="auto" w:fill="FFFFFF"/>
        <w:jc w:val="left"/>
        <w:textAlignment w:val="baseline"/>
        <w:rPr>
          <w:rFonts w:ascii="Times New Roman" w:hAnsi="Times New Roman" w:eastAsia="方正仿宋简体" w:cs="Times New Roman"/>
          <w:color w:val="000000"/>
          <w:kern w:val="0"/>
          <w:sz w:val="32"/>
          <w:szCs w:val="32"/>
          <w14:ligatures w14:val="none"/>
        </w:rPr>
      </w:pPr>
      <w:r>
        <w:rPr>
          <w:rFonts w:hint="eastAsia" w:ascii="Times New Roman" w:hAnsi="Times New Roman" w:eastAsia="方正仿宋简体" w:cs="Times New Roman"/>
          <w:color w:val="000000"/>
          <w:kern w:val="0"/>
          <w:sz w:val="32"/>
          <w:szCs w:val="32"/>
          <w14:ligatures w14:val="none"/>
        </w:rPr>
        <w:t>　　广州市天河区商务局办公室    2025年2月6日印发</w:t>
      </w:r>
    </w:p>
    <w:p w14:paraId="70237230">
      <w:pPr>
        <w:rPr>
          <w:rFonts w:hint="eastAsia" w:ascii="Times New Roman" w:hAnsi="Times New Roman" w:eastAsia="方正仿宋简体" w:cs="Times New Roman"/>
          <w:color w:val="000000"/>
          <w:sz w:val="32"/>
          <w:szCs w:val="32"/>
          <w14:ligatures w14:val="standardContextual"/>
        </w:rPr>
      </w:pPr>
    </w:p>
    <w:p w14:paraId="429A4D14">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关于印发《闵行区推动数字广告产业高质量发展的政策意见》的通知</w:t>
      </w:r>
    </w:p>
    <w:p w14:paraId="0370EA12">
      <w:pPr>
        <w:bidi w:val="0"/>
        <w:rPr>
          <w:rFonts w:hint="eastAsia" w:ascii="Calibri" w:hAnsi="Calibri" w:eastAsia="宋体" w:cs="Times New Roman"/>
          <w:kern w:val="2"/>
          <w:sz w:val="21"/>
          <w:szCs w:val="24"/>
          <w:lang w:val="en-US" w:eastAsia="zh-CN" w:bidi="ar-SA"/>
        </w:rPr>
      </w:pPr>
    </w:p>
    <w:p w14:paraId="1C44EB09">
      <w:pPr>
        <w:bidi w:val="0"/>
        <w:rPr>
          <w:rFonts w:hint="eastAsia" w:ascii="Calibri" w:hAnsi="Calibri" w:eastAsia="宋体" w:cs="Times New Roman"/>
          <w:lang w:val="en-US" w:eastAsia="zh-CN"/>
        </w:rPr>
      </w:pPr>
    </w:p>
    <w:p w14:paraId="325BBE5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b w:val="0"/>
          <w:bCs w:val="0"/>
          <w:color w:val="000000"/>
          <w:sz w:val="32"/>
          <w:szCs w:val="32"/>
          <w:lang w:val="en-US" w:eastAsia="zh-CN"/>
        </w:rPr>
      </w:pPr>
      <w:r>
        <w:rPr>
          <w:rFonts w:hint="eastAsia" w:ascii="方正仿宋简体" w:hAnsi="方正仿宋简体" w:eastAsia="方正仿宋简体" w:cs="方正仿宋简体"/>
          <w:b w:val="0"/>
          <w:bCs w:val="0"/>
          <w:color w:val="000000"/>
          <w:sz w:val="32"/>
          <w:szCs w:val="32"/>
          <w:lang w:val="en-US" w:eastAsia="zh-CN"/>
        </w:rPr>
        <w:t>各有关单位：</w:t>
      </w:r>
    </w:p>
    <w:p w14:paraId="48B90B7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b w:val="0"/>
          <w:bCs w:val="0"/>
          <w:color w:val="000000"/>
          <w:sz w:val="32"/>
          <w:szCs w:val="32"/>
          <w:lang w:val="en-US" w:eastAsia="zh-CN"/>
        </w:rPr>
      </w:pPr>
      <w:r>
        <w:rPr>
          <w:rFonts w:hint="eastAsia" w:ascii="方正仿宋简体" w:hAnsi="方正仿宋简体" w:eastAsia="方正仿宋简体" w:cs="方正仿宋简体"/>
          <w:b w:val="0"/>
          <w:bCs w:val="0"/>
          <w:color w:val="000000"/>
          <w:sz w:val="32"/>
          <w:szCs w:val="32"/>
          <w:lang w:val="en-US" w:eastAsia="zh-CN"/>
        </w:rPr>
        <w:t>《闵行区推动数字广告产业高质量发展的政策意见》已经闵行区人民政府第</w:t>
      </w:r>
      <w:r>
        <w:rPr>
          <w:rFonts w:hint="default" w:ascii="Times New Roman" w:hAnsi="Times New Roman" w:eastAsia="方正仿宋简体" w:cs="Times New Roman"/>
          <w:b w:val="0"/>
          <w:bCs w:val="0"/>
          <w:color w:val="000000"/>
          <w:sz w:val="32"/>
          <w:szCs w:val="32"/>
          <w:lang w:val="en-US" w:eastAsia="zh-CN"/>
        </w:rPr>
        <w:t>87</w:t>
      </w:r>
      <w:r>
        <w:rPr>
          <w:rFonts w:hint="eastAsia" w:ascii="方正仿宋简体" w:hAnsi="方正仿宋简体" w:eastAsia="方正仿宋简体" w:cs="方正仿宋简体"/>
          <w:b w:val="0"/>
          <w:bCs w:val="0"/>
          <w:color w:val="000000"/>
          <w:sz w:val="32"/>
          <w:szCs w:val="32"/>
          <w:lang w:val="en-US" w:eastAsia="zh-CN"/>
        </w:rPr>
        <w:t>次常务会议审议通过，现印发给你们，请遵照执行。</w:t>
      </w:r>
    </w:p>
    <w:p w14:paraId="2FA74C4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b w:val="0"/>
          <w:bCs w:val="0"/>
          <w:color w:val="000000"/>
          <w:sz w:val="32"/>
          <w:szCs w:val="32"/>
          <w:lang w:val="en-US" w:eastAsia="zh-CN"/>
        </w:rPr>
      </w:pPr>
      <w:r>
        <w:rPr>
          <w:rFonts w:hint="eastAsia" w:ascii="方正仿宋简体" w:hAnsi="方正仿宋简体" w:eastAsia="方正仿宋简体" w:cs="方正仿宋简体"/>
          <w:b w:val="0"/>
          <w:bCs w:val="0"/>
          <w:color w:val="000000"/>
          <w:sz w:val="32"/>
          <w:szCs w:val="32"/>
          <w:lang w:val="en-US" w:eastAsia="zh-CN"/>
        </w:rPr>
        <w:t>特此通知。</w:t>
      </w:r>
    </w:p>
    <w:p w14:paraId="0C851451">
      <w:pPr>
        <w:bidi w:val="0"/>
        <w:rPr>
          <w:rFonts w:hint="eastAsia" w:ascii="Calibri" w:hAnsi="Calibri" w:eastAsia="宋体" w:cs="Times New Roman"/>
          <w:kern w:val="2"/>
          <w:sz w:val="21"/>
          <w:szCs w:val="24"/>
          <w:lang w:val="en-US" w:eastAsia="zh-CN" w:bidi="ar-SA"/>
        </w:rPr>
      </w:pPr>
    </w:p>
    <w:p w14:paraId="46F3323D">
      <w:pPr>
        <w:bidi w:val="0"/>
        <w:rPr>
          <w:rFonts w:hint="eastAsia" w:ascii="Calibri" w:hAnsi="Calibri" w:eastAsia="宋体" w:cs="Times New Roman"/>
          <w:lang w:val="en-US" w:eastAsia="zh-CN"/>
        </w:rPr>
      </w:pPr>
    </w:p>
    <w:p w14:paraId="76E9273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b w:val="0"/>
          <w:bCs w:val="0"/>
          <w:color w:val="000000"/>
          <w:sz w:val="32"/>
          <w:szCs w:val="32"/>
          <w:lang w:val="en-US" w:eastAsia="zh-CN"/>
        </w:rPr>
      </w:pPr>
      <w:r>
        <w:rPr>
          <w:rFonts w:hint="eastAsia" w:ascii="方正仿宋简体" w:hAnsi="方正仿宋简体" w:eastAsia="方正仿宋简体" w:cs="方正仿宋简体"/>
          <w:b w:val="0"/>
          <w:bCs w:val="0"/>
          <w:color w:val="000000"/>
          <w:sz w:val="32"/>
          <w:szCs w:val="32"/>
          <w:lang w:val="en-US" w:eastAsia="zh-CN"/>
        </w:rPr>
        <w:t>上海市闵行区市场监督管理局中共上海市闵行区委宣传部</w:t>
      </w:r>
    </w:p>
    <w:p w14:paraId="71260B17">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b w:val="0"/>
          <w:bCs w:val="0"/>
          <w:color w:val="000000"/>
          <w:sz w:val="32"/>
          <w:szCs w:val="32"/>
          <w:lang w:val="en-US" w:eastAsia="zh-CN"/>
        </w:rPr>
      </w:pPr>
      <w:r>
        <w:rPr>
          <w:rFonts w:hint="eastAsia" w:ascii="方正仿宋简体" w:hAnsi="方正仿宋简体" w:eastAsia="方正仿宋简体" w:cs="方正仿宋简体"/>
          <w:b w:val="0"/>
          <w:bCs w:val="0"/>
          <w:color w:val="000000"/>
          <w:sz w:val="32"/>
          <w:szCs w:val="32"/>
          <w:lang w:val="en-US" w:eastAsia="zh-CN"/>
        </w:rPr>
        <w:t>上海市闵行区商务委员会上海市闵行区财政局</w:t>
      </w:r>
    </w:p>
    <w:p w14:paraId="2CDEEE51">
      <w:pPr>
        <w:bidi w:val="0"/>
        <w:rPr>
          <w:rFonts w:hint="eastAsia" w:ascii="Calibri" w:hAnsi="Calibri" w:eastAsia="宋体" w:cs="Times New Roman"/>
          <w:kern w:val="2"/>
          <w:sz w:val="21"/>
          <w:szCs w:val="24"/>
          <w:lang w:val="en-US" w:eastAsia="zh-CN" w:bidi="ar-SA"/>
        </w:rPr>
      </w:pPr>
    </w:p>
    <w:p w14:paraId="59CCEDBF">
      <w:pPr>
        <w:bidi w:val="0"/>
        <w:rPr>
          <w:rFonts w:hint="eastAsia" w:ascii="Calibri" w:hAnsi="Calibri" w:eastAsia="宋体" w:cs="Times New Roman"/>
          <w:lang w:val="en-US" w:eastAsia="zh-CN"/>
        </w:rPr>
      </w:pPr>
    </w:p>
    <w:p w14:paraId="35DC77B4">
      <w:pPr>
        <w:bidi w:val="0"/>
        <w:rPr>
          <w:rFonts w:hint="eastAsia" w:ascii="Calibri" w:hAnsi="Calibri" w:eastAsia="宋体" w:cs="Times New Roman"/>
          <w:lang w:val="en-US" w:eastAsia="zh-CN"/>
        </w:rPr>
      </w:pPr>
    </w:p>
    <w:p w14:paraId="583ED87B">
      <w:pPr>
        <w:bidi w:val="0"/>
        <w:rPr>
          <w:rFonts w:hint="eastAsia" w:ascii="Calibri" w:hAnsi="Calibri" w:eastAsia="宋体" w:cs="Times New Roman"/>
          <w:lang w:val="en-US" w:eastAsia="zh-CN"/>
        </w:rPr>
      </w:pPr>
    </w:p>
    <w:p w14:paraId="720C658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b w:val="0"/>
          <w:bCs w:val="0"/>
          <w:color w:val="000000"/>
          <w:sz w:val="32"/>
          <w:szCs w:val="32"/>
          <w:lang w:val="en-US" w:eastAsia="zh-CN"/>
        </w:rPr>
      </w:pPr>
    </w:p>
    <w:p w14:paraId="414C02D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right"/>
        <w:textAlignment w:val="auto"/>
        <w:rPr>
          <w:rFonts w:hint="eastAsia" w:ascii="方正仿宋简体" w:hAnsi="方正仿宋简体" w:eastAsia="方正仿宋简体" w:cs="方正仿宋简体"/>
          <w:b w:val="0"/>
          <w:bCs w:val="0"/>
          <w:color w:val="000000"/>
          <w:sz w:val="32"/>
          <w:szCs w:val="32"/>
          <w:lang w:val="en-US" w:eastAsia="zh-CN"/>
        </w:rPr>
      </w:pPr>
      <w:r>
        <w:rPr>
          <w:rFonts w:hint="default" w:ascii="Times New Roman" w:hAnsi="Times New Roman" w:eastAsia="方正仿宋简体" w:cs="Times New Roman"/>
          <w:b w:val="0"/>
          <w:bCs w:val="0"/>
          <w:color w:val="000000"/>
          <w:sz w:val="32"/>
          <w:szCs w:val="32"/>
          <w:lang w:val="en-US" w:eastAsia="zh-CN"/>
        </w:rPr>
        <w:t>2024</w:t>
      </w:r>
      <w:r>
        <w:rPr>
          <w:rFonts w:hint="eastAsia" w:ascii="方正仿宋简体" w:hAnsi="方正仿宋简体" w:eastAsia="方正仿宋简体" w:cs="方正仿宋简体"/>
          <w:b w:val="0"/>
          <w:bCs w:val="0"/>
          <w:color w:val="000000"/>
          <w:sz w:val="32"/>
          <w:szCs w:val="32"/>
          <w:lang w:val="en-US" w:eastAsia="zh-CN"/>
        </w:rPr>
        <w:t>年</w:t>
      </w:r>
      <w:r>
        <w:rPr>
          <w:rFonts w:hint="eastAsia" w:ascii="Times New Roman" w:hAnsi="Times New Roman" w:eastAsia="方正仿宋简体" w:cs="Times New Roman"/>
          <w:b w:val="0"/>
          <w:bCs w:val="0"/>
          <w:color w:val="000000"/>
          <w:sz w:val="32"/>
          <w:szCs w:val="32"/>
          <w:lang w:val="en-US" w:eastAsia="zh-CN"/>
        </w:rPr>
        <w:t>11</w:t>
      </w:r>
      <w:r>
        <w:rPr>
          <w:rFonts w:hint="eastAsia" w:ascii="方正仿宋简体" w:hAnsi="方正仿宋简体" w:eastAsia="方正仿宋简体" w:cs="方正仿宋简体"/>
          <w:b w:val="0"/>
          <w:bCs w:val="0"/>
          <w:color w:val="000000"/>
          <w:sz w:val="32"/>
          <w:szCs w:val="32"/>
          <w:lang w:val="en-US" w:eastAsia="zh-CN"/>
        </w:rPr>
        <w:t>月</w:t>
      </w:r>
      <w:r>
        <w:rPr>
          <w:rFonts w:hint="eastAsia" w:ascii="Times New Roman" w:hAnsi="Times New Roman" w:eastAsia="方正仿宋简体" w:cs="Times New Roman"/>
          <w:b w:val="0"/>
          <w:bCs w:val="0"/>
          <w:color w:val="000000"/>
          <w:sz w:val="32"/>
          <w:szCs w:val="32"/>
          <w:lang w:val="en-US" w:eastAsia="zh-CN"/>
        </w:rPr>
        <w:t>20</w:t>
      </w:r>
      <w:r>
        <w:rPr>
          <w:rFonts w:hint="eastAsia" w:ascii="方正仿宋简体" w:hAnsi="方正仿宋简体" w:eastAsia="方正仿宋简体" w:cs="方正仿宋简体"/>
          <w:b w:val="0"/>
          <w:bCs w:val="0"/>
          <w:color w:val="000000"/>
          <w:sz w:val="32"/>
          <w:szCs w:val="32"/>
          <w:lang w:val="en-US" w:eastAsia="zh-CN"/>
        </w:rPr>
        <w:t>日</w:t>
      </w:r>
    </w:p>
    <w:p w14:paraId="49459127">
      <w:pPr>
        <w:bidi w:val="0"/>
        <w:rPr>
          <w:rFonts w:hint="eastAsia" w:ascii="Calibri" w:hAnsi="Calibri" w:eastAsia="宋体" w:cs="Times New Roman"/>
          <w:kern w:val="2"/>
          <w:sz w:val="21"/>
          <w:szCs w:val="24"/>
          <w:lang w:val="en-US" w:eastAsia="zh-CN" w:bidi="ar-SA"/>
        </w:rPr>
      </w:pPr>
    </w:p>
    <w:p w14:paraId="229C0672">
      <w:pPr>
        <w:bidi w:val="0"/>
        <w:rPr>
          <w:rFonts w:hint="eastAsia" w:ascii="Calibri" w:hAnsi="Calibri" w:eastAsia="宋体" w:cs="Times New Roman"/>
          <w:lang w:val="en-US" w:eastAsia="zh-CN"/>
        </w:rPr>
      </w:pPr>
    </w:p>
    <w:p w14:paraId="71617AE8">
      <w:pPr>
        <w:bidi w:val="0"/>
        <w:rPr>
          <w:rFonts w:hint="eastAsia" w:ascii="Calibri" w:hAnsi="Calibri" w:eastAsia="宋体" w:cs="Times New Roman"/>
          <w:lang w:val="en-US" w:eastAsia="zh-CN"/>
        </w:rPr>
      </w:pPr>
    </w:p>
    <w:p w14:paraId="056AEA35">
      <w:pPr>
        <w:bidi w:val="0"/>
        <w:rPr>
          <w:rFonts w:hint="eastAsia" w:ascii="Calibri" w:hAnsi="Calibri" w:eastAsia="宋体" w:cs="Times New Roman"/>
          <w:lang w:val="en-US" w:eastAsia="zh-CN"/>
        </w:rPr>
      </w:pPr>
    </w:p>
    <w:p w14:paraId="61FA2833">
      <w:pPr>
        <w:bidi w:val="0"/>
        <w:rPr>
          <w:rFonts w:hint="eastAsia" w:ascii="Calibri" w:hAnsi="Calibri" w:eastAsia="宋体" w:cs="Times New Roman"/>
          <w:lang w:val="en-US" w:eastAsia="zh-CN"/>
        </w:rPr>
      </w:pPr>
    </w:p>
    <w:p w14:paraId="7218E58A">
      <w:pPr>
        <w:bidi w:val="0"/>
        <w:rPr>
          <w:rFonts w:hint="eastAsia" w:ascii="Calibri" w:hAnsi="Calibri" w:eastAsia="宋体" w:cs="Times New Roman"/>
          <w:lang w:val="en-US" w:eastAsia="zh-CN"/>
        </w:rPr>
      </w:pPr>
    </w:p>
    <w:p w14:paraId="68F36B2C">
      <w:pPr>
        <w:bidi w:val="0"/>
        <w:rPr>
          <w:rFonts w:hint="eastAsia" w:ascii="Calibri" w:hAnsi="Calibri" w:eastAsia="宋体" w:cs="Times New Roman"/>
          <w:lang w:val="en-US" w:eastAsia="zh-CN"/>
        </w:rPr>
      </w:pPr>
    </w:p>
    <w:p w14:paraId="4B140799">
      <w:pPr>
        <w:bidi w:val="0"/>
        <w:rPr>
          <w:rFonts w:hint="eastAsia" w:ascii="Calibri" w:hAnsi="Calibri" w:eastAsia="宋体" w:cs="Times New Roman"/>
          <w:lang w:val="en-US" w:eastAsia="zh-CN"/>
        </w:rPr>
      </w:pPr>
    </w:p>
    <w:p w14:paraId="5E8A04B7">
      <w:pPr>
        <w:bidi w:val="0"/>
        <w:rPr>
          <w:rFonts w:hint="eastAsia" w:ascii="Calibri" w:hAnsi="Calibri" w:eastAsia="宋体" w:cs="Times New Roman"/>
          <w:lang w:val="en-US" w:eastAsia="zh-CN"/>
        </w:rPr>
      </w:pPr>
    </w:p>
    <w:p w14:paraId="5EB0DA67">
      <w:pPr>
        <w:tabs>
          <w:tab w:val="left" w:pos="2095"/>
        </w:tabs>
        <w:bidi w:val="0"/>
        <w:jc w:val="left"/>
        <w:rPr>
          <w:rFonts w:hint="eastAsia" w:ascii="Calibri" w:hAnsi="Calibri" w:eastAsia="宋体" w:cs="Times New Roman"/>
          <w:lang w:val="en-US" w:eastAsia="zh-CN"/>
        </w:rPr>
      </w:pPr>
      <w:r>
        <w:rPr>
          <w:rFonts w:hint="eastAsia" w:ascii="Calibri" w:hAnsi="Calibri" w:eastAsia="宋体" w:cs="Times New Roman"/>
          <w:lang w:val="en-US" w:eastAsia="zh-CN"/>
        </w:rPr>
        <w:tab/>
      </w:r>
    </w:p>
    <w:p w14:paraId="30E978EE">
      <w:pPr>
        <w:tabs>
          <w:tab w:val="left" w:pos="2095"/>
        </w:tabs>
        <w:bidi w:val="0"/>
        <w:jc w:val="left"/>
        <w:rPr>
          <w:rFonts w:hint="eastAsia" w:ascii="Calibri" w:hAnsi="Calibri" w:eastAsia="宋体" w:cs="Times New Roman"/>
          <w:lang w:val="en-US" w:eastAsia="zh-CN"/>
        </w:rPr>
      </w:pPr>
    </w:p>
    <w:p w14:paraId="571DE10F">
      <w:pPr>
        <w:tabs>
          <w:tab w:val="left" w:pos="2095"/>
        </w:tabs>
        <w:bidi w:val="0"/>
        <w:jc w:val="left"/>
        <w:rPr>
          <w:rFonts w:hint="eastAsia" w:ascii="Calibri" w:hAnsi="Calibri" w:eastAsia="宋体" w:cs="Times New Roman"/>
          <w:lang w:val="en-US" w:eastAsia="zh-CN"/>
        </w:rPr>
      </w:pPr>
    </w:p>
    <w:p w14:paraId="5485DF3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闵行区推动数字广告产业高质量</w:t>
      </w:r>
    </w:p>
    <w:p w14:paraId="15F6D7F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发展的政策意见</w:t>
      </w:r>
    </w:p>
    <w:p w14:paraId="0AB7C43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jc w:val="left"/>
        <w:textAlignment w:val="auto"/>
        <w:rPr>
          <w:rFonts w:hint="eastAsia" w:ascii="Times New Roman" w:hAnsi="Times New Roman" w:eastAsia="方正仿宋简体" w:cs="Times New Roman"/>
          <w:b w:val="0"/>
          <w:bCs w:val="0"/>
          <w:color w:val="000000"/>
          <w:sz w:val="32"/>
          <w:szCs w:val="32"/>
          <w:lang w:val="en-US" w:eastAsia="zh-CN"/>
        </w:rPr>
      </w:pPr>
    </w:p>
    <w:p w14:paraId="746E3A13">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为贯彻落实《上海广告产业发展“十四五”规划》和《推动上海数字广告高质量发展指导意见》等文件精神,推动闵行区数字广告产业高质量发展，提升城市服务能级，助力闵行现代化主城区建设，结合本区实际，制定本意见。</w:t>
      </w:r>
    </w:p>
    <w:p w14:paraId="19C9919B">
      <w:pPr>
        <w:bidi w:val="0"/>
        <w:rPr>
          <w:rFonts w:hint="eastAsia" w:ascii="Calibri" w:hAnsi="Calibri" w:eastAsia="宋体" w:cs="Times New Roman"/>
          <w:kern w:val="2"/>
          <w:sz w:val="21"/>
          <w:szCs w:val="24"/>
          <w:lang w:val="en-US" w:eastAsia="zh-CN" w:bidi="ar-SA"/>
        </w:rPr>
      </w:pPr>
    </w:p>
    <w:p w14:paraId="2C4C53A6">
      <w:pPr>
        <w:bidi w:val="0"/>
        <w:rPr>
          <w:rFonts w:hint="eastAsia" w:ascii="Calibri" w:hAnsi="Calibri" w:eastAsia="宋体" w:cs="Times New Roman"/>
          <w:lang w:val="en-US" w:eastAsia="zh-CN"/>
        </w:rPr>
      </w:pPr>
    </w:p>
    <w:p w14:paraId="593B988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方正黑体简体" w:hAnsi="方正黑体简体" w:eastAsia="方正黑体简体" w:cs="方正黑体简体"/>
          <w:b w:val="0"/>
          <w:bCs/>
          <w:kern w:val="2"/>
          <w:sz w:val="32"/>
          <w:szCs w:val="32"/>
          <w:lang w:val="en-US" w:eastAsia="zh-CN" w:bidi="ar-SA"/>
        </w:rPr>
        <w:t>一、支持对象</w:t>
      </w:r>
    </w:p>
    <w:p w14:paraId="772CDA2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Calibri" w:hAnsi="Calibri" w:eastAsia="宋体" w:cs="Times New Roman"/>
          <w:kern w:val="2"/>
          <w:sz w:val="21"/>
          <w:szCs w:val="24"/>
          <w:lang w:val="en-US" w:eastAsia="zh-CN" w:bidi="ar-SA"/>
        </w:rPr>
      </w:pPr>
      <w:r>
        <w:rPr>
          <w:rFonts w:hint="eastAsia" w:ascii="Times New Roman" w:hAnsi="Times New Roman" w:eastAsia="方正仿宋简体" w:cs="Times New Roman"/>
          <w:b w:val="0"/>
          <w:bCs w:val="0"/>
          <w:color w:val="000000"/>
          <w:sz w:val="32"/>
          <w:szCs w:val="32"/>
          <w:lang w:val="en-US" w:eastAsia="zh-CN"/>
        </w:rPr>
        <w:tab/>
      </w:r>
      <w:r>
        <w:rPr>
          <w:rFonts w:hint="eastAsia" w:ascii="Times New Roman" w:hAnsi="Times New Roman" w:eastAsia="方正仿宋简体" w:cs="Times New Roman"/>
          <w:b w:val="0"/>
          <w:bCs w:val="0"/>
          <w:color w:val="000000"/>
          <w:sz w:val="32"/>
          <w:szCs w:val="32"/>
          <w:lang w:val="en-US" w:eastAsia="zh-CN"/>
        </w:rPr>
        <w:t>本政策适用于依法成立，财务管理制度健全和信用良好，符合数字广告产业发展方向的企业以及经认定后可列入支持范围的项目和活动。</w:t>
      </w:r>
    </w:p>
    <w:p w14:paraId="245CD0C6">
      <w:pPr>
        <w:tabs>
          <w:tab w:val="left" w:pos="790"/>
        </w:tabs>
        <w:bidi w:val="0"/>
        <w:jc w:val="left"/>
        <w:rPr>
          <w:rFonts w:hint="eastAsia" w:ascii="方正黑体简体" w:hAnsi="方正黑体简体" w:eastAsia="方正黑体简体" w:cs="方正黑体简体"/>
          <w:b w:val="0"/>
          <w:bCs/>
          <w:kern w:val="2"/>
          <w:sz w:val="32"/>
          <w:szCs w:val="32"/>
          <w:lang w:val="en-US" w:eastAsia="zh-CN" w:bidi="ar-SA"/>
        </w:rPr>
      </w:pPr>
      <w:r>
        <w:rPr>
          <w:rFonts w:hint="eastAsia" w:ascii="Calibri" w:hAnsi="Calibri" w:eastAsia="宋体" w:cs="Times New Roman"/>
          <w:lang w:val="en-US" w:eastAsia="zh-CN"/>
        </w:rPr>
        <w:tab/>
      </w:r>
      <w:r>
        <w:rPr>
          <w:rFonts w:hint="eastAsia" w:ascii="方正黑体简体" w:hAnsi="方正黑体简体" w:eastAsia="方正黑体简体" w:cs="方正黑体简体"/>
          <w:b w:val="0"/>
          <w:bCs/>
          <w:kern w:val="2"/>
          <w:sz w:val="32"/>
          <w:szCs w:val="32"/>
          <w:lang w:val="en-US" w:eastAsia="zh-CN" w:bidi="ar-SA"/>
        </w:rPr>
        <w:t>二、支持内容</w:t>
      </w:r>
    </w:p>
    <w:p w14:paraId="2BF0DFC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方正楷体简体" w:hAnsi="方正楷体简体" w:eastAsia="方正楷体简体" w:cs="方正楷体简体"/>
          <w:b/>
          <w:bCs/>
          <w:kern w:val="2"/>
          <w:sz w:val="32"/>
          <w:szCs w:val="32"/>
          <w:lang w:val="en-US" w:eastAsia="zh-CN" w:bidi="ar-SA"/>
        </w:rPr>
        <w:t>（一）支持数字广告品牌标准建设和知识产权创造</w:t>
      </w:r>
    </w:p>
    <w:p w14:paraId="6401AE7E">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对获得上海市市长质量奖的单位，一次性给予50万元资助；对获得上海市市长质量奖的个人，一次性给予2万元资助。对获得上海市质量金奖的单位，一次性给予25万元资助；对获得上海市质量金奖的个人，一次性给予2万元资助。（责任部门：区市场监管局）</w:t>
      </w:r>
    </w:p>
    <w:p w14:paraId="12FF162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2.对获得“上海品牌”认证的单位，一次性给予30万元资助。有效期满复评成功的，每期给予8万元资助。（责任部门：区市场监管局）</w:t>
      </w:r>
    </w:p>
    <w:p w14:paraId="1BC5DC4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3.支持广告企业申请专利，鼓励有一定知识产权基础的广告企业申报世界知识产权组织（WIPO）全球奖，并对获得该奖项的单位给予一次性20万元的资助。（责任部门：区市场监管局）</w:t>
      </w:r>
    </w:p>
    <w:p w14:paraId="2E35A31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4.鼓励数字广告企业积极参与行业内公认的、有影响力的国际级、国家级、省级（本市）广告奖项的评选。（责任部门：区市场监管局）</w:t>
      </w:r>
    </w:p>
    <w:p w14:paraId="6D6E993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Calibri" w:hAnsi="Calibri" w:eastAsia="宋体" w:cs="Times New Roman"/>
          <w:kern w:val="2"/>
          <w:sz w:val="21"/>
          <w:szCs w:val="24"/>
          <w:lang w:val="en-US" w:eastAsia="zh-CN" w:bidi="ar-SA"/>
        </w:rPr>
      </w:pPr>
      <w:r>
        <w:rPr>
          <w:rFonts w:hint="eastAsia" w:ascii="方正楷体简体" w:hAnsi="方正楷体简体" w:eastAsia="方正楷体简体" w:cs="方正楷体简体"/>
          <w:b/>
          <w:bCs/>
          <w:kern w:val="2"/>
          <w:sz w:val="32"/>
          <w:szCs w:val="32"/>
          <w:lang w:val="en-US" w:eastAsia="zh-CN" w:bidi="ar-SA"/>
        </w:rPr>
        <w:t>（二）支持数字广告发展新业态</w:t>
      </w:r>
    </w:p>
    <w:p w14:paraId="2120887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5.重点支持兼具社会效益与经济效益、具有良好发展前景、行业引领、导向意义、自主创新能力的在建类数字广告产业项目，主要包括数字广告领域的平台建设类、新技术应用类、知识产权开发保护和利用类、应用和赋能类、成果展示推介和交流类、人才队伍建设类等。（责任部门：区委宣传部）</w:t>
      </w:r>
    </w:p>
    <w:p w14:paraId="6F5EA5F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（1）对数字广告领域内获得市级文化创意产业发展财政扶持资金扶持项目，按市级政策规定比例给予区级资金配套扶持，且最高不超过300万元。</w:t>
      </w:r>
    </w:p>
    <w:p w14:paraId="65D4F60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（2）对数字广告领域内获得区级文化创意产业发展财政扶持资金扶持项目，扶持资金比例不超过总投资的25%，且最高不超过100万元。</w:t>
      </w:r>
    </w:p>
    <w:p w14:paraId="62995B5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6.扶持广告企业在元宇宙、区块链、人工智能、数字时尚产品、数字广告等新领域、新赛道中实施技术应用、场景搭建、内容开发、平台构建、产业融合等项目，经认定，扶持资金比例不超过总投资的30%，且最高不超过200万元。（责任部门：区委宣传部）</w:t>
      </w:r>
    </w:p>
    <w:p w14:paraId="0564BF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7.对区域发展有重大贡献，对行业发展具有重要引领性的项目，经认定，扶持资金比例不超过总投资的30%，且最高不超过300万元。（责任部门：区委宣传部）</w:t>
      </w:r>
    </w:p>
    <w:p w14:paraId="1F57890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kern w:val="2"/>
          <w:sz w:val="32"/>
          <w:szCs w:val="32"/>
          <w:lang w:val="en-US" w:eastAsia="zh-CN" w:bidi="ar-SA"/>
        </w:rPr>
      </w:pPr>
      <w:r>
        <w:rPr>
          <w:rFonts w:hint="eastAsia" w:ascii="方正楷体简体" w:hAnsi="方正楷体简体" w:eastAsia="方正楷体简体" w:cs="方正楷体简体"/>
          <w:b/>
          <w:bCs/>
          <w:kern w:val="2"/>
          <w:sz w:val="32"/>
          <w:szCs w:val="32"/>
          <w:lang w:val="en-US" w:eastAsia="zh-CN" w:bidi="ar-SA"/>
        </w:rPr>
        <w:t>（三）促进数字广告产业集聚发展</w:t>
      </w:r>
    </w:p>
    <w:p w14:paraId="1FA0D31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8.支持数字广告产业园区和集聚区建设。鼓励数字广告创业创新示范基地建设，打造广告产业“众创空间”。鼓励广告园区积极参评市级、国家级广告产业园区。探索建设数字广告产业集聚区，加强产业协作，培育数字广告新业态。（责任部门：区市场监管局）</w:t>
      </w:r>
    </w:p>
    <w:p w14:paraId="5AF2936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9.支持符合条件的数字广告企业采取集中登记模式办理注册登记。数字广告企业在满足日常经营所需的前提下，可以通过集中登记模式办理注册登记，进一步降低创业成本，激发市场主体活力。（责任部门：区市场监管局）</w:t>
      </w:r>
    </w:p>
    <w:p w14:paraId="4D49DE1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10.对获得市、区两级认定的以数字广告企业为主导的文化创意产业园区、示范楼宇和空间，给予相应的资金支持。（责任部门：区委宣传部）</w:t>
      </w:r>
    </w:p>
    <w:p w14:paraId="7DD5C67F">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11.鼓励数字广告领域跨国公司地区总部集聚业务、拓展功能、提升能级，对新引进或新认定的上海市数字广告领域的跨国企业地区总部、事业部总部和总部型机构，给予上限600万元的资助。（责任部门：区商务委）</w:t>
      </w:r>
    </w:p>
    <w:p w14:paraId="1FD3A176">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12．鼓励数字广告领域民营企业设立总部，全面提升民营经济活力。对新引进或新认定的上海市数字广告领域的民营企业总部，给予上限200万元的资助。对已获认定的数字广告领域的民营企业总部，达到一定能级的，给予上限200万元的资助。（责任部门：区商务委）</w:t>
      </w:r>
    </w:p>
    <w:p w14:paraId="50B2955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13.加强数字广告企业服务指导，鼓励经济运行情况良好的数字广告企业提升规模。（责任部门：区市场监管局）</w:t>
      </w:r>
    </w:p>
    <w:p w14:paraId="40607814">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Calibri" w:hAnsi="Calibri" w:eastAsia="宋体" w:cs="Times New Roman"/>
          <w:kern w:val="2"/>
          <w:sz w:val="21"/>
          <w:szCs w:val="24"/>
          <w:lang w:val="en-US" w:eastAsia="zh-CN" w:bidi="ar-SA"/>
        </w:rPr>
      </w:pPr>
      <w:r>
        <w:rPr>
          <w:rFonts w:hint="eastAsia" w:ascii="方正楷体简体" w:hAnsi="方正楷体简体" w:eastAsia="方正楷体简体" w:cs="方正楷体简体"/>
          <w:b/>
          <w:bCs/>
          <w:kern w:val="2"/>
          <w:sz w:val="32"/>
          <w:szCs w:val="32"/>
          <w:lang w:val="en-US" w:eastAsia="zh-CN" w:bidi="ar-SA"/>
        </w:rPr>
        <w:t>（四）推动数字广告行业国内外交流</w:t>
      </w:r>
    </w:p>
    <w:p w14:paraId="05B80B3A">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14.对经认可的数字广告产业活动（会展、赛事、论坛、演出等），给予活动主办方或承办方相应的资金支持；对参加长三角文博会等市级及以上文化创意产业活动（会展、赛事、论坛等）的数字广告企业，给予相应的资金支持。（责任部门：区委宣传部）</w:t>
      </w:r>
    </w:p>
    <w:p w14:paraId="3C710A7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kern w:val="2"/>
          <w:sz w:val="32"/>
          <w:szCs w:val="32"/>
          <w:lang w:val="en-US" w:eastAsia="zh-CN" w:bidi="ar-SA"/>
        </w:rPr>
      </w:pPr>
      <w:r>
        <w:rPr>
          <w:rFonts w:hint="eastAsia" w:ascii="方正楷体简体" w:hAnsi="方正楷体简体" w:eastAsia="方正楷体简体" w:cs="方正楷体简体"/>
          <w:b/>
          <w:bCs/>
          <w:kern w:val="2"/>
          <w:sz w:val="32"/>
          <w:szCs w:val="32"/>
          <w:lang w:val="en-US" w:eastAsia="zh-CN" w:bidi="ar-SA"/>
        </w:rPr>
        <w:t>（五）鼓励对数字广告企业提供金融支持</w:t>
      </w:r>
    </w:p>
    <w:p w14:paraId="640008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15.鼓励数字广告中小微企业获得政策性担保贷款，按照企业实际承担的担保费用给予全额补贴，同一企业每年补贴总额最高不超过20万元。鼓励金融机构创新金融产品和服务，降低民营企业融资成本。（责任部门：区财政局）</w:t>
      </w:r>
    </w:p>
    <w:p w14:paraId="03E7CCB9">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kern w:val="2"/>
          <w:sz w:val="32"/>
          <w:szCs w:val="32"/>
          <w:lang w:val="en-US" w:eastAsia="zh-CN" w:bidi="ar-SA"/>
        </w:rPr>
      </w:pPr>
      <w:r>
        <w:rPr>
          <w:rFonts w:hint="eastAsia" w:ascii="方正楷体简体" w:hAnsi="方正楷体简体" w:eastAsia="方正楷体简体" w:cs="方正楷体简体"/>
          <w:b/>
          <w:bCs/>
          <w:kern w:val="2"/>
          <w:sz w:val="32"/>
          <w:szCs w:val="32"/>
          <w:lang w:val="en-US" w:eastAsia="zh-CN" w:bidi="ar-SA"/>
        </w:rPr>
        <w:t>（六）加强包容审慎监管</w:t>
      </w:r>
    </w:p>
    <w:p w14:paraId="18921C5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16.加强数字广告新业态、新形式研究，采取包容审慎、分类处置的方式，对轻微广告违法行为按照相关规定不予处罚。加强行政指导和法律法规宣传，指导企业健全管理制度，依法规范从事广告活动。（责任部门：区市场监管局）</w:t>
      </w:r>
    </w:p>
    <w:p w14:paraId="7B0BEE8E">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三、附则</w:t>
      </w:r>
    </w:p>
    <w:p w14:paraId="763A8FC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（一）本举措由闵行区市场监督管理局会同闵行区委宣传部、闵行区商务委员会和闵行区财政局负责解释。</w:t>
      </w:r>
    </w:p>
    <w:p w14:paraId="3424ABB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（二）若本措施与国家、上海市以及本区其他相关政策措施重疊交叉的，按照“从高不重复”原则执行。本措施实施过程中如遇国家或上海市颁布新规定的，按新规定执行。</w:t>
      </w:r>
    </w:p>
    <w:p w14:paraId="7A9A3400">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三）实行产业专项资金全过程信用管理。申请本政策支持的企业，将接受信用审查，过去三年内存在严重失信行为或违法行为的，取消申请资格。企业在享受支持过程中存在失信行为，经查实的，按照有关规定报送市、区公共信用信息服务平台。支持对象存在弄虚作假、骗取支持资金等违法违规行为，经查实的，将立即取消一切支持资金并追缴资金，依法追究相关责任。</w:t>
      </w:r>
    </w:p>
    <w:p w14:paraId="631F1E92">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四）对本支持内容第1、2项的资金申请，其评审要求和实施流程以《闵行区关于推动质量提升促进高质量发展的政策意见》的相关规定为准。对本支持内容第3项的资金申请，其评审要求和实施流程以《闵行区关于推动知识产权创新发展和维权保护的政策意见》的相关规定为准。</w:t>
      </w:r>
    </w:p>
    <w:p w14:paraId="39BBA0CB">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（五）对本支持内容第5、6、7、10、14项的资金申请，其评审要求和实施流程以《闵行区关于加快推进文化创意产业高质量发展的政策意见》的相关规定为准。</w:t>
      </w:r>
    </w:p>
    <w:p w14:paraId="44209218">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（六）对本支持内容第11、12项的资金申请，其评审要求和实施流程以《闵行区关于大力推进现代服务业高质量发展的若干政策意见》的相关规定为准。</w:t>
      </w:r>
    </w:p>
    <w:p w14:paraId="6FC18655">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（七）对本支持内容第15项的资金申请，其评审要求和实施流程以《闵行区支持现代金融业发展促进产融结合实施意见》的相关规定为准。</w:t>
      </w:r>
    </w:p>
    <w:p w14:paraId="2B3E4011">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八）本意见中的数字广告是指，以信息科学和新媒体为载体，以广告创意和新媒体技术为核心，融合新媒体技术的先进性特点和计算机编程的跨学科特殊性特点，结合互动性的媒体技术形式有效地组织一系列广告文字、图形、图像、声音、视频影像和动画，达到互动体验、主动分享、二次创作的有效广告传播形式。</w:t>
      </w:r>
    </w:p>
    <w:p w14:paraId="7CBA7D1D">
      <w:pPr>
        <w:keepNext w:val="0"/>
        <w:keepLines w:val="0"/>
        <w:pageBreakBefore w:val="0"/>
        <w:widowControl w:val="0"/>
        <w:numPr>
          <w:ilvl w:val="0"/>
          <w:numId w:val="0"/>
        </w:numPr>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Times New Roman"/>
          <w:b w:val="0"/>
          <w:bCs w:val="0"/>
          <w:color w:val="000000"/>
          <w:sz w:val="32"/>
          <w:szCs w:val="32"/>
          <w:lang w:val="en-US" w:eastAsia="zh-CN"/>
        </w:rPr>
      </w:pPr>
      <w:r>
        <w:rPr>
          <w:rFonts w:hint="eastAsia" w:ascii="Times New Roman" w:hAnsi="Times New Roman" w:eastAsia="方正仿宋简体" w:cs="Times New Roman"/>
          <w:b w:val="0"/>
          <w:bCs w:val="0"/>
          <w:color w:val="000000"/>
          <w:sz w:val="32"/>
          <w:szCs w:val="32"/>
          <w:lang w:val="en-US" w:eastAsia="zh-CN"/>
        </w:rPr>
        <w:t>（九）本政策自2024年12月25日起实施，有效期至2026年12月25日。</w:t>
      </w:r>
    </w:p>
    <w:p w14:paraId="7134D9A2">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ab/>
      </w:r>
    </w:p>
    <w:p w14:paraId="3CF58B17">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p>
    <w:p w14:paraId="0B5FACE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关于印发《徐汇区促进绿色低碳产业发展的扶持意见》的通知</w:t>
      </w:r>
    </w:p>
    <w:p w14:paraId="410B27A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p>
    <w:p w14:paraId="7B883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2" w:lineRule="atLeast"/>
        <w:ind w:left="0" w:right="0" w:firstLine="0"/>
        <w:jc w:val="both"/>
        <w:rPr>
          <w:rFonts w:hint="default"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区各有关委、办、局，各街道、华泾镇，有关单位：</w:t>
      </w:r>
    </w:p>
    <w:p w14:paraId="335DC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2" w:lineRule="atLeast"/>
        <w:ind w:left="0" w:right="0" w:firstLine="640"/>
        <w:jc w:val="both"/>
        <w:rPr>
          <w:rFonts w:hint="default" w:ascii="Times New Roman" w:hAnsi="Times New Roman" w:eastAsia="方正仿宋简体" w:cs="Times New Roman"/>
          <w:b w:val="0"/>
          <w:bCs w:val="0"/>
          <w:color w:val="000000"/>
          <w:kern w:val="2"/>
          <w:sz w:val="32"/>
          <w:szCs w:val="32"/>
          <w:lang w:val="en-US" w:eastAsia="zh-CN" w:bidi="ar-SA"/>
        </w:rPr>
      </w:pPr>
      <w:r>
        <w:rPr>
          <w:rFonts w:hint="default" w:ascii="Times New Roman" w:hAnsi="Times New Roman" w:eastAsia="方正仿宋简体" w:cs="Times New Roman"/>
          <w:b w:val="0"/>
          <w:bCs w:val="0"/>
          <w:color w:val="000000"/>
          <w:kern w:val="2"/>
          <w:sz w:val="32"/>
          <w:szCs w:val="32"/>
          <w:lang w:val="en-US" w:eastAsia="zh-CN" w:bidi="ar-SA"/>
        </w:rPr>
        <w:t>《徐汇区促进绿色低碳产业发展的扶持意见》已经区政府同意，现印发给你们，请认真按照执行。</w:t>
      </w:r>
    </w:p>
    <w:p w14:paraId="7803DE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2" w:lineRule="atLeast"/>
        <w:ind w:left="0" w:right="0" w:firstLine="0"/>
        <w:jc w:val="right"/>
        <w:rPr>
          <w:rFonts w:hint="default" w:ascii="Times New Roman" w:hAnsi="Times New Roman" w:eastAsia="方正仿宋简体" w:cs="Times New Roman"/>
          <w:b w:val="0"/>
          <w:bCs w:val="0"/>
          <w:color w:val="000000"/>
          <w:kern w:val="2"/>
          <w:sz w:val="32"/>
          <w:szCs w:val="32"/>
          <w:lang w:val="en-US" w:eastAsia="zh-CN" w:bidi="ar-SA"/>
        </w:rPr>
      </w:pPr>
      <w:r>
        <w:rPr>
          <w:rFonts w:hint="default" w:ascii="Times New Roman" w:hAnsi="Times New Roman" w:eastAsia="方正仿宋简体" w:cs="Times New Roman"/>
          <w:b w:val="0"/>
          <w:bCs w:val="0"/>
          <w:color w:val="000000"/>
          <w:kern w:val="2"/>
          <w:sz w:val="32"/>
          <w:szCs w:val="32"/>
          <w:lang w:val="en-US" w:eastAsia="zh-CN" w:bidi="ar-SA"/>
        </w:rPr>
        <w:t>徐汇区发展和改革委员会</w:t>
      </w:r>
    </w:p>
    <w:p w14:paraId="6CC197B5">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2025年1月24日</w:t>
      </w:r>
    </w:p>
    <w:p w14:paraId="6587961B">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徐汇区促进绿色低碳产业发展的扶持意见</w:t>
      </w:r>
    </w:p>
    <w:p w14:paraId="0A4F56A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p>
    <w:p w14:paraId="6338C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2" w:lineRule="atLeast"/>
        <w:ind w:left="0" w:right="0" w:firstLine="640" w:firstLineChars="200"/>
        <w:jc w:val="both"/>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为全面贯彻新发展理念，高质量落实碳达峰碳中和战略部署，促进徐汇区绿色低碳发展，根据《中华人民共和国节约能源法》《中共中央国务院关于加快经济社会发展全面绿色转型的意见》《上海市瞄准新赛道促进绿色低碳产业发展行动方案（2022-2025年）》，结合区域实际，特制定本扶持意见。</w:t>
      </w:r>
    </w:p>
    <w:p w14:paraId="0899A92F">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一、支持对象</w:t>
      </w:r>
    </w:p>
    <w:p w14:paraId="006D87B3">
      <w:pPr>
        <w:tabs>
          <w:tab w:val="left" w:pos="745"/>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Calibri" w:hAnsi="Calibri" w:eastAsia="宋体" w:cs="Times New Roman"/>
          <w:kern w:val="2"/>
          <w:sz w:val="21"/>
          <w:szCs w:val="24"/>
          <w:lang w:val="en-US" w:eastAsia="zh-CN" w:bidi="ar-SA"/>
        </w:rPr>
        <w:tab/>
      </w:r>
      <w:r>
        <w:rPr>
          <w:rFonts w:hint="eastAsia" w:ascii="Times New Roman" w:hAnsi="Times New Roman" w:eastAsia="方正仿宋简体" w:cs="Times New Roman"/>
          <w:b w:val="0"/>
          <w:bCs w:val="0"/>
          <w:color w:val="000000"/>
          <w:kern w:val="2"/>
          <w:sz w:val="32"/>
          <w:szCs w:val="32"/>
          <w:lang w:val="en-US" w:eastAsia="zh-CN" w:bidi="ar-SA"/>
        </w:rPr>
        <w:t>本政策适用于依法经营的绿色低碳产业法人或非法人组织机构，以及其他依法经区政府批准的支持对象。上述主体须符合区域产业发展导向，经营状况良好，无严重违法失信行为。</w:t>
      </w:r>
    </w:p>
    <w:p w14:paraId="4D014751">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二、支持方式</w:t>
      </w:r>
    </w:p>
    <w:p w14:paraId="7E56335E">
      <w:pPr>
        <w:tabs>
          <w:tab w:val="left" w:pos="715"/>
        </w:tabs>
        <w:bidi w:val="0"/>
        <w:jc w:val="left"/>
        <w:rPr>
          <w:rFonts w:hint="eastAsia" w:ascii="方正楷体简体" w:hAnsi="方正楷体简体" w:eastAsia="方正楷体简体" w:cs="方正楷体简体"/>
          <w:b/>
          <w:bCs/>
          <w:kern w:val="2"/>
          <w:sz w:val="32"/>
          <w:szCs w:val="32"/>
          <w:lang w:val="en-US" w:eastAsia="zh-TW" w:bidi="ar-SA"/>
        </w:rPr>
      </w:pPr>
      <w:r>
        <w:rPr>
          <w:rFonts w:hint="eastAsia" w:ascii="Calibri" w:hAnsi="Calibri" w:eastAsia="宋体" w:cs="Times New Roman"/>
          <w:kern w:val="2"/>
          <w:sz w:val="21"/>
          <w:szCs w:val="24"/>
          <w:lang w:val="en-US" w:eastAsia="zh-CN" w:bidi="ar-SA"/>
        </w:rPr>
        <w:tab/>
      </w:r>
      <w:r>
        <w:rPr>
          <w:rFonts w:hint="eastAsia" w:ascii="方正楷体简体" w:hAnsi="方正楷体简体" w:eastAsia="方正楷体简体" w:cs="方正楷体简体"/>
          <w:b/>
          <w:bCs/>
          <w:kern w:val="2"/>
          <w:sz w:val="32"/>
          <w:szCs w:val="32"/>
          <w:lang w:val="en-US" w:eastAsia="zh-TW" w:bidi="ar-SA"/>
        </w:rPr>
        <w:t>（一）提升绿色低碳产业发展能级</w:t>
      </w:r>
    </w:p>
    <w:p w14:paraId="05203E38">
      <w:pPr>
        <w:tabs>
          <w:tab w:val="left" w:pos="745"/>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Calibri" w:hAnsi="Calibri" w:eastAsia="宋体" w:cs="Times New Roman"/>
          <w:kern w:val="2"/>
          <w:sz w:val="21"/>
          <w:szCs w:val="24"/>
          <w:lang w:val="en-US" w:eastAsia="zh-CN" w:bidi="ar-SA"/>
        </w:rPr>
        <w:tab/>
      </w:r>
      <w:r>
        <w:rPr>
          <w:rFonts w:hint="eastAsia" w:ascii="Times New Roman" w:hAnsi="Times New Roman" w:eastAsia="方正仿宋简体" w:cs="Times New Roman"/>
          <w:b/>
          <w:bCs/>
          <w:color w:val="000000"/>
          <w:kern w:val="2"/>
          <w:sz w:val="32"/>
          <w:szCs w:val="32"/>
          <w:lang w:val="en-US" w:eastAsia="zh-CN" w:bidi="ar-SA"/>
        </w:rPr>
        <w:t>1.推动绿色低碳企业集聚。</w:t>
      </w:r>
      <w:r>
        <w:rPr>
          <w:rFonts w:hint="eastAsia" w:ascii="Times New Roman" w:hAnsi="Times New Roman" w:eastAsia="方正仿宋简体" w:cs="Times New Roman"/>
          <w:b w:val="0"/>
          <w:bCs w:val="0"/>
          <w:color w:val="000000"/>
          <w:kern w:val="2"/>
          <w:sz w:val="32"/>
          <w:szCs w:val="32"/>
          <w:lang w:val="en-US" w:eastAsia="zh-CN" w:bidi="ar-SA"/>
        </w:rPr>
        <w:t>围绕储能电池及系统、核能制造及设计服务、新能源汽车、充电设施、绿色燃料、节能环保等细分领域，加快吸引和促进符合区域产业发展导向的具备行业优势、高成长型绿色低碳企业，经综合评估，最高可给予3000万元支持，对其中能级较高的，经综合评估，最高可给予1000万元的一次性支持。</w:t>
      </w:r>
    </w:p>
    <w:p w14:paraId="04D1A4F1">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2.搭建创新型功能型机构和平台。</w:t>
      </w:r>
      <w:r>
        <w:rPr>
          <w:rFonts w:hint="eastAsia" w:ascii="Times New Roman" w:hAnsi="Times New Roman" w:eastAsia="方正仿宋简体" w:cs="Times New Roman"/>
          <w:b w:val="0"/>
          <w:bCs w:val="0"/>
          <w:color w:val="000000"/>
          <w:kern w:val="2"/>
          <w:sz w:val="32"/>
          <w:szCs w:val="32"/>
          <w:lang w:val="en-US" w:eastAsia="zh-CN" w:bidi="ar-SA"/>
        </w:rPr>
        <w:t>支持搭建碳排放监测、碳核查认证、碳足迹认证、碳标签、碳排放披露、碳排放交易等具备公共服务属性、能够协作开展产业技术研发、科技成果产业化和公共服务的创新平台，对能促进产学研深度融合的平台机构，根据引进集聚企业的综合贡献，经综合评估，最高可给予一次性300万元奖励。</w:t>
      </w:r>
    </w:p>
    <w:p w14:paraId="23F9B90E">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3.加强绿色低碳核心技术攻关。</w:t>
      </w:r>
      <w:r>
        <w:rPr>
          <w:rFonts w:hint="eastAsia" w:ascii="Times New Roman" w:hAnsi="Times New Roman" w:eastAsia="方正仿宋简体" w:cs="Times New Roman"/>
          <w:b w:val="0"/>
          <w:bCs w:val="0"/>
          <w:color w:val="000000"/>
          <w:kern w:val="2"/>
          <w:sz w:val="32"/>
          <w:szCs w:val="32"/>
          <w:lang w:val="en-US" w:eastAsia="zh-CN" w:bidi="ar-SA"/>
        </w:rPr>
        <w:t>支持各类新设主体开展绿色低碳重点领域“卡脖子”核心技术攻关、重大装备及关键零部件研发等，对发起或参与国际大科学计划、承担国家科技计划项目、纳入市级高新技术成果转化项目的，经综合评估，最高可给予300万元奖励。发挥绿色技术对绿色低碳发展的关键支撑作用，支持各类新设主体申报绿色低碳先进技术示范项目，经综合评估，最高可给予100万元奖励。</w:t>
      </w:r>
    </w:p>
    <w:p w14:paraId="59CA824B">
      <w:pPr>
        <w:tabs>
          <w:tab w:val="left" w:pos="715"/>
        </w:tabs>
        <w:bidi w:val="0"/>
        <w:ind w:firstLine="643" w:firstLineChars="200"/>
        <w:jc w:val="left"/>
        <w:rPr>
          <w:rFonts w:hint="eastAsia" w:ascii="方正楷体简体" w:hAnsi="方正楷体简体" w:eastAsia="方正楷体简体" w:cs="方正楷体简体"/>
          <w:b/>
          <w:bCs/>
          <w:kern w:val="2"/>
          <w:sz w:val="32"/>
          <w:szCs w:val="32"/>
          <w:lang w:val="en-US" w:eastAsia="zh-CN" w:bidi="ar-SA"/>
        </w:rPr>
      </w:pPr>
      <w:r>
        <w:rPr>
          <w:rFonts w:hint="eastAsia" w:ascii="方正楷体简体" w:hAnsi="方正楷体简体" w:eastAsia="方正楷体简体" w:cs="方正楷体简体"/>
          <w:b/>
          <w:bCs/>
          <w:kern w:val="2"/>
          <w:sz w:val="32"/>
          <w:szCs w:val="32"/>
          <w:lang w:val="en-US" w:eastAsia="zh-CN" w:bidi="ar-SA"/>
        </w:rPr>
        <w:t>（二）创新绿色低碳新模式新场景</w:t>
      </w:r>
    </w:p>
    <w:p w14:paraId="24EB4045">
      <w:pPr>
        <w:tabs>
          <w:tab w:val="left" w:pos="745"/>
        </w:tabs>
        <w:bidi w:val="0"/>
        <w:ind w:firstLine="422"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Calibri" w:hAnsi="Calibri" w:eastAsia="宋体" w:cs="Times New Roman"/>
          <w:b/>
          <w:bCs/>
          <w:kern w:val="2"/>
          <w:sz w:val="21"/>
          <w:szCs w:val="24"/>
          <w:lang w:val="en-US" w:eastAsia="zh-CN" w:bidi="ar-SA"/>
        </w:rPr>
        <w:tab/>
      </w:r>
      <w:r>
        <w:rPr>
          <w:rFonts w:hint="eastAsia" w:ascii="Times New Roman" w:hAnsi="Times New Roman" w:eastAsia="方正仿宋简体" w:cs="Times New Roman"/>
          <w:b/>
          <w:bCs/>
          <w:color w:val="000000"/>
          <w:kern w:val="2"/>
          <w:sz w:val="32"/>
          <w:szCs w:val="32"/>
          <w:lang w:val="en-US" w:eastAsia="zh-CN" w:bidi="ar-SA"/>
        </w:rPr>
        <w:t>4.促进绿色金融健康发展。</w:t>
      </w:r>
      <w:r>
        <w:rPr>
          <w:rFonts w:hint="eastAsia" w:ascii="Times New Roman" w:hAnsi="Times New Roman" w:eastAsia="方正仿宋简体" w:cs="Times New Roman"/>
          <w:b w:val="0"/>
          <w:bCs w:val="0"/>
          <w:color w:val="000000"/>
          <w:kern w:val="2"/>
          <w:sz w:val="32"/>
          <w:szCs w:val="32"/>
          <w:lang w:val="en-US" w:eastAsia="zh-CN" w:bidi="ar-SA"/>
        </w:rPr>
        <w:t>加快吸引和促进符合区域产业发展导向的绿色金融研究咨询机构等，根据支持集聚绿色低碳机构的情况，经综合评估，最高可给予100万元支持。鼓励资管机构以绿色指数为基础开发绿色基金、绿色信托、绿色债券等绿色金融产品，经评审，首次发行最高可给予50万元奖励。</w:t>
      </w:r>
    </w:p>
    <w:p w14:paraId="2BCE47B5">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5.支持绿色燃料试点创新发展。</w:t>
      </w:r>
      <w:r>
        <w:rPr>
          <w:rFonts w:hint="eastAsia" w:ascii="Times New Roman" w:hAnsi="Times New Roman" w:eastAsia="方正仿宋简体" w:cs="Times New Roman"/>
          <w:b w:val="0"/>
          <w:bCs w:val="0"/>
          <w:color w:val="000000"/>
          <w:kern w:val="2"/>
          <w:sz w:val="32"/>
          <w:szCs w:val="32"/>
          <w:lang w:val="en-US" w:eastAsia="zh-CN" w:bidi="ar-SA"/>
        </w:rPr>
        <w:t>围绕以生物柴油、可持续航煤、生物燃料乙醇、可再生甲醇、可再生氨等为代表的可再生能源领域，加快吸引和促进符合区域产业发展导向的绿色燃料研发生产销售型企业，经综合评估，最高可给予一次性300万元支持。鼓励航空和船舶企业推广应用绿色燃料，强化节能降碳运营管理，加快吸引和促进符合区域产业发展导向的企业，获得市级及以上资金扶持或取得显著成效的，经综合评估，最高可给予一次性100万元支持。</w:t>
      </w:r>
    </w:p>
    <w:p w14:paraId="6EFEF48A">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6.鼓励企业开展碳排放服务。</w:t>
      </w:r>
      <w:r>
        <w:rPr>
          <w:rFonts w:hint="eastAsia" w:ascii="Times New Roman" w:hAnsi="Times New Roman" w:eastAsia="方正仿宋简体" w:cs="Times New Roman"/>
          <w:b w:val="0"/>
          <w:bCs w:val="0"/>
          <w:color w:val="000000"/>
          <w:kern w:val="2"/>
          <w:sz w:val="32"/>
          <w:szCs w:val="32"/>
          <w:lang w:val="en-US" w:eastAsia="zh-CN" w:bidi="ar-SA"/>
        </w:rPr>
        <w:t>支持企业开展碳排放管理、产品碳足迹评估与认证、航运清洁燃料认证、欧盟CBAM等相关认证（碳关税）、CDP问卷申报（碳披露项目）、ESG管理体系建设与报告发布等服务，对节能减排效果明显或获得国内外权威认可的企业，经评审，可按项目服务价格的10%给予奖励，最高20万元。</w:t>
      </w:r>
    </w:p>
    <w:p w14:paraId="53A49F08">
      <w:pPr>
        <w:tabs>
          <w:tab w:val="left" w:pos="745"/>
        </w:tabs>
        <w:bidi w:val="0"/>
        <w:ind w:firstLine="643" w:firstLineChars="200"/>
        <w:jc w:val="left"/>
        <w:rPr>
          <w:rFonts w:hint="eastAsia" w:ascii="Calibri" w:hAnsi="Calibri" w:eastAsia="宋体" w:cs="Times New Roman"/>
          <w:kern w:val="2"/>
          <w:sz w:val="21"/>
          <w:szCs w:val="24"/>
          <w:lang w:val="en-US" w:eastAsia="zh-CN" w:bidi="ar-SA"/>
        </w:rPr>
      </w:pPr>
      <w:r>
        <w:rPr>
          <w:rFonts w:hint="eastAsia" w:ascii="Times New Roman" w:hAnsi="Times New Roman" w:eastAsia="方正仿宋简体" w:cs="Times New Roman"/>
          <w:b/>
          <w:bCs/>
          <w:color w:val="000000"/>
          <w:kern w:val="2"/>
          <w:sz w:val="32"/>
          <w:szCs w:val="32"/>
          <w:lang w:val="en-US" w:eastAsia="zh-CN" w:bidi="ar-SA"/>
        </w:rPr>
        <w:t>7.积极创建绿色低碳试点示范。</w:t>
      </w:r>
      <w:r>
        <w:rPr>
          <w:rFonts w:hint="eastAsia" w:ascii="Times New Roman" w:hAnsi="Times New Roman" w:eastAsia="方正仿宋简体" w:cs="Times New Roman"/>
          <w:b w:val="0"/>
          <w:bCs w:val="0"/>
          <w:color w:val="000000"/>
          <w:kern w:val="2"/>
          <w:sz w:val="32"/>
          <w:szCs w:val="32"/>
          <w:lang w:val="en-US" w:eastAsia="zh-CN" w:bidi="ar-SA"/>
        </w:rPr>
        <w:t>在本区实施的市级绿色建筑、超低能耗建筑、既有建筑节能改造、可再生能源与建筑一体化等建筑节能和绿色建筑示范项目，经评审，可按市区配套1:0.5的比例，最高可给予300万元支持。优化充电桩等新型基础设施布局，对在建筑楼宇、充电场站、园区等场景，结合电网调峰调频需求，采用多元主动错峰错时缓解电网压力的，经评审，可按项目总投资的30%给予扶持，最高50万元。</w:t>
      </w:r>
    </w:p>
    <w:p w14:paraId="6A58A6DD">
      <w:pPr>
        <w:tabs>
          <w:tab w:val="left" w:pos="715"/>
        </w:tabs>
        <w:bidi w:val="0"/>
        <w:ind w:firstLine="643" w:firstLineChars="200"/>
        <w:jc w:val="left"/>
        <w:rPr>
          <w:rFonts w:hint="eastAsia" w:ascii="方正楷体简体" w:hAnsi="方正楷体简体" w:eastAsia="方正楷体简体" w:cs="方正楷体简体"/>
          <w:b/>
          <w:bCs/>
          <w:kern w:val="2"/>
          <w:sz w:val="32"/>
          <w:szCs w:val="32"/>
          <w:lang w:val="en-US" w:eastAsia="zh-CN" w:bidi="ar-SA"/>
        </w:rPr>
      </w:pPr>
      <w:r>
        <w:rPr>
          <w:rFonts w:hint="eastAsia" w:ascii="方正楷体简体" w:hAnsi="方正楷体简体" w:eastAsia="方正楷体简体" w:cs="方正楷体简体"/>
          <w:b/>
          <w:bCs/>
          <w:kern w:val="2"/>
          <w:sz w:val="32"/>
          <w:szCs w:val="32"/>
          <w:lang w:val="en-US" w:eastAsia="zh-CN" w:bidi="ar-SA"/>
        </w:rPr>
        <w:t>（三）构建绿色低碳产业发展生态</w:t>
      </w:r>
    </w:p>
    <w:p w14:paraId="6628DE71">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8.营造产业发展的浓郁氛围。</w:t>
      </w:r>
      <w:r>
        <w:rPr>
          <w:rFonts w:hint="eastAsia" w:ascii="Times New Roman" w:hAnsi="Times New Roman" w:eastAsia="方正仿宋简体" w:cs="Times New Roman"/>
          <w:b w:val="0"/>
          <w:bCs w:val="0"/>
          <w:color w:val="000000"/>
          <w:kern w:val="2"/>
          <w:sz w:val="32"/>
          <w:szCs w:val="32"/>
          <w:lang w:val="en-US" w:eastAsia="zh-CN" w:bidi="ar-SA"/>
        </w:rPr>
        <w:t>支持各类主体主导参与绿色低碳国际标准、国家标准、行业标准、地方标准、团体标准等标准制定项目，经评审，最高可给予100万元奖励。支持碳普惠核证减排量交易，对备案公布的碳普惠方法学制定机构，经评审，最高可给予10万元/个奖励。鼓励企业开发碳普惠应用程序，打造碳普惠场景，经评审，最高可给予10万元/个奖励。支持各类主体参加或举办具有影响力的碳达峰碳中和领域活动，经评价，可按实际投入的50%给予补贴，最高50万元。</w:t>
      </w:r>
    </w:p>
    <w:p w14:paraId="23DFC5EB">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9.做实做细人才服务保障。</w:t>
      </w:r>
      <w:r>
        <w:rPr>
          <w:rFonts w:hint="eastAsia" w:ascii="Times New Roman" w:hAnsi="Times New Roman" w:eastAsia="方正仿宋简体" w:cs="Times New Roman"/>
          <w:b w:val="0"/>
          <w:bCs w:val="0"/>
          <w:color w:val="000000"/>
          <w:kern w:val="2"/>
          <w:sz w:val="32"/>
          <w:szCs w:val="32"/>
          <w:lang w:val="en-US" w:eastAsia="zh-CN" w:bidi="ar-SA"/>
        </w:rPr>
        <w:t>对用人单位的国内外优秀人才，按照相关政策推荐申请“光启人才行动计划”，并提供人才落户、安居、医疗、出入境等方面便利化服务。</w:t>
      </w:r>
    </w:p>
    <w:p w14:paraId="55E1C92A">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ab/>
      </w:r>
      <w:r>
        <w:rPr>
          <w:rFonts w:hint="eastAsia" w:ascii="方正黑体简体" w:hAnsi="方正黑体简体" w:eastAsia="方正黑体简体" w:cs="方正黑体简体"/>
          <w:b w:val="0"/>
          <w:bCs/>
          <w:kern w:val="2"/>
          <w:sz w:val="32"/>
          <w:szCs w:val="32"/>
          <w:lang w:val="en-US" w:eastAsia="zh-CN" w:bidi="ar-SA"/>
        </w:rPr>
        <w:t>三、附则</w:t>
      </w:r>
    </w:p>
    <w:p w14:paraId="4A2F585A">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ab/>
      </w:r>
      <w:r>
        <w:rPr>
          <w:rFonts w:hint="eastAsia" w:ascii="Times New Roman" w:hAnsi="Times New Roman" w:eastAsia="方正仿宋简体" w:cs="Times New Roman"/>
          <w:b/>
          <w:bCs/>
          <w:color w:val="000000"/>
          <w:kern w:val="2"/>
          <w:sz w:val="32"/>
          <w:szCs w:val="32"/>
          <w:lang w:val="en-US" w:eastAsia="zh-CN" w:bidi="ar-SA"/>
        </w:rPr>
        <w:t>（一）</w:t>
      </w:r>
      <w:r>
        <w:rPr>
          <w:rFonts w:hint="eastAsia" w:ascii="Times New Roman" w:hAnsi="Times New Roman" w:eastAsia="方正仿宋简体" w:cs="Times New Roman"/>
          <w:b w:val="0"/>
          <w:bCs w:val="0"/>
          <w:color w:val="000000"/>
          <w:kern w:val="2"/>
          <w:sz w:val="32"/>
          <w:szCs w:val="32"/>
          <w:lang w:val="en-US" w:eastAsia="zh-CN" w:bidi="ar-SA"/>
        </w:rPr>
        <w:t>在享受本政策期间，如同时可享受本区其他同类政策，按照“就高不重复”原则施行。在实施过程中如遇国家、上海市颁布新政策，按新政策执行。</w:t>
      </w:r>
    </w:p>
    <w:p w14:paraId="6EFB548B">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（二）</w:t>
      </w:r>
      <w:r>
        <w:rPr>
          <w:rFonts w:hint="eastAsia" w:ascii="Times New Roman" w:hAnsi="Times New Roman" w:eastAsia="方正仿宋简体" w:cs="Times New Roman"/>
          <w:b w:val="0"/>
          <w:bCs w:val="0"/>
          <w:color w:val="000000"/>
          <w:kern w:val="2"/>
          <w:sz w:val="32"/>
          <w:szCs w:val="32"/>
          <w:lang w:val="en-US" w:eastAsia="zh-CN" w:bidi="ar-SA"/>
        </w:rPr>
        <w:t>对弄虚作假骗取扶持资金、擅自改变资金用途等行为，将追究扶持对象的责任。对违反相关法律法规的扶持对象，经查实，根据情节轻重，在一定时期内取消对象申报扶持资金的资格。</w:t>
      </w:r>
    </w:p>
    <w:p w14:paraId="5C4485BD">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（三）</w:t>
      </w:r>
      <w:r>
        <w:rPr>
          <w:rFonts w:hint="eastAsia" w:ascii="Times New Roman" w:hAnsi="Times New Roman" w:eastAsia="方正仿宋简体" w:cs="Times New Roman"/>
          <w:b w:val="0"/>
          <w:bCs w:val="0"/>
          <w:color w:val="000000"/>
          <w:kern w:val="2"/>
          <w:sz w:val="32"/>
          <w:szCs w:val="32"/>
          <w:lang w:val="en-US" w:eastAsia="zh-CN" w:bidi="ar-SA"/>
        </w:rPr>
        <w:t>本意见规定的经区政府批准、经综合评估、经评审等（以下统称认定），应当按照公平合理客观的认定条件和规范透明的认定程序，依法依规开展相关认定工作。</w:t>
      </w:r>
    </w:p>
    <w:p w14:paraId="4E98A811">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（四）</w:t>
      </w:r>
      <w:r>
        <w:rPr>
          <w:rFonts w:hint="eastAsia" w:ascii="Times New Roman" w:hAnsi="Times New Roman" w:eastAsia="方正仿宋简体" w:cs="Times New Roman"/>
          <w:b w:val="0"/>
          <w:bCs w:val="0"/>
          <w:color w:val="000000"/>
          <w:kern w:val="2"/>
          <w:sz w:val="32"/>
          <w:szCs w:val="32"/>
          <w:lang w:val="en-US" w:eastAsia="zh-CN" w:bidi="ar-SA"/>
        </w:rPr>
        <w:t>本意见由徐汇区发展和改革委员会会同徐汇区投资促进办公室、徐汇区财政局负责解释。</w:t>
      </w:r>
    </w:p>
    <w:p w14:paraId="34C7D867">
      <w:pPr>
        <w:tabs>
          <w:tab w:val="left" w:pos="745"/>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（五）</w:t>
      </w:r>
      <w:r>
        <w:rPr>
          <w:rFonts w:hint="eastAsia" w:ascii="Times New Roman" w:hAnsi="Times New Roman" w:eastAsia="方正仿宋简体" w:cs="Times New Roman"/>
          <w:b w:val="0"/>
          <w:bCs w:val="0"/>
          <w:color w:val="000000"/>
          <w:kern w:val="2"/>
          <w:sz w:val="32"/>
          <w:szCs w:val="32"/>
          <w:lang w:val="en-US" w:eastAsia="zh-CN" w:bidi="ar-SA"/>
        </w:rPr>
        <w:t>本意见自2025年2月24日起试行，试行期二年。在本意见施行前享受原政策的，按原政策执行。自试行之日起，《徐汇区促进绿色低碳产业发展的扶持意见》（徐发改规〔2022〕1号）文件废止。</w:t>
      </w:r>
    </w:p>
    <w:p w14:paraId="28DC4019">
      <w:pPr>
        <w:bidi w:val="0"/>
        <w:rPr>
          <w:rFonts w:hint="eastAsia" w:ascii="Calibri" w:hAnsi="Calibri" w:eastAsia="宋体" w:cs="Times New Roman"/>
          <w:kern w:val="2"/>
          <w:sz w:val="21"/>
          <w:szCs w:val="24"/>
          <w:lang w:val="en-US" w:eastAsia="zh-CN" w:bidi="ar-SA"/>
        </w:rPr>
      </w:pPr>
    </w:p>
    <w:p w14:paraId="616279F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val="en-US" w:eastAsia="zh-CN"/>
        </w:rPr>
        <w:tab/>
      </w:r>
      <w:r>
        <w:rPr>
          <w:rFonts w:hint="eastAsia" w:ascii="方正小标宋简体" w:hAnsi="方正小标宋简体" w:eastAsia="方正小标宋简体" w:cs="方正小标宋简体"/>
          <w:sz w:val="44"/>
          <w:szCs w:val="44"/>
        </w:rPr>
        <w:t>关于印发《徐汇区关于推动生命健康产业发展的若干意见》的通知</w:t>
      </w:r>
    </w:p>
    <w:p w14:paraId="1ED28D65">
      <w:pPr>
        <w:tabs>
          <w:tab w:val="left" w:pos="745"/>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0FF67A7B">
      <w:pPr>
        <w:tabs>
          <w:tab w:val="left" w:pos="745"/>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区各有关委、办、局，各街道、华泾镇，有关单位：</w:t>
      </w:r>
    </w:p>
    <w:p w14:paraId="10A9AD2F">
      <w:pPr>
        <w:tabs>
          <w:tab w:val="left" w:pos="745"/>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《徐汇区关于推动生命健康产业发展的若干意见》已经区政府同意，现印发给你们，请认真按照执行。</w:t>
      </w:r>
    </w:p>
    <w:p w14:paraId="65F54428">
      <w:pPr>
        <w:bidi w:val="0"/>
        <w:rPr>
          <w:rFonts w:hint="eastAsia" w:ascii="Calibri" w:hAnsi="Calibri" w:eastAsia="宋体" w:cs="Times New Roman"/>
          <w:kern w:val="2"/>
          <w:sz w:val="21"/>
          <w:szCs w:val="24"/>
          <w:lang w:val="en-US" w:eastAsia="zh-CN" w:bidi="ar-SA"/>
        </w:rPr>
      </w:pPr>
    </w:p>
    <w:p w14:paraId="3E3BC8E5">
      <w:pPr>
        <w:bidi w:val="0"/>
        <w:rPr>
          <w:rFonts w:hint="eastAsia" w:ascii="Calibri" w:hAnsi="Calibri" w:eastAsia="宋体" w:cs="Times New Roman"/>
          <w:lang w:val="en-US" w:eastAsia="zh-CN"/>
        </w:rPr>
      </w:pPr>
    </w:p>
    <w:p w14:paraId="473F6E5B">
      <w:pPr>
        <w:bidi w:val="0"/>
        <w:rPr>
          <w:rFonts w:hint="eastAsia" w:ascii="Calibri" w:hAnsi="Calibri" w:eastAsia="宋体" w:cs="Times New Roman"/>
          <w:lang w:val="en-US" w:eastAsia="zh-CN"/>
        </w:rPr>
      </w:pPr>
    </w:p>
    <w:p w14:paraId="691027C8">
      <w:pPr>
        <w:tabs>
          <w:tab w:val="left" w:pos="745"/>
        </w:tabs>
        <w:bidi w:val="0"/>
        <w:jc w:val="left"/>
        <w:rPr>
          <w:rFonts w:hint="eastAsia" w:ascii="Times New Roman" w:hAnsi="Times New Roman" w:eastAsia="方正仿宋简体" w:cs="Times New Roman"/>
          <w:b w:val="0"/>
          <w:bCs w:val="0"/>
          <w:color w:val="000000"/>
          <w:kern w:val="2"/>
          <w:sz w:val="32"/>
          <w:szCs w:val="32"/>
          <w:lang w:val="en-US" w:eastAsia="zh-CN" w:bidi="ar-SA"/>
        </w:rPr>
      </w:pPr>
    </w:p>
    <w:p w14:paraId="09D74339">
      <w:pPr>
        <w:tabs>
          <w:tab w:val="left" w:pos="745"/>
        </w:tabs>
        <w:bidi w:val="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上海市徐汇区科学技术委员会</w:t>
      </w:r>
    </w:p>
    <w:p w14:paraId="60C90AA7">
      <w:pPr>
        <w:tabs>
          <w:tab w:val="left" w:pos="745"/>
        </w:tabs>
        <w:bidi w:val="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2025年1月24日</w:t>
      </w:r>
    </w:p>
    <w:p w14:paraId="56C5ADAD">
      <w:pPr>
        <w:bidi w:val="0"/>
        <w:rPr>
          <w:rFonts w:hint="eastAsia" w:ascii="Calibri" w:hAnsi="Calibri" w:eastAsia="宋体" w:cs="Times New Roman"/>
          <w:kern w:val="2"/>
          <w:sz w:val="21"/>
          <w:szCs w:val="24"/>
          <w:lang w:val="en-US" w:eastAsia="zh-CN" w:bidi="ar-SA"/>
        </w:rPr>
      </w:pPr>
    </w:p>
    <w:p w14:paraId="4D97CA76">
      <w:pPr>
        <w:bidi w:val="0"/>
        <w:rPr>
          <w:rFonts w:hint="eastAsia" w:ascii="Calibri" w:hAnsi="Calibri" w:eastAsia="宋体" w:cs="Times New Roman"/>
          <w:lang w:val="en-US" w:eastAsia="zh-CN"/>
        </w:rPr>
      </w:pPr>
    </w:p>
    <w:p w14:paraId="32BE31A3">
      <w:pPr>
        <w:bidi w:val="0"/>
        <w:rPr>
          <w:rFonts w:hint="eastAsia" w:ascii="Calibri" w:hAnsi="Calibri" w:eastAsia="宋体" w:cs="Times New Roman"/>
          <w:lang w:val="en-US" w:eastAsia="zh-CN"/>
        </w:rPr>
      </w:pPr>
    </w:p>
    <w:p w14:paraId="1A5DC557">
      <w:pPr>
        <w:tabs>
          <w:tab w:val="left" w:pos="805"/>
        </w:tabs>
        <w:bidi w:val="0"/>
        <w:jc w:val="left"/>
        <w:rPr>
          <w:rFonts w:hint="eastAsia" w:ascii="Calibri" w:hAnsi="Calibri" w:eastAsia="宋体" w:cs="Times New Roman"/>
          <w:lang w:val="en-US" w:eastAsia="zh-CN"/>
        </w:rPr>
      </w:pPr>
      <w:r>
        <w:rPr>
          <w:rFonts w:hint="eastAsia" w:ascii="Calibri" w:hAnsi="Calibri" w:eastAsia="宋体" w:cs="Times New Roman"/>
          <w:lang w:val="en-US" w:eastAsia="zh-CN"/>
        </w:rPr>
        <w:tab/>
      </w:r>
    </w:p>
    <w:p w14:paraId="34B9EEB2">
      <w:pPr>
        <w:tabs>
          <w:tab w:val="left" w:pos="805"/>
        </w:tabs>
        <w:bidi w:val="0"/>
        <w:jc w:val="left"/>
        <w:rPr>
          <w:rFonts w:hint="eastAsia" w:ascii="Calibri" w:hAnsi="Calibri" w:eastAsia="宋体" w:cs="Times New Roman"/>
          <w:lang w:val="en-US" w:eastAsia="zh-CN"/>
        </w:rPr>
      </w:pPr>
    </w:p>
    <w:p w14:paraId="000735D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徐汇区关于推动生命健康产业发展的若干意见</w:t>
      </w:r>
    </w:p>
    <w:p w14:paraId="3E2CE7CD">
      <w:pPr>
        <w:bidi w:val="0"/>
        <w:rPr>
          <w:rFonts w:hint="eastAsia" w:ascii="Calibri" w:hAnsi="Calibri" w:eastAsia="宋体" w:cs="Times New Roman"/>
          <w:kern w:val="2"/>
          <w:sz w:val="21"/>
          <w:szCs w:val="24"/>
          <w:lang w:val="en-US" w:eastAsia="zh-CN" w:bidi="ar-SA"/>
        </w:rPr>
      </w:pPr>
    </w:p>
    <w:p w14:paraId="11A8D61E">
      <w:pPr>
        <w:bidi w:val="0"/>
        <w:rPr>
          <w:rFonts w:hint="eastAsia" w:ascii="Calibri" w:hAnsi="Calibri" w:eastAsia="宋体" w:cs="Times New Roman"/>
          <w:lang w:val="en-US" w:eastAsia="zh-CN"/>
        </w:rPr>
      </w:pPr>
    </w:p>
    <w:p w14:paraId="6EC1F4C5">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为贯彻落实《上海市人民政府办公厅关于支持生物医药产业全链条创新发展的若干意见》（沪府办规〔2024〕9号）等文件精神，推动我区生命健康全产业链创新发展，促进生命健康产业高质量发展，打造具有国际影响力的生命健康产业集群，提出如下意见。</w:t>
      </w:r>
    </w:p>
    <w:p w14:paraId="764BAFA9">
      <w:p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方正黑体简体" w:hAnsi="方正黑体简体" w:eastAsia="方正黑体简体" w:cs="方正黑体简体"/>
          <w:b w:val="0"/>
          <w:bCs/>
          <w:kern w:val="2"/>
          <w:sz w:val="32"/>
          <w:szCs w:val="32"/>
          <w:lang w:val="en-US" w:eastAsia="zh-CN" w:bidi="ar-SA"/>
        </w:rPr>
        <w:t>一、支持对象</w:t>
      </w:r>
    </w:p>
    <w:p w14:paraId="3DEF2496">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本政策适用于依法经营的企事业单位，以及其他依法经区政府批准的支持对象。上述主体须符合区域产业发展导向，经营状况良好，无严重违法失信行为。</w:t>
      </w:r>
    </w:p>
    <w:p w14:paraId="05CDDBB8">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二、支持内容</w:t>
      </w:r>
    </w:p>
    <w:p w14:paraId="440EE047">
      <w:pPr>
        <w:tabs>
          <w:tab w:val="left" w:pos="790"/>
        </w:tabs>
        <w:bidi w:val="0"/>
        <w:ind w:firstLine="42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Calibri" w:hAnsi="Calibri" w:eastAsia="宋体" w:cs="Times New Roman"/>
          <w:kern w:val="2"/>
          <w:sz w:val="21"/>
          <w:szCs w:val="24"/>
          <w:lang w:val="en-US" w:eastAsia="zh-CN" w:bidi="ar-SA"/>
        </w:rPr>
        <w:tab/>
      </w:r>
      <w:r>
        <w:rPr>
          <w:rFonts w:hint="eastAsia" w:ascii="Times New Roman" w:hAnsi="Times New Roman" w:eastAsia="方正仿宋简体" w:cs="Times New Roman"/>
          <w:b/>
          <w:bCs/>
          <w:color w:val="000000"/>
          <w:kern w:val="2"/>
          <w:sz w:val="32"/>
          <w:szCs w:val="32"/>
          <w:lang w:val="en-US" w:eastAsia="zh-CN" w:bidi="ar-SA"/>
        </w:rPr>
        <w:t>1.加快优质企业引进和集聚。</w:t>
      </w:r>
      <w:r>
        <w:rPr>
          <w:rFonts w:hint="eastAsia" w:ascii="Times New Roman" w:hAnsi="Times New Roman" w:eastAsia="方正仿宋简体" w:cs="Times New Roman"/>
          <w:b w:val="0"/>
          <w:bCs w:val="0"/>
          <w:color w:val="000000"/>
          <w:kern w:val="2"/>
          <w:sz w:val="32"/>
          <w:szCs w:val="32"/>
          <w:lang w:val="en-US" w:eastAsia="zh-CN" w:bidi="ar-SA"/>
        </w:rPr>
        <w:t>加快引进一批产业引领力强、竞争优势明显、发展潜力大的优质企业，着力提升产业集聚度和竞争力。加快吸引和促进符合区域产业发展导向的企业，经综合评估，可给予最高不超过1000万元的一次性支持；对产业和区域发展带动作用明显的主体，经综合评估，可给予最高不超过3000万元的奖励。对细胞治疗、基因治疗、合成生物、高端医疗器械等生命健康重点领域投资规模大、带动作用强、示范效应好的标杆性项目，经综合评估，可给予一定资金支持。</w:t>
      </w:r>
    </w:p>
    <w:p w14:paraId="470965D0">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2.支持企业提升规模能级。</w:t>
      </w:r>
      <w:r>
        <w:rPr>
          <w:rFonts w:hint="eastAsia" w:ascii="Times New Roman" w:hAnsi="Times New Roman" w:eastAsia="方正仿宋简体" w:cs="Times New Roman"/>
          <w:b w:val="0"/>
          <w:bCs w:val="0"/>
          <w:color w:val="000000"/>
          <w:kern w:val="2"/>
          <w:sz w:val="32"/>
          <w:szCs w:val="32"/>
          <w:lang w:val="en-US" w:eastAsia="zh-CN" w:bidi="ar-SA"/>
        </w:rPr>
        <w:t>支持企业做大做强，不断提升产业能级、扩大产业规模等，带动上下游企业共同成长，提升产业链竞争力能级。根据企业经营水平、成长发展能力等综合因素，经综合评估，可给予不超过3000万元的奖励；支持企业新增业务板块、新增重大投资项目，经综合评估，可给予一定资金支持。</w:t>
      </w:r>
    </w:p>
    <w:p w14:paraId="2869CB18">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3.加快集聚关键机构和平台。</w:t>
      </w:r>
      <w:r>
        <w:rPr>
          <w:rFonts w:hint="eastAsia" w:ascii="Times New Roman" w:hAnsi="Times New Roman" w:eastAsia="方正仿宋简体" w:cs="Times New Roman"/>
          <w:b w:val="0"/>
          <w:bCs w:val="0"/>
          <w:color w:val="000000"/>
          <w:kern w:val="2"/>
          <w:sz w:val="32"/>
          <w:szCs w:val="32"/>
          <w:lang w:val="en-US" w:eastAsia="zh-CN" w:bidi="ar-SA"/>
        </w:rPr>
        <w:t>支持吸引和促进符合区域产业发展导向的合同研发机构（CRO）、合同外包生产机构（CMO）、合同定制研发生产机构（CDMO）等产业服务机构，经综合评估，可给予最高不超过2000万元的一次性支持。支持开放式创新平台、共性技术平台、概念验证中心等技术服务平台发展，经分类认定，可给予一定资金支持。</w:t>
      </w:r>
    </w:p>
    <w:p w14:paraId="2851E8E5">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4.支持药品研发创新。</w:t>
      </w:r>
      <w:r>
        <w:rPr>
          <w:rFonts w:hint="eastAsia" w:ascii="Times New Roman" w:hAnsi="Times New Roman" w:eastAsia="方正仿宋简体" w:cs="Times New Roman"/>
          <w:b w:val="0"/>
          <w:bCs w:val="0"/>
          <w:color w:val="000000"/>
          <w:kern w:val="2"/>
          <w:sz w:val="32"/>
          <w:szCs w:val="32"/>
          <w:lang w:val="en-US" w:eastAsia="zh-CN" w:bidi="ar-SA"/>
        </w:rPr>
        <w:t>对在国内开展Ⅰ期、Ⅱ期、Ⅲ期临床试验的创新药，经评审，可给予最高1500万元支持；对已上市创新药再开发获批新增适应症的，经评审，可给予最高300万元支持。对取得改良型新药注册证的品种，经评审，可给予最高1000万元支持；对取得仿制药、生物类似药等药品注册证的品种，经评审，可给予最高500万元支持。单个企业年度资金支持最高5000万元。</w:t>
      </w:r>
    </w:p>
    <w:p w14:paraId="657FEC2B">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5.支持创新医疗器械研发。</w:t>
      </w:r>
      <w:r>
        <w:rPr>
          <w:rFonts w:hint="eastAsia" w:ascii="Times New Roman" w:hAnsi="Times New Roman" w:eastAsia="方正仿宋简体" w:cs="Times New Roman"/>
          <w:b w:val="0"/>
          <w:bCs w:val="0"/>
          <w:color w:val="000000"/>
          <w:kern w:val="2"/>
          <w:sz w:val="32"/>
          <w:szCs w:val="32"/>
          <w:lang w:val="en-US" w:eastAsia="zh-CN" w:bidi="ar-SA"/>
        </w:rPr>
        <w:t>对通过国家创新医疗器械特别审查程序的产品，经评审，可给予最高300万元支持。对首次取得医疗器械注册证书的第二类、三类医疗器械产品，经评审，可给予最高300万元支持。单个企业年度资金支持最高1500万元。</w:t>
      </w:r>
    </w:p>
    <w:p w14:paraId="7735BDBB">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6.支持开拓海外市场。</w:t>
      </w:r>
      <w:r>
        <w:rPr>
          <w:rFonts w:hint="eastAsia" w:ascii="Times New Roman" w:hAnsi="Times New Roman" w:eastAsia="方正仿宋简体" w:cs="Times New Roman"/>
          <w:b w:val="0"/>
          <w:bCs w:val="0"/>
          <w:color w:val="000000"/>
          <w:kern w:val="2"/>
          <w:sz w:val="32"/>
          <w:szCs w:val="32"/>
          <w:lang w:val="en-US" w:eastAsia="zh-CN" w:bidi="ar-SA"/>
        </w:rPr>
        <w:t>对企业自主研发的创新药和高端医疗器械，通过美国食品药品管理局（FDA）、欧洲药品管理局（EMA）、欧洲共同体（CE）或日本药品和医疗器械综合机构（PMDA）、世界卫生组织（WHO）以及金砖国家、“一带一路”等国际机构注册，并在相关国外市场实现销售，经评审，可给予一定资金支持。鼓励创新型企业与优质企业对接合作，对于首付款金额较高的海外权益许可交易（双方应无投资等关联），经评审，可给予一定资金支持。</w:t>
      </w:r>
    </w:p>
    <w:p w14:paraId="388DD4B0">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7.鼓励科技成果转化落地。</w:t>
      </w:r>
      <w:r>
        <w:rPr>
          <w:rFonts w:hint="eastAsia" w:ascii="Times New Roman" w:hAnsi="Times New Roman" w:eastAsia="方正仿宋简体" w:cs="Times New Roman"/>
          <w:b w:val="0"/>
          <w:bCs w:val="0"/>
          <w:color w:val="000000"/>
          <w:kern w:val="2"/>
          <w:sz w:val="32"/>
          <w:szCs w:val="32"/>
          <w:lang w:val="en-US" w:eastAsia="zh-CN" w:bidi="ar-SA"/>
        </w:rPr>
        <w:t>聚焦生命健康产业，支持优质企业会同高等院校、科研院所、医疗机构等开展重大科技成果转化项目产业化合作。对企业购买转化境内外科技成果转化落地，实现新增量的企业，经综合评估，可给予不超过实际支付技术交易额的30%，最高500万元的支持。</w:t>
      </w:r>
    </w:p>
    <w:p w14:paraId="33D8D156">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8.鼓励企业模式创新。</w:t>
      </w:r>
      <w:r>
        <w:rPr>
          <w:rFonts w:hint="eastAsia" w:ascii="Times New Roman" w:hAnsi="Times New Roman" w:eastAsia="方正仿宋简体" w:cs="Times New Roman"/>
          <w:b w:val="0"/>
          <w:bCs w:val="0"/>
          <w:color w:val="000000"/>
          <w:kern w:val="2"/>
          <w:sz w:val="32"/>
          <w:szCs w:val="32"/>
          <w:lang w:val="en-US" w:eastAsia="zh-CN" w:bidi="ar-SA"/>
        </w:rPr>
        <w:t>药械上市许可持有人开展委托生产（双方应无投资等关联）落地实现产出的，经综合评估，可给予单品种最高500万元支持;对承担受托生产的企业（双方应无投资等关联）落地实现产出的，经综合评估，可给予单品种最高300万元支持。单个企业年度资金支持最高1000万元。</w:t>
      </w:r>
    </w:p>
    <w:p w14:paraId="241FE8EA">
      <w:p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9.支持数字赋能全产业链。</w:t>
      </w:r>
      <w:r>
        <w:rPr>
          <w:rFonts w:hint="eastAsia" w:ascii="Times New Roman" w:hAnsi="Times New Roman" w:eastAsia="方正仿宋简体" w:cs="Times New Roman"/>
          <w:b w:val="0"/>
          <w:bCs w:val="0"/>
          <w:color w:val="000000"/>
          <w:kern w:val="2"/>
          <w:sz w:val="32"/>
          <w:szCs w:val="32"/>
          <w:lang w:val="en-US" w:eastAsia="zh-CN" w:bidi="ar-SA"/>
        </w:rPr>
        <w:t>支持生命健康产业与人工智能、大模型、区块链等新一代信息技术相融合，在智能药物研发、医疗机器人、智能医学影像、临床辅助决策、精准医疗、健康管理等领域开展联合技术攻关并应用。对具有行业引领和示范效应的技术应用项目，经评审，可给予项目最高500万元支持。</w:t>
      </w:r>
    </w:p>
    <w:p w14:paraId="7DE66EEA">
      <w:pPr>
        <w:tabs>
          <w:tab w:val="left" w:pos="790"/>
        </w:tabs>
        <w:bidi w:val="0"/>
        <w:ind w:firstLine="643" w:firstLineChars="200"/>
        <w:jc w:val="left"/>
        <w:rPr>
          <w:rFonts w:hint="eastAsia" w:ascii="Calibri" w:hAnsi="Calibri" w:eastAsia="宋体" w:cs="Times New Roman"/>
          <w:kern w:val="2"/>
          <w:sz w:val="21"/>
          <w:szCs w:val="24"/>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10.做实做细人才服务保障。</w:t>
      </w:r>
      <w:r>
        <w:rPr>
          <w:rFonts w:hint="eastAsia" w:ascii="Times New Roman" w:hAnsi="Times New Roman" w:eastAsia="方正仿宋简体" w:cs="Times New Roman"/>
          <w:b w:val="0"/>
          <w:bCs w:val="0"/>
          <w:color w:val="000000"/>
          <w:kern w:val="2"/>
          <w:sz w:val="32"/>
          <w:szCs w:val="32"/>
          <w:lang w:val="en-US" w:eastAsia="zh-CN" w:bidi="ar-SA"/>
        </w:rPr>
        <w:t>对用人单位引进的国内外优秀人才，按照相关政策推荐申请“光启人才行动计划”，并提供人才落户、安居、医疗、出入境等方面便利化服务。</w:t>
      </w:r>
    </w:p>
    <w:p w14:paraId="2E0D31AC">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三、附则</w:t>
      </w:r>
    </w:p>
    <w:p w14:paraId="11481B7C">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1.在享受本意见政策期间，如同时可享受本区其他同类政策的，按照“从高不重复”原则执行。在实施过程中如遇国家、上海市颁布新政策，按新政策执行。</w:t>
      </w:r>
    </w:p>
    <w:p w14:paraId="7E1C5EDA">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2.对弄虚作假骗取扶持资金、擅自改变资金用途等行为，将追究扶持对象的责任。对违反相关法律法规的扶持对象，经查实，根据情节轻重，在一定时期内取消对象申报扶持资金的资格。</w:t>
      </w:r>
    </w:p>
    <w:p w14:paraId="425DEC12">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3.本意见规定的经区政府批准、经综合评估、经评审等（以下统称认定），应当按照公平合理客观的认定条件和规范透明的认定程序，依法依规开展相关认定工作。</w:t>
      </w:r>
    </w:p>
    <w:p w14:paraId="72FA0742">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4.本意见由徐汇区科学技术委员会会同徐汇区投资促进办公室、徐汇区财政局负责解释。</w:t>
      </w:r>
    </w:p>
    <w:p w14:paraId="1DE4A59F">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5.本意见自2025年2月24日起试行，试行期二年。在本意见实施前享受原政策的，按本区原政策执行至政策期满。《关于进一步推动徐汇区生命健康产业高质量发展的扶持意见》（徐科委规〔2022〕4号）同时废止。</w:t>
      </w:r>
    </w:p>
    <w:p w14:paraId="4D935D57">
      <w:pPr>
        <w:bidi w:val="0"/>
        <w:rPr>
          <w:rFonts w:hint="eastAsia" w:ascii="Calibri" w:hAnsi="Calibri" w:eastAsia="宋体" w:cs="Times New Roman"/>
          <w:kern w:val="2"/>
          <w:sz w:val="21"/>
          <w:szCs w:val="24"/>
          <w:lang w:val="en-US" w:eastAsia="zh-CN" w:bidi="ar-SA"/>
        </w:rPr>
      </w:pPr>
    </w:p>
    <w:p w14:paraId="25D5997A">
      <w:pPr>
        <w:bidi w:val="0"/>
        <w:rPr>
          <w:rFonts w:hint="eastAsia" w:ascii="Calibri" w:hAnsi="Calibri" w:eastAsia="宋体" w:cs="Times New Roman"/>
          <w:lang w:val="en-US" w:eastAsia="zh-CN"/>
        </w:rPr>
      </w:pPr>
    </w:p>
    <w:p w14:paraId="3F2D52C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关于印发《徐汇区关于支持合成生物产业发展的扶持意见》的通知</w:t>
      </w:r>
    </w:p>
    <w:p w14:paraId="3CEAA5D2">
      <w:pPr>
        <w:bidi w:val="0"/>
        <w:rPr>
          <w:rFonts w:hint="eastAsia" w:ascii="Calibri" w:hAnsi="Calibri" w:eastAsia="宋体" w:cs="Times New Roman"/>
          <w:kern w:val="2"/>
          <w:sz w:val="21"/>
          <w:szCs w:val="24"/>
          <w:lang w:val="en-US" w:eastAsia="zh-CN" w:bidi="ar-SA"/>
        </w:rPr>
      </w:pPr>
    </w:p>
    <w:p w14:paraId="44212EF8">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74AE98CD">
      <w:p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区各有关委、办、局，各街道、华泾镇，有关单位：</w:t>
      </w:r>
    </w:p>
    <w:p w14:paraId="61DDE5B3">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《徐汇区关于支持合成生物产业发展的扶持意见》已经区政府同意，现印发给你们，请认真按照执行。</w:t>
      </w:r>
    </w:p>
    <w:p w14:paraId="1F7BCDB5">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461B9B17">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1A960064">
      <w:p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上海市徐汇区科学技术委员会</w:t>
      </w:r>
    </w:p>
    <w:p w14:paraId="1D92239B">
      <w:p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2025年1月24日</w:t>
      </w:r>
    </w:p>
    <w:p w14:paraId="3D199802">
      <w:pPr>
        <w:bidi w:val="0"/>
        <w:rPr>
          <w:rFonts w:hint="eastAsia" w:ascii="Calibri" w:hAnsi="Calibri" w:eastAsia="宋体" w:cs="Times New Roman"/>
          <w:kern w:val="2"/>
          <w:sz w:val="21"/>
          <w:szCs w:val="24"/>
          <w:lang w:val="en-US" w:eastAsia="zh-CN" w:bidi="ar-SA"/>
        </w:rPr>
      </w:pPr>
    </w:p>
    <w:p w14:paraId="1F9CDF03">
      <w:pPr>
        <w:bidi w:val="0"/>
        <w:rPr>
          <w:rFonts w:hint="eastAsia" w:ascii="Calibri" w:hAnsi="Calibri" w:eastAsia="宋体" w:cs="Times New Roman"/>
          <w:lang w:val="en-US" w:eastAsia="zh-CN"/>
        </w:rPr>
      </w:pPr>
    </w:p>
    <w:p w14:paraId="66B05FFF">
      <w:pPr>
        <w:bidi w:val="0"/>
        <w:rPr>
          <w:rFonts w:hint="eastAsia" w:ascii="Calibri" w:hAnsi="Calibri" w:eastAsia="宋体" w:cs="Times New Roman"/>
          <w:lang w:val="en-US" w:eastAsia="zh-CN"/>
        </w:rPr>
      </w:pPr>
    </w:p>
    <w:p w14:paraId="37ACD1B1">
      <w:pPr>
        <w:bidi w:val="0"/>
        <w:rPr>
          <w:rFonts w:hint="eastAsia" w:ascii="Calibri" w:hAnsi="Calibri" w:eastAsia="宋体" w:cs="Times New Roman"/>
          <w:lang w:val="en-US" w:eastAsia="zh-CN"/>
        </w:rPr>
      </w:pPr>
    </w:p>
    <w:p w14:paraId="715DB963">
      <w:pPr>
        <w:bidi w:val="0"/>
        <w:rPr>
          <w:rFonts w:hint="eastAsia" w:ascii="Calibri" w:hAnsi="Calibri" w:eastAsia="宋体" w:cs="Times New Roman"/>
          <w:lang w:val="en-US" w:eastAsia="zh-CN"/>
        </w:rPr>
      </w:pPr>
    </w:p>
    <w:p w14:paraId="5E2A807C">
      <w:pPr>
        <w:bidi w:val="0"/>
        <w:rPr>
          <w:rFonts w:hint="eastAsia" w:ascii="Calibri" w:hAnsi="Calibri" w:eastAsia="宋体" w:cs="Times New Roman"/>
          <w:lang w:val="en-US" w:eastAsia="zh-CN"/>
        </w:rPr>
      </w:pPr>
    </w:p>
    <w:p w14:paraId="67C2EBC5">
      <w:pPr>
        <w:bidi w:val="0"/>
        <w:rPr>
          <w:rFonts w:hint="eastAsia" w:ascii="Calibri" w:hAnsi="Calibri" w:eastAsia="宋体" w:cs="Times New Roman"/>
          <w:lang w:val="en-US" w:eastAsia="zh-CN"/>
        </w:rPr>
      </w:pPr>
    </w:p>
    <w:p w14:paraId="039FEB9B">
      <w:pPr>
        <w:bidi w:val="0"/>
        <w:rPr>
          <w:rFonts w:hint="eastAsia" w:ascii="Calibri" w:hAnsi="Calibri" w:eastAsia="宋体" w:cs="Times New Roman"/>
          <w:lang w:val="en-US" w:eastAsia="zh-CN"/>
        </w:rPr>
      </w:pPr>
    </w:p>
    <w:p w14:paraId="4F540551">
      <w:pPr>
        <w:bidi w:val="0"/>
        <w:ind w:firstLine="535" w:firstLineChars="0"/>
        <w:jc w:val="left"/>
        <w:rPr>
          <w:rFonts w:hint="eastAsia" w:ascii="Calibri" w:hAnsi="Calibri" w:eastAsia="宋体" w:cs="Times New Roman"/>
          <w:lang w:val="en-US" w:eastAsia="zh-CN"/>
        </w:rPr>
      </w:pPr>
    </w:p>
    <w:p w14:paraId="795F1AE8">
      <w:pPr>
        <w:bidi w:val="0"/>
        <w:ind w:firstLine="535" w:firstLineChars="0"/>
        <w:jc w:val="left"/>
        <w:rPr>
          <w:rFonts w:hint="eastAsia" w:ascii="Calibri" w:hAnsi="Calibri" w:eastAsia="宋体" w:cs="Times New Roman"/>
          <w:lang w:val="en-US" w:eastAsia="zh-CN"/>
        </w:rPr>
      </w:pPr>
    </w:p>
    <w:p w14:paraId="790F960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徐汇区关于支持合成生物产业发展的扶持意见</w:t>
      </w:r>
    </w:p>
    <w:p w14:paraId="4B769769">
      <w:pPr>
        <w:bidi w:val="0"/>
        <w:ind w:firstLine="430" w:firstLineChars="0"/>
        <w:jc w:val="left"/>
        <w:rPr>
          <w:rFonts w:hint="eastAsia" w:ascii="Calibri" w:hAnsi="Calibri" w:eastAsia="宋体" w:cs="Times New Roman"/>
          <w:kern w:val="2"/>
          <w:sz w:val="21"/>
          <w:szCs w:val="24"/>
          <w:lang w:val="en-US" w:eastAsia="zh-CN" w:bidi="ar-SA"/>
        </w:rPr>
      </w:pPr>
    </w:p>
    <w:p w14:paraId="38AF7ED7">
      <w:pPr>
        <w:bidi w:val="0"/>
        <w:rPr>
          <w:rFonts w:hint="eastAsia" w:ascii="Calibri" w:hAnsi="Calibri" w:eastAsia="宋体" w:cs="Times New Roman"/>
          <w:kern w:val="2"/>
          <w:sz w:val="21"/>
          <w:szCs w:val="24"/>
          <w:lang w:val="en-US" w:eastAsia="zh-CN" w:bidi="ar-SA"/>
        </w:rPr>
      </w:pPr>
    </w:p>
    <w:p w14:paraId="403D92EA">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为加快推进徐汇合成生物领域的技术创新与产业化应用，完善合成生物产业生态体系，打造合成生物产业集群和创新策源高地，制定本意见。</w:t>
      </w:r>
    </w:p>
    <w:p w14:paraId="0AD76CEB">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一、适用对象</w:t>
      </w:r>
    </w:p>
    <w:p w14:paraId="2E8CD235">
      <w:p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本政策适用于依法经营的企事业单位，以及其他依法经区政府批准的支持对象。上述主体须符合区域产业发展导向，经营状况良好，无严重违法失信行为。</w:t>
      </w:r>
    </w:p>
    <w:p w14:paraId="4472C316">
      <w:p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方正黑体简体" w:hAnsi="方正黑体简体" w:eastAsia="方正黑体简体" w:cs="方正黑体简体"/>
          <w:b w:val="0"/>
          <w:bCs/>
          <w:kern w:val="2"/>
          <w:sz w:val="32"/>
          <w:szCs w:val="32"/>
          <w:lang w:val="en-US" w:eastAsia="zh-CN" w:bidi="ar-SA"/>
        </w:rPr>
        <w:tab/>
      </w:r>
      <w:r>
        <w:rPr>
          <w:rFonts w:hint="eastAsia" w:ascii="方正黑体简体" w:hAnsi="方正黑体简体" w:eastAsia="方正黑体简体" w:cs="方正黑体简体"/>
          <w:b w:val="0"/>
          <w:bCs/>
          <w:kern w:val="2"/>
          <w:sz w:val="32"/>
          <w:szCs w:val="32"/>
          <w:lang w:val="en-US" w:eastAsia="zh-CN" w:bidi="ar-SA"/>
        </w:rPr>
        <w:t>二、支持领域</w:t>
      </w:r>
    </w:p>
    <w:p w14:paraId="1845AF48">
      <w:p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聚焦合成生物技术领域产业发展方向，主要有：</w:t>
      </w:r>
    </w:p>
    <w:p w14:paraId="5AFF618C">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（一）基因编辑、合成、测序相关基础层技术，包括核酸合成、DNA测序、工具酶等领域；</w:t>
      </w:r>
    </w:p>
    <w:p w14:paraId="2C01DFC7">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（二）数字化辅助产品研发及成果转化，合成生物与人工智能、大模型等前沿技术融合发展，包括智能设计与优化、高通量筛选设备等领域；</w:t>
      </w:r>
    </w:p>
    <w:p w14:paraId="284C45C3">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（三）生命健康领域应用，包括细胞与基因治疗、原料药及中间体、天然产物及其衍生物、诊断试剂及酶、生物基材料、高端化妆品原料、功能性食品等领域；</w:t>
      </w:r>
    </w:p>
    <w:p w14:paraId="56ED4D80">
      <w:pPr>
        <w:numPr>
          <w:ilvl w:val="0"/>
          <w:numId w:val="0"/>
        </w:num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（四）产业配套支撑，包括产业链生态优化、空间支持、功能性平台建设等配套服务。</w:t>
      </w:r>
    </w:p>
    <w:p w14:paraId="7CD60946">
      <w:p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方正黑体简体" w:hAnsi="方正黑体简体" w:eastAsia="方正黑体简体" w:cs="方正黑体简体"/>
          <w:b w:val="0"/>
          <w:bCs/>
          <w:kern w:val="2"/>
          <w:sz w:val="32"/>
          <w:szCs w:val="32"/>
          <w:lang w:val="en-US" w:eastAsia="zh-CN" w:bidi="ar-SA"/>
        </w:rPr>
        <w:t>三、扶持方式</w:t>
      </w:r>
    </w:p>
    <w:p w14:paraId="5B4581D6">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1.加快优质企业集聚。支持引进国内外合成生物领域优质企业，促进技术创新与产业升级，提升区域经济竞争力。加快吸引和促进符合区域产业发展导向的企业，经综合评估，可给予最高不超过1000万元的一次性支持；对产业和区域发展带动作用明显的企业，经综合评估，可给予最高不超过3000万元的奖励；对合成生物领域重大项目落地，经综合评估，可给予一定资金支持。</w:t>
      </w:r>
    </w:p>
    <w:p w14:paraId="034185D9">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2.支持提升产业创新能级。支持企业做大做强，不断集聚业务，提升规模能级和辐射能力，根据企业经营水平及成长发展能力等综合因素，经综合评估，可给予不超过3000万元的奖励。</w:t>
      </w:r>
    </w:p>
    <w:p w14:paraId="776340E3">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3.支持产业平台建设。鼓励吸引和促进符合区域产业发展导向的合成生物产业平台，支持包括基因测序合成平台、生物计算与分子设计平台、重要菌种及细胞株保藏与开发平台、小试服务平台、中试放大基地、CMA、CNAS认可实验室等平台建设，经综合评估，可给予最高不超过2000万元的奖励。</w:t>
      </w:r>
    </w:p>
    <w:p w14:paraId="003F37B4">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4.支持产品创新发展。鼓励合成生物企业申请化妆品新原料、新食品原料（新资源食品）、食品添加剂新品种、食品相关产品新品种、特殊医学用途配方食品等市场准入。对此类获证产品，经评审，可给予每个产品最高20万元支持。单个企业年度资金支持最高500万元。</w:t>
      </w:r>
    </w:p>
    <w:p w14:paraId="6BC44424">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5.支持应用场景建设。鼓励合成生物领域创新主体，联合大模型企业、人工智能企业开发建设核酸、蛋白质相关大模型、大数据和验证平台等，打造行业级示范应用。对具有行业引领和示范效应的技术应用与场景建设项目，经评审，可给予最高不超过500万元的支持。</w:t>
      </w:r>
    </w:p>
    <w:p w14:paraId="4A7EF8E8">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6.强化产业空间保障。为合成生物产业发展提供产业空间和配套基础设施，促进产业集聚发展。优化资源协同配置，加强专业园区间合作共建、联动发展，支持企业与上下游企业通过投资并购、合资共建等形式促进创新产品大规模生产。经综合评估，可给予一定资金支持。</w:t>
      </w:r>
    </w:p>
    <w:p w14:paraId="63218850">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7.加大金融赋能产业发展。发挥政府产业基金引领带动作用，支持产业投资引导基金、直投基金，以及各类市场化基金聚集发展，加大对合成生物制造领域的投资力度。深化与银行、保险、担保等各类金融机构合作，支持合成生物制造企业利用多种金融工具筹集资金、降低成本，满足不同阶段企业融资需求。</w:t>
      </w:r>
    </w:p>
    <w:p w14:paraId="73F2FAA8">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8.做实做细人才服务保障。对用人单位引进的国内外优秀人才，按照相关政策推荐申请“光启人才行动计划”，并提供人才落户、安居、医疗、出入境等方面便利化服务。</w:t>
      </w:r>
    </w:p>
    <w:p w14:paraId="4459CF01">
      <w:pPr>
        <w:tabs>
          <w:tab w:val="left" w:pos="790"/>
        </w:tabs>
        <w:bidi w:val="0"/>
        <w:ind w:firstLine="640" w:firstLineChars="200"/>
        <w:jc w:val="left"/>
        <w:rPr>
          <w:rFonts w:hint="eastAsia" w:ascii="Calibri" w:hAnsi="Calibri" w:eastAsia="宋体" w:cs="Times New Roman"/>
          <w:kern w:val="2"/>
          <w:sz w:val="21"/>
          <w:szCs w:val="24"/>
          <w:lang w:val="en-US" w:eastAsia="zh-CN" w:bidi="ar-SA"/>
        </w:rPr>
      </w:pPr>
      <w:r>
        <w:rPr>
          <w:rFonts w:hint="eastAsia" w:ascii="方正黑体简体" w:hAnsi="方正黑体简体" w:eastAsia="方正黑体简体" w:cs="方正黑体简体"/>
          <w:b w:val="0"/>
          <w:bCs/>
          <w:kern w:val="2"/>
          <w:sz w:val="32"/>
          <w:szCs w:val="32"/>
          <w:lang w:val="en-US" w:eastAsia="zh-CN" w:bidi="ar-SA"/>
        </w:rPr>
        <w:t>四、附则</w:t>
      </w:r>
    </w:p>
    <w:p w14:paraId="207FD26D">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1.在享受本意见政策期间，如同时可享受本区其他同类政策的，按照“从高不重复”原则执行。在实施过程中如遇国家、上海市颁布新政策，按新政策执行。</w:t>
      </w:r>
    </w:p>
    <w:p w14:paraId="6A3EEFC4">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2.对弄虚作假骗取扶持资金、擅自改变资金用途等行为，将追究扶持对象的责任。对违反相关法律法规的扶持对象，经查实，根据情节轻重，在一定时期内取消对象申报扶持资金的资格。</w:t>
      </w:r>
    </w:p>
    <w:p w14:paraId="5D62E2BE">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3.本意见规定的经区政府批准、经综合评估、经评审等（以下统称认定），应当按照公平合理客观的认定条件和规范透明的认定程序，依法依规开展相关认定工作。</w:t>
      </w:r>
    </w:p>
    <w:p w14:paraId="70FA5226">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4.本意见由徐汇区科学技术委员会会同徐汇区投资促进办公室、徐汇区财政局负责解释。</w:t>
      </w:r>
    </w:p>
    <w:p w14:paraId="0CBCB6DD">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5.本意见自2025年2月24日起试行，试行期二年。在本意见实施前享受原政策的，按本区原政策执行至政策期满。《徐汇区关于支持合成生物产业发展的扶持意见（试行）》（徐科委规〔2024〕1号）同时废止。</w:t>
      </w:r>
    </w:p>
    <w:p w14:paraId="6E298D7E">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36E511E0">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3E2D25EF">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3368DE9B">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p>
    <w:p w14:paraId="13A41AF3">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上海市投资促进工作领导小组办公室印发《关于促进本市招商引资高质量发展的若干措施》的通知</w:t>
      </w:r>
    </w:p>
    <w:p w14:paraId="14D2078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p>
    <w:p w14:paraId="02DE0CE7">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市投资促进工作领导小组成员单位，各区人民政府、重点产业园区管委会：</w:t>
      </w:r>
    </w:p>
    <w:p w14:paraId="3141EFC1">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经市人民政府同意，现将《关于促进本市招商引资高质量发展的若干措施》印发给你们，请认真贯彻执行。</w:t>
      </w:r>
    </w:p>
    <w:p w14:paraId="780B360A">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4CC304AF">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上海市投资促进工作领导小组办公室</w:t>
      </w:r>
    </w:p>
    <w:p w14:paraId="0A6A87AB">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2025年1月10日</w:t>
      </w:r>
    </w:p>
    <w:p w14:paraId="6E524A7B">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2C08C2DB">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7B3112C7">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718CFE60">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4FCB9CA9">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71185AA0">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6B1E7DC4">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34FA99EA">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57B2A008">
      <w:pPr>
        <w:numPr>
          <w:ilvl w:val="0"/>
          <w:numId w:val="0"/>
        </w:numPr>
        <w:tabs>
          <w:tab w:val="left" w:pos="790"/>
        </w:tabs>
        <w:bidi w:val="0"/>
        <w:ind w:firstLine="640" w:firstLineChars="200"/>
        <w:jc w:val="right"/>
        <w:rPr>
          <w:rFonts w:hint="eastAsia" w:ascii="Times New Roman" w:hAnsi="Times New Roman" w:eastAsia="方正仿宋简体" w:cs="Times New Roman"/>
          <w:b w:val="0"/>
          <w:bCs w:val="0"/>
          <w:color w:val="000000"/>
          <w:kern w:val="2"/>
          <w:sz w:val="32"/>
          <w:szCs w:val="32"/>
          <w:lang w:val="en-US" w:eastAsia="zh-CN" w:bidi="ar-SA"/>
        </w:rPr>
      </w:pPr>
    </w:p>
    <w:p w14:paraId="0EC8AFF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关于促进本市招商引资高质量发展的若干措施</w:t>
      </w:r>
    </w:p>
    <w:p w14:paraId="6071E86E">
      <w:pPr>
        <w:bidi w:val="0"/>
        <w:rPr>
          <w:rFonts w:hint="eastAsia" w:ascii="Calibri" w:hAnsi="Calibri" w:eastAsia="宋体" w:cs="Times New Roman"/>
          <w:kern w:val="2"/>
          <w:sz w:val="21"/>
          <w:szCs w:val="24"/>
          <w:lang w:val="en-US" w:eastAsia="zh-CN" w:bidi="ar-SA"/>
        </w:rPr>
      </w:pPr>
    </w:p>
    <w:p w14:paraId="384113FC">
      <w:pPr>
        <w:numPr>
          <w:ilvl w:val="0"/>
          <w:numId w:val="0"/>
        </w:numPr>
        <w:tabs>
          <w:tab w:val="left" w:pos="790"/>
        </w:tabs>
        <w:bidi w:val="0"/>
        <w:ind w:firstLine="640"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招商引资是经济工作的牛鼻子和生命线，是高质量发展</w:t>
      </w:r>
    </w:p>
    <w:p w14:paraId="6F999255">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的关键举措。为深入贯彻落实党的二十大和二十届二中、三</w:t>
      </w:r>
    </w:p>
    <w:p w14:paraId="71923F6F">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中全会精神，按照十二届市委五次全会部署，进一步加大招</w:t>
      </w:r>
    </w:p>
    <w:p w14:paraId="1F81DF91">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商引资统筹力度，创新招商方式，完善招商政策，推动招商</w:t>
      </w:r>
    </w:p>
    <w:p w14:paraId="1E32289E">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和服务一体化建设，规范招商行为，现提出如下措施：</w:t>
      </w:r>
    </w:p>
    <w:p w14:paraId="35E3CD99">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一、加大重点领域招商引资力度</w:t>
      </w:r>
    </w:p>
    <w:p w14:paraId="5E7BD242">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1．聚焦服务国家重大战略。</w:t>
      </w:r>
      <w:r>
        <w:rPr>
          <w:rFonts w:hint="eastAsia" w:ascii="Times New Roman" w:hAnsi="Times New Roman" w:eastAsia="方正仿宋简体" w:cs="Times New Roman"/>
          <w:b w:val="0"/>
          <w:bCs w:val="0"/>
          <w:color w:val="000000"/>
          <w:kern w:val="2"/>
          <w:sz w:val="32"/>
          <w:szCs w:val="32"/>
          <w:lang w:val="en-US" w:eastAsia="zh-CN" w:bidi="ar-SA"/>
        </w:rPr>
        <w:t>聚焦上海“五个中心”建设、</w:t>
      </w:r>
    </w:p>
    <w:p w14:paraId="2E05BBBC">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浦东社会主义现代化建设引领区、自贸试验区临港新片区、</w:t>
      </w:r>
    </w:p>
    <w:p w14:paraId="3359CE8F">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长三角一体化发展、虹桥国际开放枢纽等国家战略任务，对</w:t>
      </w:r>
    </w:p>
    <w:p w14:paraId="085F92B5">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标国际高标准经贸规则，加快制度型开放，构建高水平社会</w:t>
      </w:r>
    </w:p>
    <w:p w14:paraId="7324B018">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主义市场经济体制，吸引更多全球资源配置能力强、辐射能</w:t>
      </w:r>
    </w:p>
    <w:p w14:paraId="2ED9F6AF">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级高的经营主体在上海集聚。</w:t>
      </w:r>
    </w:p>
    <w:p w14:paraId="26B9E002">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2．加快构建现代化产业体系。</w:t>
      </w:r>
      <w:r>
        <w:rPr>
          <w:rFonts w:hint="eastAsia" w:ascii="Times New Roman" w:hAnsi="Times New Roman" w:eastAsia="方正仿宋简体" w:cs="Times New Roman"/>
          <w:b w:val="0"/>
          <w:bCs w:val="0"/>
          <w:color w:val="000000"/>
          <w:kern w:val="2"/>
          <w:sz w:val="32"/>
          <w:szCs w:val="32"/>
          <w:lang w:val="en-US" w:eastAsia="zh-CN" w:bidi="ar-SA"/>
        </w:rPr>
        <w:t>强化高端产业引领功能，</w:t>
      </w:r>
    </w:p>
    <w:p w14:paraId="6CE9F0AC">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重点围绕集成电路、生物医药、人工智能三大先导产业，电</w:t>
      </w:r>
    </w:p>
    <w:p w14:paraId="14D46251">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子信息、生命健康、汽车、高端装备、先进材料、时尚消费</w:t>
      </w:r>
    </w:p>
    <w:p w14:paraId="4DE0365D">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品六大重点产业，数字经济、绿色低碳、元宇宙和智能终端</w:t>
      </w:r>
    </w:p>
    <w:p w14:paraId="2676AEF6">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四大新赛道，未来健康、未来智能、未来能源、未来空间和</w:t>
      </w:r>
    </w:p>
    <w:p w14:paraId="4E96F65A">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未来材料五大未来产业，以及高技术船舶、大飞机、低空经</w:t>
      </w:r>
    </w:p>
    <w:p w14:paraId="256661E9">
      <w:pPr>
        <w:numPr>
          <w:ilvl w:val="0"/>
          <w:numId w:val="0"/>
        </w:numPr>
        <w:tabs>
          <w:tab w:val="left" w:pos="790"/>
        </w:tabs>
        <w:bidi w:val="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val="0"/>
          <w:bCs w:val="0"/>
          <w:color w:val="000000"/>
          <w:kern w:val="2"/>
          <w:sz w:val="32"/>
          <w:szCs w:val="32"/>
          <w:lang w:val="en-US" w:eastAsia="zh-CN" w:bidi="ar-SA"/>
        </w:rPr>
        <w:t>济、商业航天等产业细分赛道开展招商引资工作。</w:t>
      </w:r>
    </w:p>
    <w:p w14:paraId="399E293F">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3．加快现代服务业创新发展。</w:t>
      </w:r>
      <w:r>
        <w:rPr>
          <w:rFonts w:hint="eastAsia" w:ascii="Times New Roman" w:hAnsi="Times New Roman" w:eastAsia="方正仿宋简体" w:cs="Times New Roman"/>
          <w:b w:val="0"/>
          <w:bCs w:val="0"/>
          <w:color w:val="000000"/>
          <w:kern w:val="2"/>
          <w:sz w:val="32"/>
          <w:szCs w:val="32"/>
          <w:lang w:val="en-US" w:eastAsia="zh-CN" w:bidi="ar-SA"/>
        </w:rPr>
        <w:t>加大研发设计、供应链管理、检验检测、知识产权服务等重点领域招引力度，推动生产性服务业向专业化和价值链高端延伸。推动全球知名资管、理财、基金、保险等机构在沪设立区域总部，加快金融高水平对外开放。加强养老、家政、体育、演艺、展览、康养等生活性服务业重点领域招商引资，优化高品质生活服务新供给。</w:t>
      </w:r>
    </w:p>
    <w:p w14:paraId="043382C0">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二、推动招商引资方式创新</w:t>
      </w:r>
    </w:p>
    <w:p w14:paraId="354487C0">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4．实施产业生态招商。</w:t>
      </w:r>
      <w:r>
        <w:rPr>
          <w:rFonts w:hint="eastAsia" w:ascii="Times New Roman" w:hAnsi="Times New Roman" w:eastAsia="方正仿宋简体" w:cs="Times New Roman"/>
          <w:b w:val="0"/>
          <w:bCs w:val="0"/>
          <w:color w:val="000000"/>
          <w:kern w:val="2"/>
          <w:sz w:val="32"/>
          <w:szCs w:val="32"/>
          <w:lang w:val="en-US" w:eastAsia="zh-CN" w:bidi="ar-SA"/>
        </w:rPr>
        <w:t>各区围绕本市产业地图和市区协同重点产业链责任分工，编制产业链招商图谱，排摸梳理目标企业清单，开展靶向招商。依托“链主”企业，推动引进配套企业、上下游企业和生态合作伙伴，培育大中小企业融通发展的产业集群，以一流的产业创新生态吸引企业落地。实施精准招商计划，培育产业新增长点。</w:t>
      </w:r>
    </w:p>
    <w:p w14:paraId="63110517">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ab/>
      </w:r>
      <w:r>
        <w:rPr>
          <w:rFonts w:hint="eastAsia" w:ascii="Times New Roman" w:hAnsi="Times New Roman" w:eastAsia="方正仿宋简体" w:cs="Times New Roman"/>
          <w:b/>
          <w:bCs/>
          <w:color w:val="000000"/>
          <w:kern w:val="2"/>
          <w:sz w:val="32"/>
          <w:szCs w:val="32"/>
          <w:lang w:val="en-US" w:eastAsia="zh-CN" w:bidi="ar-SA"/>
        </w:rPr>
        <w:t>5．加强场景招商。</w:t>
      </w:r>
      <w:r>
        <w:rPr>
          <w:rFonts w:hint="eastAsia" w:ascii="Times New Roman" w:hAnsi="Times New Roman" w:eastAsia="方正仿宋简体" w:cs="Times New Roman"/>
          <w:b w:val="0"/>
          <w:bCs w:val="0"/>
          <w:color w:val="000000"/>
          <w:kern w:val="2"/>
          <w:sz w:val="32"/>
          <w:szCs w:val="32"/>
          <w:lang w:val="en-US" w:eastAsia="zh-CN" w:bidi="ar-SA"/>
        </w:rPr>
        <w:t>用好本市海量应用场景优势，面向制造、金融、健康、零售、商务、文旅等重点领域，建立定期征集发布创新应用场景机制，以更大的市场机遇吸引优质项目落地。加大智能工厂、自动驾驶、人工智能、5G、大数据、区块链、元宇宙等超级应用场景开放力度，以重大产业项目示范为支撑，吸引创新型企业来沪发展。</w:t>
      </w:r>
    </w:p>
    <w:p w14:paraId="020FC658">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6．加强要素招商。</w:t>
      </w:r>
      <w:r>
        <w:rPr>
          <w:rFonts w:hint="eastAsia" w:ascii="Times New Roman" w:hAnsi="Times New Roman" w:eastAsia="方正仿宋简体" w:cs="Times New Roman"/>
          <w:b w:val="0"/>
          <w:bCs w:val="0"/>
          <w:color w:val="000000"/>
          <w:kern w:val="2"/>
          <w:sz w:val="32"/>
          <w:szCs w:val="32"/>
          <w:lang w:val="en-US" w:eastAsia="zh-CN" w:bidi="ar-SA"/>
        </w:rPr>
        <w:t>强化金融服务实体经济能力，市、区两级共同设立产业引导基金，建立产业基金和市场化基金联动机制，推动产业链上下游补链强链，助力实体型招商项目落地。强化数据赋能产业高质量发展，加快以算力、算法、语料为基础的数据要素市场建设，吸引大模型等高算力需求企业来沪布局。</w:t>
      </w:r>
    </w:p>
    <w:p w14:paraId="08443DE1">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7．加强会展招商。</w:t>
      </w:r>
      <w:r>
        <w:rPr>
          <w:rFonts w:hint="eastAsia" w:ascii="Times New Roman" w:hAnsi="Times New Roman" w:eastAsia="方正仿宋简体" w:cs="Times New Roman"/>
          <w:b w:val="0"/>
          <w:bCs w:val="0"/>
          <w:color w:val="000000"/>
          <w:kern w:val="2"/>
          <w:sz w:val="32"/>
          <w:szCs w:val="32"/>
          <w:lang w:val="en-US" w:eastAsia="zh-CN" w:bidi="ar-SA"/>
        </w:rPr>
        <w:t>遴选国际影响力大、产业契合度高的国内外会展活动，举办重大招商引资推介活动，提高对接成效。强化中国国际进口博览会、世界人工智能大会、中国国际工业博览会等重要会展平台的招商引资功能。加强重点会展活动的组织动员，形成具有针对性、专业性、实效性的专场展会招商方案。对接世界500强企业、知名跨国公司、国际金融机构、外国商协会等在沪举办的全球董事会、投资者大会、年度会议等活动，及时掌握企业投资动向。</w:t>
      </w:r>
    </w:p>
    <w:p w14:paraId="4FD7BB68">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8．加强载体招商。</w:t>
      </w:r>
      <w:r>
        <w:rPr>
          <w:rFonts w:hint="eastAsia" w:ascii="Times New Roman" w:hAnsi="Times New Roman" w:eastAsia="方正仿宋简体" w:cs="Times New Roman"/>
          <w:b w:val="0"/>
          <w:bCs w:val="0"/>
          <w:color w:val="000000"/>
          <w:kern w:val="2"/>
          <w:sz w:val="32"/>
          <w:szCs w:val="32"/>
          <w:lang w:val="en-US" w:eastAsia="zh-CN" w:bidi="ar-SA"/>
        </w:rPr>
        <w:t>依托市级特色产业园区建设，大力拓展产业发展增量空间，鼓励企业和园区打造“智造空间”，推动优质项目加快向高品质载体集聚。加快推进商务楼宇更新提升行动方案，打造楼宇经济“升级版”。</w:t>
      </w:r>
    </w:p>
    <w:p w14:paraId="3EC8EDE6">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三、完善招商引资扶持政策</w:t>
      </w:r>
    </w:p>
    <w:p w14:paraId="2785CB3E">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9．加大精准扶持力度。</w:t>
      </w:r>
      <w:r>
        <w:rPr>
          <w:rFonts w:hint="eastAsia" w:ascii="Times New Roman" w:hAnsi="Times New Roman" w:eastAsia="方正仿宋简体" w:cs="Times New Roman"/>
          <w:b w:val="0"/>
          <w:bCs w:val="0"/>
          <w:color w:val="000000"/>
          <w:kern w:val="2"/>
          <w:sz w:val="32"/>
          <w:szCs w:val="32"/>
          <w:lang w:val="en-US" w:eastAsia="zh-CN" w:bidi="ar-SA"/>
        </w:rPr>
        <w:t>统筹产业发展、科技创新、外资外贸、人才培养等扶持政策，鼓励企业开展增资扩产、规模提升、技术改造、设备更新、数智化转型、研发创新、人才引进、职业培训等活动，对招商项目给予精准对接支持。落实高新技术企业税费优惠、研发费用加计扣除，以及工业降本增效等支持政策，做到应享尽享、直达快享。</w:t>
      </w:r>
    </w:p>
    <w:p w14:paraId="0C0B1F3F">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10．构建全球招商服务网络。</w:t>
      </w:r>
      <w:r>
        <w:rPr>
          <w:rFonts w:hint="eastAsia" w:ascii="Times New Roman" w:hAnsi="Times New Roman" w:eastAsia="方正仿宋简体" w:cs="Times New Roman"/>
          <w:b w:val="0"/>
          <w:bCs w:val="0"/>
          <w:color w:val="000000"/>
          <w:kern w:val="2"/>
          <w:sz w:val="32"/>
          <w:szCs w:val="32"/>
          <w:lang w:val="en-US" w:eastAsia="zh-CN" w:bidi="ar-SA"/>
        </w:rPr>
        <w:t>推动建立覆盖重点国家、地区、城市的境内外招商网络体系，加强招商人员配备。鼓励各区、重点产业园区通过购买服务等方式与全球招商合作伙伴开展合作招商。探索对符合条件的合作伙伴或机构予以相应支持。</w:t>
      </w:r>
    </w:p>
    <w:p w14:paraId="1B094ED0">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11．加强人才服务保障。</w:t>
      </w:r>
      <w:r>
        <w:rPr>
          <w:rFonts w:hint="eastAsia" w:ascii="Times New Roman" w:hAnsi="Times New Roman" w:eastAsia="方正仿宋简体" w:cs="Times New Roman"/>
          <w:b w:val="0"/>
          <w:bCs w:val="0"/>
          <w:color w:val="000000"/>
          <w:kern w:val="2"/>
          <w:sz w:val="32"/>
          <w:szCs w:val="32"/>
          <w:lang w:val="en-US" w:eastAsia="zh-CN" w:bidi="ar-SA"/>
        </w:rPr>
        <w:t>将优质招商引资企业纳入本市人才引进重点机构范围，加大对招商引资项目重点产业人才安居的支持保障力度。支持将符合条件的优秀人才纳入“产业菁英”培养专项，实施重点产业人才专项政策。做好外籍人才出入境、停居留、纳税申报等服务保障工作。</w:t>
      </w:r>
    </w:p>
    <w:p w14:paraId="79CFD2F2">
      <w:pPr>
        <w:tabs>
          <w:tab w:val="left" w:pos="790"/>
        </w:tabs>
        <w:bidi w:val="0"/>
        <w:ind w:firstLine="640" w:firstLineChars="200"/>
        <w:jc w:val="left"/>
        <w:rPr>
          <w:rFonts w:hint="eastAsia" w:ascii="方正黑体简体" w:hAnsi="方正黑体简体" w:eastAsia="方正黑体简体" w:cs="方正黑体简体"/>
          <w:b w:val="0"/>
          <w:bCs/>
          <w:kern w:val="2"/>
          <w:sz w:val="32"/>
          <w:szCs w:val="32"/>
          <w:lang w:val="en-US" w:eastAsia="zh-CN" w:bidi="ar-SA"/>
        </w:rPr>
      </w:pPr>
      <w:r>
        <w:rPr>
          <w:rFonts w:hint="eastAsia" w:ascii="方正黑体简体" w:hAnsi="方正黑体简体" w:eastAsia="方正黑体简体" w:cs="方正黑体简体"/>
          <w:b w:val="0"/>
          <w:bCs/>
          <w:kern w:val="2"/>
          <w:sz w:val="32"/>
          <w:szCs w:val="32"/>
          <w:lang w:val="en-US" w:eastAsia="zh-CN" w:bidi="ar-SA"/>
        </w:rPr>
        <w:t>四、优化招商引资服务保障</w:t>
      </w:r>
    </w:p>
    <w:p w14:paraId="5095EBA5">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12．建立招商服务一体化机制。</w:t>
      </w:r>
      <w:r>
        <w:rPr>
          <w:rFonts w:hint="eastAsia" w:ascii="Times New Roman" w:hAnsi="Times New Roman" w:eastAsia="方正仿宋简体" w:cs="Times New Roman"/>
          <w:b w:val="0"/>
          <w:bCs w:val="0"/>
          <w:color w:val="000000"/>
          <w:kern w:val="2"/>
          <w:sz w:val="32"/>
          <w:szCs w:val="32"/>
          <w:lang w:val="en-US" w:eastAsia="zh-CN" w:bidi="ar-SA"/>
        </w:rPr>
        <w:t>统筹市、区两级招商引资和企业服务工作，建立“管招商、管项目、管企业、管服务”全生命周期服务体系。打造招商项目服务闭环，设立企业服务专员，及时协调解决企业诉求。</w:t>
      </w:r>
    </w:p>
    <w:p w14:paraId="48C743CB">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13．完善重大问题协调解决机制。</w:t>
      </w:r>
      <w:r>
        <w:rPr>
          <w:rFonts w:hint="eastAsia" w:ascii="Times New Roman" w:hAnsi="Times New Roman" w:eastAsia="方正仿宋简体" w:cs="Times New Roman"/>
          <w:b w:val="0"/>
          <w:bCs w:val="0"/>
          <w:color w:val="000000"/>
          <w:kern w:val="2"/>
          <w:sz w:val="32"/>
          <w:szCs w:val="32"/>
          <w:lang w:val="en-US" w:eastAsia="zh-CN" w:bidi="ar-SA"/>
        </w:rPr>
        <w:t>复制推广重大项目招引和服务经验，推广并联推进、综合验收等审批模式，确保项目按时注册、拿地、开工、竣工、投产。建立项目问题及时发现和亮灯预警机制，实施重大问题集中会商，推动问题限期解决，对复杂疑难问题提级推进。</w:t>
      </w:r>
    </w:p>
    <w:p w14:paraId="6C09D71B">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14．强化招商协同联动。</w:t>
      </w:r>
      <w:r>
        <w:rPr>
          <w:rFonts w:hint="eastAsia" w:ascii="Times New Roman" w:hAnsi="Times New Roman" w:eastAsia="方正仿宋简体" w:cs="Times New Roman"/>
          <w:b w:val="0"/>
          <w:bCs w:val="0"/>
          <w:color w:val="000000"/>
          <w:kern w:val="2"/>
          <w:sz w:val="32"/>
          <w:szCs w:val="32"/>
          <w:lang w:val="en-US" w:eastAsia="zh-CN" w:bidi="ar-SA"/>
        </w:rPr>
        <w:t>加强重大招商项目统筹布局，市、区两级共同做好政策叠加和协同推进。优化市级招商信息平台功能，推动项目、政策、载体等资源供需精准对接。建立区与区结对招商机制，引导招商项目研发、管理、销售、总部等功能板块与制造板块合理跨区布局，最大程度实现招商资源互惠互补。</w:t>
      </w:r>
    </w:p>
    <w:p w14:paraId="51138ACB">
      <w:pPr>
        <w:numPr>
          <w:ilvl w:val="0"/>
          <w:numId w:val="0"/>
        </w:numPr>
        <w:tabs>
          <w:tab w:val="left" w:pos="790"/>
        </w:tabs>
        <w:bidi w:val="0"/>
        <w:ind w:firstLine="643" w:firstLineChars="200"/>
        <w:jc w:val="left"/>
        <w:rPr>
          <w:rFonts w:hint="eastAsia" w:ascii="Times New Roman" w:hAnsi="Times New Roman" w:eastAsia="方正仿宋简体" w:cs="Times New Roman"/>
          <w:b w:val="0"/>
          <w:bCs w:val="0"/>
          <w:color w:val="000000"/>
          <w:kern w:val="2"/>
          <w:sz w:val="32"/>
          <w:szCs w:val="32"/>
          <w:lang w:val="en-US" w:eastAsia="zh-CN" w:bidi="ar-SA"/>
        </w:rPr>
      </w:pPr>
      <w:r>
        <w:rPr>
          <w:rFonts w:hint="eastAsia" w:ascii="Times New Roman" w:hAnsi="Times New Roman" w:eastAsia="方正仿宋简体" w:cs="Times New Roman"/>
          <w:b/>
          <w:bCs/>
          <w:color w:val="000000"/>
          <w:kern w:val="2"/>
          <w:sz w:val="32"/>
          <w:szCs w:val="32"/>
          <w:lang w:val="en-US" w:eastAsia="zh-CN" w:bidi="ar-SA"/>
        </w:rPr>
        <w:t>15．加大招商培训力度。</w:t>
      </w:r>
      <w:r>
        <w:rPr>
          <w:rFonts w:hint="eastAsia" w:ascii="Times New Roman" w:hAnsi="Times New Roman" w:eastAsia="方正仿宋简体" w:cs="Times New Roman"/>
          <w:b w:val="0"/>
          <w:bCs w:val="0"/>
          <w:color w:val="000000"/>
          <w:kern w:val="2"/>
          <w:sz w:val="32"/>
          <w:szCs w:val="32"/>
          <w:lang w:val="en-US" w:eastAsia="zh-CN" w:bidi="ar-SA"/>
        </w:rPr>
        <w:t>实施“招商能手、服务专员”培训计划，依托本市各级投资促进部门和市场化专业力量，提升招商队伍素质，提高专业招商能力，增强招商服务意识。试行招商服务人员持证上岗制度，规范招商引资行为。</w:t>
      </w:r>
    </w:p>
    <w:p w14:paraId="17D079A7">
      <w:pPr>
        <w:rPr>
          <w:rFonts w:ascii="Calibri" w:hAnsi="Calibri" w:eastAsia="宋体" w:cs="Times New Roman"/>
        </w:rPr>
      </w:pPr>
    </w:p>
    <w:p w14:paraId="5AD94163">
      <w:pPr>
        <w:rPr>
          <w:rFonts w:ascii="Calibri" w:hAnsi="Calibri" w:eastAsia="宋体" w:cs="Times New Roman"/>
          <w:szCs w:val="22"/>
          <w14:ligatures w14:val="standardContextual"/>
        </w:rPr>
      </w:pPr>
    </w:p>
    <w:p w14:paraId="02F24997">
      <w:pPr>
        <w:snapToGrid w:val="0"/>
        <w:spacing w:line="570" w:lineRule="exact"/>
        <w:jc w:val="center"/>
        <w:rPr>
          <w:rFonts w:hint="eastAsia" w:ascii="Times New Roman" w:hAnsi="Times New Roman" w:eastAsia="方正小标宋简体"/>
          <w:sz w:val="44"/>
          <w:szCs w:val="44"/>
        </w:rPr>
      </w:pPr>
      <w:r>
        <w:rPr>
          <w:rFonts w:hint="eastAsia" w:ascii="Times New Roman" w:hAnsi="Times New Roman" w:eastAsia="方正小标宋简体"/>
          <w:sz w:val="44"/>
          <w:szCs w:val="44"/>
        </w:rPr>
        <w:t>上海市推进国际航运中心建设条例</w:t>
      </w:r>
    </w:p>
    <w:p w14:paraId="620AFB49">
      <w:pPr>
        <w:snapToGrid w:val="0"/>
        <w:spacing w:line="570" w:lineRule="exact"/>
        <w:jc w:val="center"/>
        <w:rPr>
          <w:rFonts w:ascii="Times New Roman" w:hAnsi="Times New Roman" w:eastAsia="方正楷体简体"/>
          <w:sz w:val="32"/>
          <w:szCs w:val="32"/>
        </w:rPr>
      </w:pPr>
      <w:r>
        <w:rPr>
          <w:rFonts w:hint="eastAsia" w:ascii="Times New Roman" w:hAnsi="Times New Roman" w:eastAsia="方正楷体简体"/>
          <w:sz w:val="32"/>
          <w:szCs w:val="32"/>
        </w:rPr>
        <w:t>上海市人民代表大会常务委员会</w:t>
      </w:r>
    </w:p>
    <w:p w14:paraId="3020061B">
      <w:pPr>
        <w:snapToGrid w:val="0"/>
        <w:spacing w:line="570" w:lineRule="exact"/>
        <w:ind w:firstLine="839"/>
        <w:jc w:val="center"/>
        <w:rPr>
          <w:rFonts w:ascii="Times New Roman" w:hAnsi="Times New Roman" w:eastAsia="楷体_GB2312"/>
          <w:sz w:val="32"/>
          <w:szCs w:val="32"/>
        </w:rPr>
      </w:pPr>
    </w:p>
    <w:p w14:paraId="6881E29B">
      <w:pPr>
        <w:snapToGrid w:val="0"/>
        <w:spacing w:line="570" w:lineRule="exact"/>
        <w:ind w:firstLine="623"/>
        <w:rPr>
          <w:rFonts w:ascii="Times New Roman" w:hAnsi="Times New Roman" w:eastAsia="方正黑体简体"/>
          <w:sz w:val="32"/>
          <w:szCs w:val="32"/>
        </w:rPr>
      </w:pPr>
      <w:r>
        <w:rPr>
          <w:rFonts w:hint="eastAsia" w:ascii="Times New Roman" w:hAnsi="Times New Roman" w:eastAsia="方正仿宋简体"/>
          <w:sz w:val="32"/>
          <w:szCs w:val="32"/>
        </w:rPr>
        <w:t>（2016年6月23日上海市第十四届人民代表大会常务委员会第三十次会议通过2024年12月31日上海市第十六届人民代表大会常务委员会第十八次会议修订）</w:t>
      </w:r>
    </w:p>
    <w:p w14:paraId="6F86E6AD">
      <w:pPr>
        <w:snapToGrid w:val="0"/>
        <w:spacing w:line="570" w:lineRule="exact"/>
        <w:ind w:firstLine="623"/>
        <w:rPr>
          <w:rFonts w:hint="eastAsia" w:ascii="Times New Roman" w:hAnsi="Times New Roman" w:eastAsia="方正仿宋简体"/>
          <w:sz w:val="32"/>
          <w:szCs w:val="32"/>
        </w:rPr>
      </w:pPr>
      <w:r>
        <w:rPr>
          <w:rFonts w:ascii="Times New Roman" w:hAnsi="Times New Roman" w:eastAsia="方正黑体简体"/>
          <w:sz w:val="32"/>
          <w:szCs w:val="32"/>
        </w:rPr>
        <w:t>一、</w:t>
      </w:r>
      <w:r>
        <w:rPr>
          <w:rFonts w:hint="eastAsia" w:ascii="Times New Roman" w:hAnsi="Times New Roman" w:eastAsia="方正黑体简体"/>
          <w:sz w:val="32"/>
          <w:szCs w:val="32"/>
        </w:rPr>
        <w:t>总则</w:t>
      </w:r>
    </w:p>
    <w:p w14:paraId="5338C64F">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第一条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为了加快上海国际航运中心建设，提升航运资源全球配置能力，助力海洋强国、航运强国建设，根据有关法律、行政法规的规定，结合本市实际，制定本条例。</w:t>
      </w:r>
    </w:p>
    <w:p w14:paraId="4EAC83EC">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本市推进上海国际航运中心建设工作，适用本条例。</w:t>
      </w:r>
    </w:p>
    <w:p w14:paraId="5E96C3A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本市贯彻落实国家战略，共建辐射全球的航运枢纽，提升高端航运服务水平，深化智慧绿色航运合作发展，营造国际一流航运发展环境，建设全球领先的国际航运中心。</w:t>
      </w:r>
    </w:p>
    <w:p w14:paraId="0541E556">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第四条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市人民政府加强对本市推进上海国际航运中心建设工作的领导，建立工作协调机制，深化上海国际航运中心与上海国际经济、贸易、金融、科技创新中心联动发展。</w:t>
      </w:r>
    </w:p>
    <w:p w14:paraId="462D78A7">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区人民政府按照全市总体工作部署，做好本行政区域推进上海国际航运中心建设相关工作。</w:t>
      </w:r>
    </w:p>
    <w:p w14:paraId="30E0EE3B">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第五条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市交通部门负责协调推进上海国际航运中心建设工作，组织编制相关规划，落实有关工作任务。</w:t>
      </w:r>
    </w:p>
    <w:p w14:paraId="49977282">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发展改革、经济信息化、商务（口岸）、教育、科技、公安、司法行政、财政、规划资源、生态环境、水务（海洋）、文化旅游、应急、市场监管、数据、地方金融、气象等部门加强协作配合，按照各自职责落实相关工作。</w:t>
      </w:r>
    </w:p>
    <w:p w14:paraId="302D871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第六条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本市统筹航运发展和航运安全，加强航运安全保障和风险防范能力建设，构建与高水平开放相适应的安全监管体系，推动航运领域安全稳定发展。</w:t>
      </w:r>
    </w:p>
    <w:p w14:paraId="35B902F7">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第七条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本市设立上海国际航运中心建设发展资金，纳入财政预算，并发挥其他相关专项资金作用，为推进上海国际航运中心建设提供资金支持。</w:t>
      </w:r>
    </w:p>
    <w:p w14:paraId="323723C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第八条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相关区人民政府结合区位优势和产业基础，加强航运服务功能集聚区建设，发挥要素汇集和辐射带动作用。</w:t>
      </w:r>
    </w:p>
    <w:p w14:paraId="6C1B63B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浦东新区、中国（上海）自由贸易试验区及临港新片区、上海虹桥国际中央商务区、上海东方枢纽国际商务合作区推进航运领域先行先试改革，实施更高水平制度型开放，提升上海国际航运中心能级。</w:t>
      </w:r>
    </w:p>
    <w:p w14:paraId="6296398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第九条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航运相关行业协会应当加强行业自律和行业诚信建设，规范行业秩序，维护行业和会员的合法权益，增进与国内外相关航运组织之间的交流，促进航运业的公平竞争和有序发展。</w:t>
      </w:r>
    </w:p>
    <w:p w14:paraId="65826D13">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本市与长江三角洲区域等有关省市建立合作机制，共同建设世界级港口群，共同推进民航协同发展，促进长三角一体化发展和长江经济带高质量发展，提升助力海洋强国、航运强国建设功能。</w:t>
      </w:r>
    </w:p>
    <w:p w14:paraId="5178A3D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第十一条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本市加强全方位、多层次、宽领域的国际航运交流，通过举办交流活动、建立合作机制等方式，与相关国际组织、世界其他国际航运中心加强合作。</w:t>
      </w:r>
    </w:p>
    <w:p w14:paraId="04A36E39">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第十二条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本市加大航运文化培育力度，挖掘航运文化遗产内涵和时代特色，建设航运文化基地，促进航运与文化、休闲、旅游业融合，加强航运文化国内外交流与合作，提升上海航运文化的国际影响力。</w:t>
      </w:r>
    </w:p>
    <w:p w14:paraId="3536640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第十三条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按照国家和本市有关规定，对在上海国际航运中心建设中做出突出贡献的单位和个人给予表彰奖励。</w:t>
      </w:r>
    </w:p>
    <w:p w14:paraId="00B93E96">
      <w:pPr>
        <w:snapToGrid w:val="0"/>
        <w:spacing w:line="570" w:lineRule="exact"/>
        <w:ind w:firstLine="640" w:firstLineChars="200"/>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二、</w:t>
      </w:r>
      <w:r>
        <w:rPr>
          <w:rFonts w:hint="eastAsia" w:ascii="Times New Roman" w:hAnsi="Times New Roman" w:eastAsia="方正黑体简体" w:cs="方正黑体简体"/>
          <w:sz w:val="32"/>
          <w:szCs w:val="32"/>
        </w:rPr>
        <w:t>规划和建设</w:t>
      </w:r>
    </w:p>
    <w:p w14:paraId="31E68A2C">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第十四条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市人民政府根据上海国际航运中心建设总体目标，围绕枢纽门户功能升级、辐射引领能力增强、科技创新驱动有力、资源配置能级提升，制定上海国际航运中心发展规划，并纳入国民经济和社会发展规划。</w:t>
      </w:r>
    </w:p>
    <w:p w14:paraId="7D8BE3B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上海国际航运中心发展规划应当明确推进建设的战略部署、发展目标、主要任务以及具体的工作措施和责任部门。</w:t>
      </w:r>
    </w:p>
    <w:p w14:paraId="1D2B92F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第十五条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市交通部门根据上海国际航运中心发展规划和世界级航运枢纽建设要求，按照布局合理、功能完善、资源节约、环境友好等原则，负责组织港口、航道、道路、轨道交通等交通设施专项规划的编制。</w:t>
      </w:r>
    </w:p>
    <w:p w14:paraId="493AFF0C">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专项规划应当符合生态环境分区管控以及岸线分类保护与利用要求，并依法纳入相应的国土空间规划。</w:t>
      </w:r>
    </w:p>
    <w:p w14:paraId="67962B81">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第十六条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市规划资源、水务（海洋）等部门和区人民政府在组织编制有关国土空间规划时，应当统筹保障上海国际航运中心建设用地和水域等资源需求。</w:t>
      </w:r>
    </w:p>
    <w:p w14:paraId="1C9CE0AC">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市交通部门会同市发展改革部门科学统筹港口岸线资源，提升港口岸线集约、高效利用水平。</w:t>
      </w:r>
    </w:p>
    <w:p w14:paraId="66FE512F">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第十七条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本市按照上海国际航运中心发展规划和相关专项规划的要求，建设安全便捷、智慧绿色、经济高效、支撑有力的世界一流港口和全方位门户复合型国际航空枢纽。</w:t>
      </w:r>
    </w:p>
    <w:p w14:paraId="254A551A">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市交通部门会同市发展改革、规划资源、水务（海洋）等部门统筹推进港口和机场设施建设，优化设施布局，提升港口和机场的枢纽功能。</w:t>
      </w:r>
    </w:p>
    <w:p w14:paraId="50AAB1B5">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第十八条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市交通部门会同相关部门推进以海空枢纽港为核心的航道、道路和轨道交通等运输网络建设，构建高效、绿色、畅达的集疏运体系。</w:t>
      </w:r>
    </w:p>
    <w:p w14:paraId="0AE39BF6">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本市推动铁路、公路、水路、航空等多式联运发展，创新运输组织模式，推进相关标准、规则衔接，加强系统对接、数据共享和人工智能等现代信息技术运用，提升综合运输效率。</w:t>
      </w:r>
    </w:p>
    <w:p w14:paraId="19E1E7AA">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本市支持港口、机场等企业加强与其他省市相关企业间的互动合作，完善联运通道。</w:t>
      </w:r>
    </w:p>
    <w:p w14:paraId="5A0F8442">
      <w:pPr>
        <w:snapToGrid w:val="0"/>
        <w:spacing w:line="570" w:lineRule="exact"/>
        <w:ind w:firstLine="640" w:firstLineChars="200"/>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三、</w:t>
      </w:r>
      <w:r>
        <w:rPr>
          <w:rFonts w:hint="eastAsia" w:ascii="Times New Roman" w:hAnsi="Times New Roman" w:eastAsia="方正黑体简体" w:cs="方正黑体简体"/>
          <w:sz w:val="32"/>
          <w:szCs w:val="32"/>
        </w:rPr>
        <w:t>航运服务体系建设</w:t>
      </w:r>
    </w:p>
    <w:p w14:paraId="331934B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第十九条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本市支持海运企业开辟覆盖全球的海运航线，建设具有国际竞争力的智能化、绿色化、专业化船队。</w:t>
      </w:r>
    </w:p>
    <w:p w14:paraId="7DB03252">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市交通、商务（口岸）部门应当提升以上海港为国际中转港的外贸集装箱沿海捎带业务的便利度。</w:t>
      </w:r>
    </w:p>
    <w:p w14:paraId="22DCE5D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本市发展邮轮经济，建设邮轮设计制造总装和物资配送基地，打造国际一流邮轮运营中心。</w:t>
      </w:r>
    </w:p>
    <w:p w14:paraId="2D3ECA1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本市鼓励拓展邮轮产业服务链条，提升邮轮岸上配送服务和码头综合服务功能，优化公共交通配套，形成完善的邮轮物资供应体系和邮轮旅游服务体系。</w:t>
      </w:r>
    </w:p>
    <w:p w14:paraId="5AFED8C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鼓励境内外邮轮公司在本市注册设立地区总部、功能性机构，依法开展邮轮国际航线业务。</w:t>
      </w:r>
    </w:p>
    <w:p w14:paraId="3D1ABC03">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市文化旅游部门应当会同市交通、市场监管等部门制定与国际接轨的邮轮旅游服务规范。</w:t>
      </w:r>
    </w:p>
    <w:p w14:paraId="1A02C01C">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第二十一条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本市发挥中国（上海）自由贸易试验区临港新片区制度创新优势，为“中国洋山港”国际船舶登记提供便利服务。</w:t>
      </w:r>
    </w:p>
    <w:p w14:paraId="24D1AE04">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第二十二条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本市支持主基地航空公司打造航空运输超级承运人，鼓励各类航空运输企业差异化发展航空服务产品。</w:t>
      </w:r>
    </w:p>
    <w:p w14:paraId="2564F68C">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本市提升国际航空转运功能，推动优化航权、时刻、空域等资源配置，提高航线网络的通达性、衔接性和枢纽航班密度。</w:t>
      </w:r>
    </w:p>
    <w:p w14:paraId="66D70DF0">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鼓励航空运输企业结合电子商务行业的发展特点，优化运力结构，加强与海外仓的物流服务网络对接，提高服务跨境电商的能力。</w:t>
      </w:r>
    </w:p>
    <w:p w14:paraId="2C3A43B8">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第二十三条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市交通等部门推动港口经营人等港口服务企业增强服务韧性，推进运输组织优化和服务模式创新，提升综合服务能级。</w:t>
      </w:r>
    </w:p>
    <w:p w14:paraId="4970B1E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本市推动机场管理机构和相关单位完善跨区域多机场体系运营模式，保障机场安全有序运营，优化进出港流程，提升运营效率和服务质量。</w:t>
      </w:r>
    </w:p>
    <w:p w14:paraId="3E21371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第二十四条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本市支持各类专业交易机构按照国家有关规定，开展船舶、航空器以及与航运相关的运价、数据、碳排放权和绿色燃料等交易业务，提升资源配置能力。</w:t>
      </w:r>
    </w:p>
    <w:p w14:paraId="4D381ED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第二十五条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鼓励各类金融机构为航运相关企业提供融资、结算、保险等金融服务，开发航运特色金融产品，提高航运金融服务的专业化和便利度。</w:t>
      </w:r>
    </w:p>
    <w:p w14:paraId="479450D9">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鼓励各类金融机构为航运相关企业提供跨境资金收付便利，为航运类跨国公司设立全球或者区域资金管理中心提供服务。</w:t>
      </w:r>
    </w:p>
    <w:p w14:paraId="4A2430F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第二十六条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本市通过实施航运保险产品注册制度，支持保险机构开发航运保险产品，拓展业务范围，创新服务模式。</w:t>
      </w:r>
    </w:p>
    <w:p w14:paraId="028F2EAB">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本市推进航运保险专营机构建设，依托上海国际再保险中心，推动航运保险与再保险协同发展，提高航运保险承保能力和全球服务水平。</w:t>
      </w:r>
    </w:p>
    <w:p w14:paraId="4871C6F8">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鼓励航运企业通过投保商业保险、船东互保、自保等方式，提高风险管理能力。</w:t>
      </w:r>
    </w:p>
    <w:p w14:paraId="53BC0246">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第二十七条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鼓励仲裁机构、公证机构、商事调解组织、律师事务所提升法律服务能力，为上海国际航运中心建设提供高质量法律服务。</w:t>
      </w:r>
    </w:p>
    <w:p w14:paraId="0D4BA4E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本市推进仲裁机制创新，推动提升海事海商、航空航运、跨境物流等领域仲裁服务的专业化、国际化水平。</w:t>
      </w:r>
    </w:p>
    <w:p w14:paraId="7C572FF5">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第二十八条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支持建立以本市为总部、全球主要航运企业及航运机构参加的国际航运组织。</w:t>
      </w:r>
    </w:p>
    <w:p w14:paraId="5BFC8805">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鼓励符合上海国际航运中心发展要求的航运相关企业、机构和国际组织落户本市。</w:t>
      </w:r>
    </w:p>
    <w:p w14:paraId="0C2884E5">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鼓励航运相关企业、机构和组织参与国际航运规则制定。</w:t>
      </w:r>
    </w:p>
    <w:p w14:paraId="6A9AC27A">
      <w:pPr>
        <w:snapToGrid w:val="0"/>
        <w:spacing w:line="570" w:lineRule="exact"/>
        <w:ind w:firstLine="640" w:firstLineChars="200"/>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四、</w:t>
      </w:r>
      <w:r>
        <w:rPr>
          <w:rFonts w:hint="eastAsia" w:ascii="Times New Roman" w:hAnsi="Times New Roman" w:eastAsia="方正黑体简体" w:cs="方正黑体简体"/>
          <w:sz w:val="32"/>
          <w:szCs w:val="32"/>
        </w:rPr>
        <w:t>航运科技创新</w:t>
      </w:r>
    </w:p>
    <w:p w14:paraId="1470274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第二十九条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本市支持航运领域的基础研究，围绕数字化、智能化、绿色化转型，以及高端装备制造、新能源、新材料等领域，加强关键技术攻关，促进航运科技创新成果推广应用，完善相关技术标准体系。</w:t>
      </w:r>
    </w:p>
    <w:p w14:paraId="5BAABA1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市经济信息化、科技等部门支持船舶与海洋工程装备研发设计、总装配套、修理改装技术创新和集聚发展，建设世界领先的现代化造船基地。</w:t>
      </w:r>
    </w:p>
    <w:p w14:paraId="1E4D0586">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经济信息化、科技等部门支持民用航空器、航空发动机、机载设备等的研发、制造以及航空高端维修技术发展，促进世界级民用航空产业集群建设；支持适航审定和航空器运行评审能力建设，推动健全适航审定组织体系。</w:t>
      </w:r>
    </w:p>
    <w:p w14:paraId="18287E3E">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第三十一条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经济信息化、科技、数据等部门推动航运数字化发展，推进大数据、区块链、人工智能等现代信息技术在航运领域的应用，加强信息对接和业务协同，促进航运贸易数据安全共享和融合应用，提升航运贸易便利化水平。</w:t>
      </w:r>
    </w:p>
    <w:p w14:paraId="67778E2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第三十二条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市交通、经济信息化、科技、数据等部门推动航运智能化发展，提升航运基础设施的信息化智能化水平，推进智能化服务、智慧化运营和智能装备创新应用，建设智慧港口、智慧航道、智慧机场。</w:t>
      </w:r>
    </w:p>
    <w:p w14:paraId="36B1C580">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第三十三条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市交通、发展改革、经济信息化、科技等部门推动航运绿色化发展，鼓励航运装备升级，推进航运领域新能源、绿色燃料的示范应用和配套基础设施建设，加强生态环境保护，促进航运绿色低碳转型。</w:t>
      </w:r>
    </w:p>
    <w:p w14:paraId="152005B5">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市交通、发展改革、经济信息化、科技、商务等部门推动完善绿色燃料加注设施布局，制定绿色燃料加注规范，优化服务流程，加强安全监管，形成技术领先、供应稳定、安全便捷的航运绿色燃料供应服务体系。</w:t>
      </w:r>
    </w:p>
    <w:p w14:paraId="009B5452">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第三十四条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本市健全航运碳排放监测管理体系，完善航空、水运等行业的碳排放核算方法，建立碳排放统计监测、报告制度，优化航运企业参与碳排放权交易的机制和方法。</w:t>
      </w:r>
    </w:p>
    <w:p w14:paraId="2FC2854A">
      <w:pPr>
        <w:snapToGrid w:val="0"/>
        <w:spacing w:line="570" w:lineRule="exact"/>
        <w:ind w:firstLine="640" w:firstLineChars="200"/>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五、</w:t>
      </w:r>
      <w:r>
        <w:rPr>
          <w:rFonts w:hint="eastAsia" w:ascii="Times New Roman" w:hAnsi="Times New Roman" w:eastAsia="方正黑体简体" w:cs="方正黑体简体"/>
          <w:sz w:val="32"/>
          <w:szCs w:val="32"/>
        </w:rPr>
        <w:t>优化航运营商环境</w:t>
      </w:r>
    </w:p>
    <w:p w14:paraId="69A04D3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第三十五条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本市在上海国际航运中心建设中依法实行外商投资准入和市场准入负面清单管理制度。</w:t>
      </w:r>
    </w:p>
    <w:p w14:paraId="15E5B78F">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各行业主管部门应当按照各自职责，落实外商投资准入和市场准入负面清单管理制度，提高政策透明度，营造市场化、法治化、国际化的营商环境。</w:t>
      </w:r>
    </w:p>
    <w:p w14:paraId="029B406F">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第三十六条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交通、商务（口岸）等部门配合海关、边检、海事、民航等部门优化监管措施，加强信息沟通，提高船舶进出港口、靠港补给、废旧物资处置、船员换班和航班进出港、机组出入境、航空货运通关等便利化水平。</w:t>
      </w:r>
    </w:p>
    <w:p w14:paraId="24A9307B">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本市在入境口岸设立综合服务窗口，为入境人员提供货币兑换、移动支付、网络通信、服务咨询等方面的多语种、一站式服务。</w:t>
      </w:r>
    </w:p>
    <w:p w14:paraId="6510DA33">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第三十七条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本市完善航运人才的培养、引进、使用、激励和评价机制，实施航运人才相关行动计划，加强航运领域人才队伍建设。</w:t>
      </w:r>
    </w:p>
    <w:p w14:paraId="0BB10C0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本市支持高等院校加强航运相关学科建设，强化产学研深度融合，推进复合型航运人才培养。</w:t>
      </w:r>
    </w:p>
    <w:p w14:paraId="1B651A5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本市支持国际航运中心相关领域智库建设，提高智库决策咨询能力和国际影响力。</w:t>
      </w:r>
    </w:p>
    <w:p w14:paraId="1E875019">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第三十八条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市、区人民政府有关部门应当按照公共信用信息相关管理规定，做好航运领域相关主体信用信息的归集工作，推进信用分级分类监管，依法开展守信激励和失信惩戒。</w:t>
      </w:r>
    </w:p>
    <w:p w14:paraId="58953464">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鼓励第三方信用服务机构提供信用评价评级、信用管理咨询等服务。第三方信用服务机构提供相关服务应当采取必要措施保护数据信息的安全。</w:t>
      </w:r>
    </w:p>
    <w:p w14:paraId="3173C88A">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第三十九条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本市聚焦国际航运中心建设的重点领域、关键环节，建立风险防范机制，落实航运相关企业安全生产责任，强化安全风险的识别、预警和处置。</w:t>
      </w:r>
    </w:p>
    <w:p w14:paraId="0C64222D">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本市加强航运领域突发事件应对，制定相关应急预案，建立部门间信息共享、协同监管和应急联动机制，提升快速反应和应急处置能力。</w:t>
      </w:r>
    </w:p>
    <w:p w14:paraId="766DB124">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市交通、发展改革、经济信息化、商务、司法行政、数据、地方金融、气象等部门应当为航运企业提供航运风险研判、纠纷解决等方面的指导和服务。</w:t>
      </w:r>
    </w:p>
    <w:p w14:paraId="5B4879EF">
      <w:pPr>
        <w:snapToGrid w:val="0"/>
        <w:spacing w:line="570" w:lineRule="exact"/>
        <w:ind w:firstLine="640" w:firstLineChars="200"/>
        <w:rPr>
          <w:rFonts w:hint="eastAsia" w:ascii="Times New Roman" w:hAnsi="Times New Roman" w:eastAsia="方正仿宋简体"/>
          <w:sz w:val="32"/>
          <w:szCs w:val="32"/>
        </w:rPr>
      </w:pPr>
      <w:r>
        <w:rPr>
          <w:rFonts w:hint="eastAsia" w:ascii="Times New Roman" w:hAnsi="Times New Roman" w:eastAsia="方正仿宋简体"/>
          <w:sz w:val="32"/>
          <w:szCs w:val="32"/>
        </w:rPr>
        <w:t>本市推动与长江流域其他港口城市建立区域一体化水上交通安全监管、应急救助和生态环境保护治理体系。</w:t>
      </w:r>
    </w:p>
    <w:p w14:paraId="0503FBC6">
      <w:pPr>
        <w:snapToGrid w:val="0"/>
        <w:spacing w:line="570" w:lineRule="exact"/>
        <w:ind w:firstLine="640" w:firstLineChars="200"/>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lang w:val="en-US" w:eastAsia="zh-CN"/>
        </w:rPr>
        <w:t>六、</w:t>
      </w:r>
      <w:r>
        <w:rPr>
          <w:rFonts w:hint="eastAsia" w:ascii="Times New Roman" w:hAnsi="Times New Roman" w:eastAsia="方正黑体简体" w:cs="方正黑体简体"/>
          <w:sz w:val="32"/>
          <w:szCs w:val="32"/>
        </w:rPr>
        <w:t>附则</w:t>
      </w:r>
    </w:p>
    <w:p w14:paraId="64D703C5">
      <w:pPr>
        <w:snapToGrid w:val="0"/>
        <w:spacing w:line="570" w:lineRule="exact"/>
        <w:ind w:firstLine="643" w:firstLineChars="200"/>
        <w:rPr>
          <w:rFonts w:hint="eastAsia" w:ascii="Times New Roman" w:hAnsi="Times New Roman" w:eastAsia="方正仿宋简体"/>
          <w:sz w:val="32"/>
          <w:szCs w:val="32"/>
        </w:rPr>
      </w:pPr>
      <w:r>
        <w:rPr>
          <w:rFonts w:hint="eastAsia" w:ascii="Times New Roman" w:hAnsi="Times New Roman" w:eastAsia="方正仿宋简体"/>
          <w:b/>
          <w:bCs/>
          <w:sz w:val="32"/>
          <w:szCs w:val="32"/>
        </w:rPr>
        <w:t>第四十条</w:t>
      </w:r>
      <w:r>
        <w:rPr>
          <w:rFonts w:hint="eastAsia" w:ascii="Times New Roman" w:hAnsi="Times New Roman" w:eastAsia="方正仿宋简体"/>
          <w:sz w:val="32"/>
          <w:szCs w:val="32"/>
          <w:lang w:val="en-US" w:eastAsia="zh-CN"/>
        </w:rPr>
        <w:t xml:space="preserve"> </w:t>
      </w:r>
      <w:r>
        <w:rPr>
          <w:rFonts w:hint="eastAsia" w:ascii="Times New Roman" w:hAnsi="Times New Roman" w:eastAsia="方正仿宋简体"/>
          <w:sz w:val="32"/>
          <w:szCs w:val="32"/>
        </w:rPr>
        <w:t>本条例自2025年2月1日起施行。</w:t>
      </w:r>
    </w:p>
    <w:p w14:paraId="15953F5B">
      <w:pPr>
        <w:snapToGrid w:val="0"/>
        <w:spacing w:line="570" w:lineRule="exact"/>
        <w:ind w:firstLine="640" w:firstLineChars="200"/>
        <w:rPr>
          <w:rFonts w:hint="eastAsia" w:ascii="Times New Roman" w:hAnsi="Times New Roman" w:eastAsia="方正仿宋简体"/>
          <w:sz w:val="32"/>
          <w:szCs w:val="32"/>
        </w:rPr>
      </w:pPr>
    </w:p>
    <w:p w14:paraId="47C85975">
      <w:pPr>
        <w:snapToGrid w:val="0"/>
        <w:spacing w:line="570" w:lineRule="exact"/>
        <w:ind w:firstLine="640" w:firstLineChars="200"/>
        <w:rPr>
          <w:rFonts w:hint="eastAsia" w:ascii="Times New Roman" w:hAnsi="Times New Roman" w:eastAsia="方正仿宋简体"/>
          <w:sz w:val="32"/>
          <w:szCs w:val="32"/>
        </w:rPr>
      </w:pPr>
    </w:p>
    <w:p w14:paraId="3ECDC1C4">
      <w:pPr>
        <w:snapToGrid w:val="0"/>
        <w:spacing w:line="570" w:lineRule="exact"/>
        <w:ind w:firstLine="880" w:firstLineChars="200"/>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提升上海航运服务业能级 助力国际航运中心建设行动方案</w:t>
      </w:r>
    </w:p>
    <w:p w14:paraId="0B256B35">
      <w:pPr>
        <w:snapToGrid w:val="0"/>
        <w:spacing w:line="570" w:lineRule="exact"/>
        <w:ind w:firstLine="640" w:firstLineChars="200"/>
        <w:jc w:val="center"/>
        <w:rPr>
          <w:rFonts w:hint="eastAsia" w:ascii="Times New Roman" w:hAnsi="Times New Roman" w:eastAsia="方正楷体简体" w:cs="方正楷体简体"/>
          <w:sz w:val="32"/>
          <w:szCs w:val="32"/>
        </w:rPr>
      </w:pPr>
      <w:r>
        <w:rPr>
          <w:rFonts w:hint="eastAsia" w:ascii="Times New Roman" w:hAnsi="Times New Roman" w:eastAsia="方正楷体简体" w:cs="方正楷体简体"/>
          <w:sz w:val="32"/>
          <w:szCs w:val="32"/>
        </w:rPr>
        <w:t>上海市人民政府办公厅</w:t>
      </w:r>
    </w:p>
    <w:p w14:paraId="2FEADED7">
      <w:pPr>
        <w:snapToGrid w:val="0"/>
        <w:spacing w:line="570" w:lineRule="exact"/>
        <w:ind w:firstLine="640" w:firstLineChars="200"/>
        <w:jc w:val="center"/>
        <w:rPr>
          <w:rFonts w:hint="eastAsia" w:ascii="Times New Roman" w:hAnsi="Times New Roman" w:eastAsia="方正楷体简体" w:cs="方正楷体简体"/>
          <w:sz w:val="32"/>
          <w:szCs w:val="32"/>
        </w:rPr>
      </w:pPr>
    </w:p>
    <w:p w14:paraId="6F6BDC4F">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为加快构建上海国际航运中心发展新格局，提升航运服务业能级，促进航运服务业更高质量发展，制定本行动方案。</w:t>
      </w:r>
    </w:p>
    <w:p w14:paraId="02486BA6">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一、发展目标</w:t>
      </w:r>
    </w:p>
    <w:p w14:paraId="526B2C3A">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到2025年，基本形成功能完备、服务优质、开放融合的现代航运服务业高质量发展体系，数智化发展水平、低碳化发展能力达到国际先进水平，“上海航运”服务品牌的国内示范作用和国际影响力显著增强，参与国际航运事务的能力明显提升。</w:t>
      </w:r>
    </w:p>
    <w:p w14:paraId="2356B9A1">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到2035年，全面建成现代航运服务体系高度发达、引领全球航运服务创新发展、深度融入国际航运治理体系、具备全球航运资源配置能力的国际航运中心。</w:t>
      </w:r>
    </w:p>
    <w:p w14:paraId="5D2EE961">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二、主要任务</w:t>
      </w:r>
    </w:p>
    <w:p w14:paraId="72CC3113">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（一）推动航运基础服务业转型升级</w:t>
      </w:r>
    </w:p>
    <w:p w14:paraId="1419A69D">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促进港口服务功能创新</w:t>
      </w:r>
    </w:p>
    <w:p w14:paraId="47793843">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打造“中国洋山港”籍国际船舶登记地，实施有国际竞争力的船舶登记制度。推进船舶法定检验开放政策落地。建设洋山保税船舶供应公共服务平台。推动设立医药器械船舶供应公共服务平台。拓展保税燃油、LNG加注业务规模。探索船用燃油对外开放准入可行性。推进东北亚空箱调运中心空箱调运功能在外高桥港区复制推广。试点集装箱中转集拼多业态同场作业。（责任单位：临港新片区管委会、上海海事局、市商务委、上海海关、市交通委、市财政局、市市场监管局、上海边检总站、浦东新区政府、申能集团、上港集团等）</w:t>
      </w:r>
    </w:p>
    <w:p w14:paraId="2CBB9257">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加快航空服务产业发展</w:t>
      </w:r>
    </w:p>
    <w:p w14:paraId="5F51118B">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促进国际航空客运市场恢复，巩固亚洲国际航线网络，拓展洲际航线网络，建设国内骨干快线网络。建设浦东国际机场西货运区智能货站和“空运通”货运信息平台，推进航空货运、冷链业务发展。研究推进虹桥、浦东国际机场之间货物驳运试点。支持主基地航空公司打造航空运输超级承运人。依托洋山特殊综合保税区、上海虹桥临空经济示范区、浦东国际机场周边区域培育航空制造、服务产业链。（责任单位：机场集团、东航集团、民航华东地区管理局、民航华东空管局、市交通委、市商务委、市经济信息化委、上海海关、上海边检总站、临港新片区管委会、浦东新区政府、长宁区政府、中国商用飞机有限责任公司等）</w:t>
      </w:r>
    </w:p>
    <w:p w14:paraId="21115DB6">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优化邮轮经济产业链布局</w:t>
      </w:r>
    </w:p>
    <w:p w14:paraId="03F8580F">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推动国际邮轮航线在上海率先试点复航。探索无目的地海上游、中资方便旗邮轮沿海游。开发层级丰富、特色鲜明的邮轮旅游产品体系。深化邮轮船票制度改革，鼓励邮轮公司创新船票分销模式。建设世界级邮轮设计制造总装基地，培育本土邮轮配套供应链。打造邮轮运营中心，吸引邮轮总部企业集聚。搭建邮轮船供物资采购配送一体化平台，建设亚太邮轮物资配送中心。打造国际邮轮旅游消费中心，推动建立邮轮跨境商品交易服务平台。（责任单位：市商务委、市发展改革委、市交通委、市经济信息化委、市文化旅游局、上海海事局、上海边检总站、上海海关、长江航运公安上海分局、宝山区政府、浦东新区政府、虹口区政府、中船集团等）</w:t>
      </w:r>
    </w:p>
    <w:p w14:paraId="3E656CEE">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（二）促进航运衍生服务业能级提升</w:t>
      </w:r>
    </w:p>
    <w:p w14:paraId="4E987630">
      <w:pPr>
        <w:snapToGrid w:val="0"/>
        <w:spacing w:line="570" w:lineRule="exact"/>
        <w:ind w:firstLine="643" w:firstLineChars="200"/>
        <w:jc w:val="left"/>
        <w:rPr>
          <w:rFonts w:hint="eastAsia" w:ascii="Times New Roman" w:hAnsi="Times New Roman" w:eastAsia="方正仿宋简体" w:cs="方正仿宋简体"/>
          <w:b/>
          <w:bCs/>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提升航运保险服务水平</w:t>
      </w:r>
    </w:p>
    <w:p w14:paraId="34513264">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推动航运保险产品创新，探索研究对新能源船舶险、船舶建造险等重点险种的支持政策。建设具备全球服务能力的国际航运保险要素交易平台，支持智能跨境贸易保险平台对接全国国际贸易“单一窗口”，提高产品创新和精准定价能力。依托上海保险交易所打造离岸再保险业务窗口，提升航运保险承保和服务能力。鼓励航运保险机构参与国际海上保险联盟和“海上保险波塞冬原则”各项事务，并加强规则对接。（责任单位：上海银保监局、市地方金融监管局、市财政局、市商务委、临港新片区管委会、上海保险交易所、上海航运保险协会等）</w:t>
      </w:r>
    </w:p>
    <w:p w14:paraId="5AA6C5D3">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培育航运要素交易市场</w:t>
      </w:r>
    </w:p>
    <w:p w14:paraId="02BBE833">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积极推动航运指数期货品种上市，稳妥构建航运衍生产品体系，探索开发船用绿色燃料相关金融衍生产品。加强集装箱舱位交易平台市场推广，推动多元主体参与共建平台。以船舶交易全产业链服务为依托，打造船舶资产专业产权交易场所。支持上海航运交易所与数据交易等专业平台合作，探索新型要素交易服务。（责任单位：上海期货交易所、上海航运交易所、市地方金融监管局、市交通委、上海证监局、临港新片区管委会等）</w:t>
      </w:r>
    </w:p>
    <w:p w14:paraId="172FF58C">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推动海事仲裁服务创新</w:t>
      </w:r>
    </w:p>
    <w:p w14:paraId="1D48C2CD">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促进海事仲裁机构与航运、保险、理算公估等企业对接，建设航运事业共同体。鼓励各类市场主体在民商事合同中选择上海作为争议解决地。研究制订推进国际商事仲裁中心建设的地方性法规。支持境外仲裁和争议解决机构在上海设立机构并开展业务。鼓励海事仲裁机构参与国际海事争议解决规则、标准制定。支持海事仲裁机构与海事法院、行政部门、银行等进行信息系统互联，为仲裁相关程序提供便利。加强仲裁秘书人员专业化职业化能力提升，提升仲裁服务保障能力和水平。（责任单位：市司法局、市交通委、临港新片区管委会、浦东新区政府、虹口区政府、上海航运保险协会等）</w:t>
      </w:r>
    </w:p>
    <w:p w14:paraId="20383E19">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建设航运咨询服务平台</w:t>
      </w:r>
    </w:p>
    <w:p w14:paraId="08CC7895">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建设中国航运领域的权威智库和全球航运界知名专业咨询机构。推动“上海航运指数”市场化、国际化，做强运价指数“上海标准”，打造具有国际影响力的航运指数供应商。支持在沪智库机构开展国际、国内交流合作，建设全球航运智库联盟，丰富航运信息渠道，推动咨询服务市场化、国际化。（责任单位：上海海事大学、上海航运交易所、上海国际航运研究中心等）</w:t>
      </w:r>
    </w:p>
    <w:p w14:paraId="19EF416D">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吸引高能级市场主体</w:t>
      </w:r>
    </w:p>
    <w:p w14:paraId="3453B806">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依托航运服务功能集聚区，创造优良发展环境，建立健全服务机制，加强政策宣传引导，吸引和培育高能级航运服务企业来沪兴业发展。积极培育上海航运服务龙头企业和高成长性企业，鼓励企业“走出去”。推动国内外港口之间、国内外重点企业之间建立点对点联系机制。加大国际性、国家级航运专业组织和功能性机构引进力度，积极推动国际航运公会在沪设立代表处，争取国家海难预防研究中心落户上海。优化上海航运交易所体制机制，增强主体活力。（责任单位：临港新片区管委会、相关区政府、市商务委、市交通委、市经济信息化委、市地方金融监管局、上海海事局、市公安局、上海航运交易所等）</w:t>
      </w:r>
    </w:p>
    <w:p w14:paraId="4A793EB8">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（三）促进航运科技服务业创新突破</w:t>
      </w:r>
    </w:p>
    <w:p w14:paraId="783104A1">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提升船舶技术服务能力</w:t>
      </w:r>
    </w:p>
    <w:p w14:paraId="0E80B3DC">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通过航运低碳、数智化转型升级带动相关产业发展，支持“航运技术联合创新工作室”等技术创新平台建设，突破智能船舶总体设计、智能感知、自主决策与协同控制等关键技术，提升绿色智能船舶产品和系统的研发设计、检验认证服务能力。实施低碳、零碳船舶产品专项工程，重点推进高压双燃料机型研制产业化，开展甲醇及氨等低碳、零碳燃料整机及关键零部件技术研究。（责任单位：市经济信息化委、市科委、中船集团、中远海运集团、中国船级社上海分社等）</w:t>
      </w:r>
    </w:p>
    <w:p w14:paraId="0DD98F78">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打造数智航运生态圈</w:t>
      </w:r>
    </w:p>
    <w:p w14:paraId="56E575B7">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建设上海港生产智慧指挥中心，打造世界级数字孪生港口。建设上海国际集装箱运输服务平台。支持航运区块链等技术产品的推广应用。开展港航区块链技术规范、航运大数据分类编码标准制定，研究形成传统集装箱码头自动化升级成套技术和标准。建设航运物流大数据联合创新实验室、中国航运数据库等航运数据公共平台，打造航运算力服务中心。推进陆家嘴智能航运特色产业园区发展。（责任单位：市交通委、市商务委、市经济信息化委、浦东新区政府、上港集团、中远海运集团、中交通信上海中心、上海亿通国际股份有限公司、上海海事大学等）</w:t>
      </w:r>
    </w:p>
    <w:p w14:paraId="2C03C27F">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探索构建绿色航运发展机制</w:t>
      </w:r>
    </w:p>
    <w:p w14:paraId="54961FDB">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完善航运业碳排放监测管理体系，积极与国家相关部门沟通协调，争取在沪设立中国船舶能效管理中心。结合城市绿色化转型，探索布局船舶清洁燃料生产供应链，明确有关能源使用政策，开展加注业务。研究降低上海地方碳市场航运碳排放交易准入门槛，扩大航运企业参与碳排放交易的范围。发挥亚洲海事技术合作中心作用，推动绿色航运技术研发、标准制定和推广应用。推进上海港—洛杉矶港绿色航运走廊建设。（责任单位：市经济信息化委、市发展改革委、市生态环境局、市交通委、市商务委、上海海事局、临港新片区管委会、市教委、上海海事大学、亚洲海事技术合作中心、上海环境能源交易所、中远海运集团、上港集团、中国船级社等）</w:t>
      </w:r>
    </w:p>
    <w:p w14:paraId="201E6B75">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（四）全面优化航运服务业发展环境</w:t>
      </w:r>
    </w:p>
    <w:p w14:paraId="066EDA58">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加强口岸制度创新支撑</w:t>
      </w:r>
    </w:p>
    <w:p w14:paraId="37F2CF3E">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探索优化完善沿海捎带业务配套政策，扩大政策实施效果。推动长三角区域海关监管创新，在具备监管条件的长三角内陆集装箱码头与上海港之间推广“联动接卸”模式。开展大型集装箱船舶在能见度不良条件下进出洋山港试点。扩大船舶“一程式进港”试点码头泊位范围。推进在东方枢纽打造国际特定管理区。积极争取优化升级144小时过境免签和邮轮15天入境免签政策。（责任单位：市商务委、市交通委、临港新片区管委会、上海海关、上海海事局、上海边检总站、上港集团等）</w:t>
      </w:r>
    </w:p>
    <w:p w14:paraId="2E64D561">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提升航运税制环境竞争力</w:t>
      </w:r>
    </w:p>
    <w:p w14:paraId="747E45EB">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依托临港新片区改革创新平台，积极研究和争取有利于航运服务要素集聚的税收政策，发挥对航运服务业的培育引导作用。争取对国际船舶管理企业管理境外船舶跨境收支的船舶运营费实施增值税免税政策，扩大船舶运营资金结算规模，促进船舶供应等上下游产业发展。（责任单位：临港新片区管委会、市财政局、市税务局、浦东新区政府等）</w:t>
      </w:r>
    </w:p>
    <w:p w14:paraId="75D4E483">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提高融资汇兑便利水平</w:t>
      </w:r>
    </w:p>
    <w:p w14:paraId="57FE2AB9">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支持在沪银行编制跨境金融服务专属方案，优先使用人民币，更好适配国际航运相关汇兑结算融资等需求。支持航运供应链企业加入上海票据交易所供应链票据平台，降低供应链融资成本。支持航运服务企业通过上市、挂牌、并购重组、发行债券等方式对接多层次资本市场。支持符合条件的融资租赁公司（含金融租赁）设立专业子公司和特殊项目公司。（责任单位：人民银行上海总部、上海银保监局、上海证监局、市地方金融监管局、临港新片区管委会、上海票据交易所等）</w:t>
      </w:r>
    </w:p>
    <w:p w14:paraId="1BD16B7D">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强化海事司法支持保障</w:t>
      </w:r>
    </w:p>
    <w:p w14:paraId="3C9CCB61">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完善海事法院与仲裁机构海事案件委托调解机制，促进诉讼与仲裁、调解有机衔接。完善仲裁协议效力认定，统一仲裁司法审查标准，保障当事人在仲裁前和仲裁中的财产保全、证据保全、行为保全等临时措施的申请和执行。以打造海事精品案例为基础，促进形成普遍认可的裁判标准和司法规则。建设智慧海事法院，提高海事诉讼便利度。（责任单位：市司法局、上海海事法院、中国海仲上海总部、上海仲裁委员会等）</w:t>
      </w:r>
    </w:p>
    <w:p w14:paraId="38120026">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加大人才培育和引进力度</w:t>
      </w:r>
    </w:p>
    <w:p w14:paraId="77699E9F">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支持高校提升航运相关学科教学水平，加强产学研合作，培养应用型、复合型、创新型人才。动态调整航运人才引进重点机构名单，扩大航运类急需紧缺高技能人才职业目录覆盖范围。依托上海船员评估示范中心，建设高级航海人才培养基地。开展上海国际航运中心建设先进集体、先进个人表彰。市、区联动建立航运高端人才引育体系。（责任单位：市教委、市人力资源社会保障局、市建设交通工作党委、市交通委、上海海事局、相关区政府、上海海事大学、上海交通大学等）</w:t>
      </w:r>
    </w:p>
    <w:p w14:paraId="24A26CAD">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发挥专项资金引导作用</w:t>
      </w:r>
    </w:p>
    <w:p w14:paraId="28B77D41">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充分发挥上海国际航运中心建设专项扶持政策作用，鼓励航运服务技术、功能、模式创新。完善航空枢纽建设专项扶持政策，加强对航线网络优化、中转服务能力提升等的支持引导，支持拓展高质量货运航线。支持相关区政府和特殊功能区制定产业扶持引导政策，对航运服务企业、功能性机构引进和航运功能性平台建设给予政策鼓励。（责任单位：市交通委、市发展改革委、市财政局、临港新片区管委会、相关区政府等）</w:t>
      </w:r>
    </w:p>
    <w:p w14:paraId="0486F991">
      <w:pPr>
        <w:snapToGrid w:val="0"/>
        <w:spacing w:line="570" w:lineRule="exact"/>
        <w:ind w:firstLine="643"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7</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营造航运文化交流氛围</w:t>
      </w:r>
    </w:p>
    <w:p w14:paraId="6FFC6EA2">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打造“北外滩国际航运论坛”品牌，支持举办“中国国际海事会展”“中国航海日”等活动，鼓励各区政府打造各具特色的航运活动品牌。加强航运文化场馆建设，利用全市各类文旅资源，加强与国内外文旅资源合作。打造北外滩航运文化圈，建设北外滩航海公园。挖掘航运文化遗产，开发航运文化产品，做好航运历史资料积累。（责任单位：市交通委、市文化旅游局、市经济信息化委、中远海运集团、上港集团、相关区政府、上海中国航海博物馆、上海海事大学等）</w:t>
      </w:r>
    </w:p>
    <w:p w14:paraId="332DDFC3">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三、组织保障</w:t>
      </w:r>
    </w:p>
    <w:p w14:paraId="5DAB42AD">
      <w:pPr>
        <w:snapToGrid w:val="0"/>
        <w:spacing w:line="570" w:lineRule="exact"/>
        <w:ind w:firstLine="643" w:firstLineChars="200"/>
        <w:jc w:val="left"/>
        <w:rPr>
          <w:rFonts w:hint="eastAsia" w:ascii="Times New Roman" w:hAnsi="Times New Roman" w:eastAsia="方正楷体简体" w:cs="方正楷体简体"/>
          <w:b/>
          <w:bCs/>
          <w:sz w:val="32"/>
          <w:szCs w:val="32"/>
        </w:rPr>
      </w:pPr>
      <w:r>
        <w:rPr>
          <w:rFonts w:hint="eastAsia" w:ascii="Times New Roman" w:hAnsi="Times New Roman" w:eastAsia="方正楷体简体" w:cs="方正楷体简体"/>
          <w:b/>
          <w:bCs/>
          <w:sz w:val="32"/>
          <w:szCs w:val="32"/>
        </w:rPr>
        <w:t>（一）加强统筹协调。</w:t>
      </w:r>
    </w:p>
    <w:p w14:paraId="7E847707">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加强与国家部委沟通对接，积极争取上海航运服务业发展的支持政策。发挥市推进上海国际航运中心建设领导小组作用，强化工作统筹和部门协同。</w:t>
      </w:r>
    </w:p>
    <w:p w14:paraId="66F51859">
      <w:pPr>
        <w:snapToGrid w:val="0"/>
        <w:spacing w:line="570" w:lineRule="exact"/>
        <w:ind w:firstLine="643" w:firstLineChars="200"/>
        <w:jc w:val="left"/>
        <w:rPr>
          <w:rFonts w:hint="eastAsia" w:ascii="Times New Roman" w:hAnsi="Times New Roman" w:eastAsia="方正楷体简体" w:cs="方正楷体简体"/>
          <w:b/>
          <w:bCs/>
          <w:sz w:val="32"/>
          <w:szCs w:val="32"/>
          <w:lang w:eastAsia="zh-CN"/>
        </w:rPr>
      </w:pPr>
      <w:r>
        <w:rPr>
          <w:rFonts w:hint="eastAsia" w:ascii="Times New Roman" w:hAnsi="Times New Roman" w:eastAsia="方正楷体简体" w:cs="方正楷体简体"/>
          <w:b/>
          <w:bCs/>
          <w:sz w:val="32"/>
          <w:szCs w:val="32"/>
        </w:rPr>
        <w:t>（二）强化主体责任</w:t>
      </w:r>
      <w:r>
        <w:rPr>
          <w:rFonts w:hint="eastAsia" w:ascii="Times New Roman" w:hAnsi="Times New Roman" w:eastAsia="方正楷体简体" w:cs="方正楷体简体"/>
          <w:b/>
          <w:bCs/>
          <w:sz w:val="32"/>
          <w:szCs w:val="32"/>
          <w:lang w:eastAsia="zh-CN"/>
        </w:rPr>
        <w:t>。</w:t>
      </w:r>
    </w:p>
    <w:p w14:paraId="53BC8AFB">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各责任单位明确具体措施，配备必要的人员和经费，发挥专业和资源优势，合力推进航运服务业能级提升。</w:t>
      </w:r>
    </w:p>
    <w:p w14:paraId="08BF16EE">
      <w:pPr>
        <w:snapToGrid w:val="0"/>
        <w:spacing w:line="570" w:lineRule="exact"/>
        <w:ind w:firstLine="643" w:firstLineChars="200"/>
        <w:jc w:val="left"/>
        <w:rPr>
          <w:rFonts w:hint="eastAsia" w:ascii="Times New Roman" w:hAnsi="Times New Roman" w:eastAsia="方正楷体简体" w:cs="方正楷体简体"/>
          <w:b/>
          <w:bCs/>
          <w:sz w:val="32"/>
          <w:szCs w:val="32"/>
        </w:rPr>
      </w:pPr>
      <w:r>
        <w:rPr>
          <w:rFonts w:hint="eastAsia" w:ascii="Times New Roman" w:hAnsi="Times New Roman" w:eastAsia="方正楷体简体" w:cs="方正楷体简体"/>
          <w:b/>
          <w:bCs/>
          <w:sz w:val="32"/>
          <w:szCs w:val="32"/>
        </w:rPr>
        <w:t>（三）形成评估机制。</w:t>
      </w:r>
    </w:p>
    <w:p w14:paraId="1D1BE5FA">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结合市委、市政府重点工作考核，加强对各责任单位工作情况的评估督查，综合运用自我评估、第三方评估等方式，做好任务推进和实施效果的跟踪测评。</w:t>
      </w:r>
    </w:p>
    <w:p w14:paraId="34C6FB13">
      <w:pPr>
        <w:snapToGrid w:val="0"/>
        <w:spacing w:line="570" w:lineRule="exact"/>
        <w:ind w:firstLine="643" w:firstLineChars="200"/>
        <w:jc w:val="left"/>
        <w:rPr>
          <w:rFonts w:hint="eastAsia" w:ascii="Times New Roman" w:hAnsi="Times New Roman" w:eastAsia="方正楷体简体" w:cs="方正楷体简体"/>
          <w:b/>
          <w:bCs/>
          <w:sz w:val="32"/>
          <w:szCs w:val="32"/>
        </w:rPr>
      </w:pPr>
      <w:r>
        <w:rPr>
          <w:rFonts w:hint="eastAsia" w:ascii="Times New Roman" w:hAnsi="Times New Roman" w:eastAsia="方正楷体简体" w:cs="方正楷体简体"/>
          <w:b/>
          <w:bCs/>
          <w:sz w:val="32"/>
          <w:szCs w:val="32"/>
        </w:rPr>
        <w:t>（四）加强宣传交流。</w:t>
      </w:r>
    </w:p>
    <w:p w14:paraId="567DCA8C">
      <w:pPr>
        <w:snapToGrid w:val="0"/>
        <w:spacing w:line="570" w:lineRule="exact"/>
        <w:ind w:firstLine="640" w:firstLineChars="200"/>
        <w:jc w:val="left"/>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加强“上海航运”服务品牌的整体策划和宣传推介，搭建高层级、国际化的航运交流平台，助力上海航运服务企业和机构走向国际市场，提升服务能级。</w:t>
      </w:r>
    </w:p>
    <w:p w14:paraId="21B6ADB2">
      <w:pPr>
        <w:snapToGrid w:val="0"/>
        <w:spacing w:line="570" w:lineRule="exact"/>
        <w:ind w:firstLine="640" w:firstLineChars="200"/>
        <w:jc w:val="left"/>
        <w:rPr>
          <w:rFonts w:hint="eastAsia" w:ascii="Times New Roman" w:hAnsi="Times New Roman" w:eastAsia="方正仿宋简体" w:cs="方正仿宋简体"/>
          <w:sz w:val="32"/>
          <w:szCs w:val="32"/>
        </w:rPr>
      </w:pPr>
    </w:p>
    <w:p w14:paraId="1E6467A3">
      <w:pPr>
        <w:snapToGrid w:val="0"/>
        <w:spacing w:line="570" w:lineRule="exact"/>
        <w:jc w:val="center"/>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上海市推动国际航运燃料绿色转型工作方案</w:t>
      </w:r>
    </w:p>
    <w:p w14:paraId="3EB5F0FF">
      <w:pPr>
        <w:snapToGrid w:val="0"/>
        <w:spacing w:line="570" w:lineRule="exact"/>
        <w:jc w:val="center"/>
        <w:rPr>
          <w:rFonts w:hint="eastAsia" w:ascii="Times New Roman" w:hAnsi="Times New Roman" w:eastAsia="方正楷体简体" w:cs="方正楷体简体"/>
          <w:sz w:val="32"/>
          <w:szCs w:val="32"/>
        </w:rPr>
      </w:pPr>
      <w:r>
        <w:rPr>
          <w:rFonts w:hint="eastAsia" w:ascii="Times New Roman" w:hAnsi="Times New Roman" w:eastAsia="方正楷体简体" w:cs="方正楷体简体"/>
          <w:sz w:val="32"/>
          <w:szCs w:val="32"/>
        </w:rPr>
        <w:t>上海市发展和改革委员会</w:t>
      </w:r>
    </w:p>
    <w:p w14:paraId="24A7702A">
      <w:pPr>
        <w:snapToGrid w:val="0"/>
        <w:spacing w:line="570" w:lineRule="exact"/>
        <w:jc w:val="center"/>
        <w:rPr>
          <w:rFonts w:hint="eastAsia" w:ascii="Times New Roman" w:hAnsi="Times New Roman" w:eastAsia="方正楷体简体" w:cs="方正楷体简体"/>
          <w:sz w:val="32"/>
          <w:szCs w:val="32"/>
        </w:rPr>
      </w:pPr>
      <w:r>
        <w:rPr>
          <w:rFonts w:hint="eastAsia" w:ascii="Times New Roman" w:hAnsi="Times New Roman" w:eastAsia="方正楷体简体" w:cs="方正楷体简体"/>
          <w:sz w:val="32"/>
          <w:szCs w:val="32"/>
        </w:rPr>
        <w:t>上海市交通委员会</w:t>
      </w:r>
    </w:p>
    <w:p w14:paraId="0BD0BCD5">
      <w:pPr>
        <w:snapToGrid w:val="0"/>
        <w:spacing w:line="570" w:lineRule="exact"/>
        <w:jc w:val="center"/>
        <w:rPr>
          <w:rFonts w:hint="eastAsia" w:ascii="Times New Roman" w:hAnsi="Times New Roman" w:eastAsia="方正楷体简体" w:cs="方正楷体简体"/>
          <w:sz w:val="32"/>
          <w:szCs w:val="32"/>
        </w:rPr>
      </w:pPr>
      <w:r>
        <w:rPr>
          <w:rFonts w:hint="eastAsia" w:ascii="Times New Roman" w:hAnsi="Times New Roman" w:eastAsia="方正楷体简体" w:cs="方正楷体简体"/>
          <w:sz w:val="32"/>
          <w:szCs w:val="32"/>
        </w:rPr>
        <w:t>上海市经济和信息化委员会</w:t>
      </w:r>
    </w:p>
    <w:p w14:paraId="77226346">
      <w:pPr>
        <w:snapToGrid w:val="0"/>
        <w:spacing w:line="570" w:lineRule="exact"/>
        <w:jc w:val="center"/>
        <w:rPr>
          <w:rFonts w:hint="eastAsia" w:ascii="Times New Roman" w:hAnsi="Times New Roman" w:eastAsia="方正楷体简体" w:cs="方正楷体简体"/>
          <w:sz w:val="32"/>
          <w:szCs w:val="32"/>
        </w:rPr>
      </w:pPr>
    </w:p>
    <w:p w14:paraId="0122F25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为加快交通领域能源结构调整，推动国际航运燃料绿色转型，根据《上海国际航运中心数字化智能化绿色化转型发展方案》（沪委办发〔2024〕7号）、《提升上海航运服务业能级助力国际航运中心建设行动方案》（沪府办发〔2023〕11号），特制定本工作方案。</w:t>
      </w:r>
    </w:p>
    <w:p w14:paraId="4DD29FE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rPr>
        <w:t>一、工作目标</w:t>
      </w:r>
    </w:p>
    <w:p w14:paraId="30C6FC8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紧抓航运领域绿色燃料发展新机遇，抢占绿色燃料产业链优势地位，加快建设供应充足、服务便捷、技术领先、产业先进、政策完备的国际航运绿色燃料加注中心。到2030年，形成内外共济的航运绿色燃料供应体系。上海港保税LNG加注能力达到百万立方米（液态）级，绿色甲醇、绿氨加注能力达到百万吨级。科技创新和示范应用达到国际领先水平，形成一批技术领先、具备较强国际竞争力的创新型企业，制储输（运）加用的市场机制、标准体系和管理机制更加健全，相关基础设施更加完备，全产业链核心竞争力稳步提升。初步建成绿色燃料加注服务中心，并为国际绿色燃料交易中心和国际绿色燃料认证服务中心建设打好基础。</w:t>
      </w:r>
    </w:p>
    <w:p w14:paraId="428FB5E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二、主要任务</w:t>
      </w:r>
    </w:p>
    <w:p w14:paraId="0BFF150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（一）构建内外并重、多元并举的资源供应体系</w:t>
      </w:r>
    </w:p>
    <w:p w14:paraId="73E362C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强化本地资源供给。</w:t>
      </w:r>
      <w:r>
        <w:rPr>
          <w:rFonts w:hint="eastAsia" w:ascii="Times New Roman" w:hAnsi="Times New Roman" w:eastAsia="方正仿宋简体" w:cs="方正仿宋简体"/>
          <w:sz w:val="32"/>
          <w:szCs w:val="32"/>
        </w:rPr>
        <w:t>发挥好市内湿垃圾、农林废弃物、滩涂种植能源作物等生物质资源的作用，研究探索在化工区等区域布局厌氧发酵、生物质气化制绿色甲醇项目，加快推进化工区绿色甲醇项目等市内项目。加快海上风电等新能源开发和CCUS技术应用，探索布局二氧化碳耦合绿氢制备绿色甲醇项目。适时布局绿氨、绿氢、生物质天然气、生物质燃油等其他绿色燃料产能。力争2030年市内绿色燃料供应能力达到30万吨。加快上海LNG站线扩建项目建设，在保障全市天然气安全供应前提下，为国际航行船舶保税LNG加注提供资源保障。</w:t>
      </w:r>
    </w:p>
    <w:p w14:paraId="7124527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加快市外资源布局。</w:t>
      </w:r>
      <w:r>
        <w:rPr>
          <w:rFonts w:hint="eastAsia" w:ascii="Times New Roman" w:hAnsi="Times New Roman" w:eastAsia="方正仿宋简体" w:cs="方正仿宋简体"/>
          <w:sz w:val="32"/>
          <w:szCs w:val="32"/>
        </w:rPr>
        <w:t>加强沪地合作，与东北、西北和长江沿线等资源丰富地区建立跨省绿色燃料合作机制，畅通绿色燃料运输通道，加快实施绿氢（醇、氨）、生物质天然气、生物质燃油等绿色燃料入沪工程，保障绿色燃料可靠供应。加强沪企合作，建立绿色燃料供应企业资源库，推动市内企业在市外布局绿色燃料生产基地，加快洮南市风电耦合生物质绿色甲醇一体化示范项目、松原氢能产业园绿色氢氨醇项目等市外项目建设，形成长期稳定的绿色燃料供应机制。力争2030年市外绿色燃料供应能力达到百万吨。</w:t>
      </w:r>
    </w:p>
    <w:p w14:paraId="43B0FF9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完善配套设施布局。</w:t>
      </w:r>
      <w:r>
        <w:rPr>
          <w:rFonts w:hint="eastAsia" w:ascii="Times New Roman" w:hAnsi="Times New Roman" w:eastAsia="方正仿宋简体" w:cs="方正仿宋简体"/>
          <w:sz w:val="32"/>
          <w:szCs w:val="32"/>
        </w:rPr>
        <w:t>因地制宜布局一体化基地，研究在化工区等地科学布局绿色燃料制备基地，探索在横沙新洲布局绿色燃料母港基地，建立绿电项目-制备基地-港口加注点的制输（运）用通道，逐步实现市内绿色燃料规模化供应。加快储运设施改造，依托洋山深水港基地、石洞口油品储备基地、外高桥油品储备基地，开展原有油品储运改造，强化绿色燃料收储外运能力。探索支持在洋山港、外高桥港区（五号沟）设立保税LNG储罐和绿色燃料储罐，加快加注设施建设，保障与加注能力相匹配的储备库容。</w:t>
      </w:r>
    </w:p>
    <w:p w14:paraId="4F5E795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（二）营造灵活可靠、功能完善的加注服务体系</w:t>
      </w:r>
    </w:p>
    <w:p w14:paraId="75C607F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建设绿色燃料加注服务中心。</w:t>
      </w:r>
      <w:r>
        <w:rPr>
          <w:rFonts w:hint="eastAsia" w:ascii="Times New Roman" w:hAnsi="Times New Roman" w:eastAsia="方正仿宋简体" w:cs="方正仿宋简体"/>
          <w:sz w:val="32"/>
          <w:szCs w:val="32"/>
        </w:rPr>
        <w:t>依托上港集团、绿色燃料供应商和终端用户等企业，共同打造上海绿色燃料加注服务平台，形成具有国际竞争力的绿色燃料采购、加注等“一站式”加注服务体系。提升加注服务效率，在确保国际贸易船舶进出境“单一窗口”申报、实现通关物流信息无纸化运作的基础上，力争终端用户“一次不用跑”、燃料供应船舶“最多跑一次”。提升加注服务灵活性，提升“船船”加注能力，进一步探索“夜航加注”等加注方式；推动LNG加注许可由洋山港区扩围至上海港全港，深度挖掘锚地加注潜力，适时研究“锚地加注”，探索设置LNG加注、化学品船专用锚地。</w:t>
      </w:r>
    </w:p>
    <w:p w14:paraId="2610556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打造国际绿色燃料交易中心。</w:t>
      </w:r>
      <w:r>
        <w:rPr>
          <w:rFonts w:hint="eastAsia" w:ascii="Times New Roman" w:hAnsi="Times New Roman" w:eastAsia="方正仿宋简体" w:cs="方正仿宋简体"/>
          <w:sz w:val="32"/>
          <w:szCs w:val="32"/>
        </w:rPr>
        <w:t>鼓励相关交易机构和企业在临港新片区探索设立绿色燃料交易平台和信息交互平台，不断增强交易中心综合功能。加快形成交易规则，探索开展绿色燃料权益认证、登记、交易、注销闭环等业务，强化交易跟踪管理。研究和发布包括交易种类、成交量、价格指数等关键交易信息，推出一批具有国际影响力的绿色燃料价格指数。围绕绿色燃料产业链上下游，吸引国内外资源商、贸易商、生产商、服务商入市交易。到2030年，力争建成绿色燃料现货交易市场，探索建立绿色燃料期货交易市场和开发相关金融衍生产品。</w:t>
      </w:r>
    </w:p>
    <w:p w14:paraId="727EBBB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提升绿色燃料认证服务能力。</w:t>
      </w:r>
      <w:r>
        <w:rPr>
          <w:rFonts w:hint="eastAsia" w:ascii="Times New Roman" w:hAnsi="Times New Roman" w:eastAsia="方正仿宋简体" w:cs="方正仿宋简体"/>
          <w:sz w:val="32"/>
          <w:szCs w:val="32"/>
        </w:rPr>
        <w:t>聚焦船用绿色燃料产品认证市场需求，支持现有认证机构和服务平台提升标准、认证等技术服务能级，探索构建规范化、专业化、数字化、智能化的国际绿色燃料认证服务体系。积极引进和培养绿色燃料产品认证专业人才，加强技术储备，促进高层级技术交流与创新合作，集聚一批提供认证、标准、培训及咨询等专业服务的第三方机构，率先打造我国绿色燃料产品认证对外服务窗口。鼓励国内专业服务机构开展境外绿色燃料产品认证服务。鼓励第三方专业服务机构为企业提供绿色燃料产品标准制修订、认证等培训和咨询服务，帮助企业提升燃料产品绿色化水平。</w:t>
      </w:r>
    </w:p>
    <w:p w14:paraId="3C6E38A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（三）打造国际领先、引领前沿的科技创新体系</w:t>
      </w:r>
    </w:p>
    <w:p w14:paraId="5B8278F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7</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打造核心技术策源地。</w:t>
      </w:r>
      <w:r>
        <w:rPr>
          <w:rFonts w:hint="eastAsia" w:ascii="Times New Roman" w:hAnsi="Times New Roman" w:eastAsia="方正仿宋简体" w:cs="方正仿宋简体"/>
          <w:sz w:val="32"/>
          <w:szCs w:val="32"/>
        </w:rPr>
        <w:t>支持绿色燃料颠覆性技术研发。绿色甲醇重点突破木质素厌氧发酵产甲烷合成甲醇、生物质气化合成甲醇、二氧化碳低压加氢合成甲醇等制备技术，同步研究优良耐碱作物培育、滩涂高适应性播种收割机械化设备等关键技术，助力滩涂能源作物规模化种植。绿氨重点突破低温低压热催化合成氨、常温常压电化学合成氨等制备技术和安全应用技术。加强绿氢、生物质天然气、生物质燃油等其他绿色燃料技术储备。</w:t>
      </w:r>
    </w:p>
    <w:p w14:paraId="5531B5D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8</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健全协同创新体系。</w:t>
      </w:r>
      <w:r>
        <w:rPr>
          <w:rFonts w:hint="eastAsia" w:ascii="Times New Roman" w:hAnsi="Times New Roman" w:eastAsia="方正仿宋简体" w:cs="方正仿宋简体"/>
          <w:sz w:val="32"/>
          <w:szCs w:val="32"/>
        </w:rPr>
        <w:t>支持企业与高校、科研机构联合，整合技术中心和重点实验室等重要研发资源，建立完善企业为主、市场导向、产学研用相结合的绿色燃料创新体系。聚焦制储输（运）加用全产业链核心技术，推动装备国产化和成果转化应用。鼓励行业头部企业联合高校、科研机构与金融机构组建绿色燃料发展基金，支持产学研用各关键环节创新。</w:t>
      </w:r>
    </w:p>
    <w:p w14:paraId="4025A6F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9</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推动技术多元化应用。</w:t>
      </w:r>
      <w:r>
        <w:rPr>
          <w:rFonts w:hint="eastAsia" w:ascii="Times New Roman" w:hAnsi="Times New Roman" w:eastAsia="方正仿宋简体" w:cs="方正仿宋简体"/>
          <w:sz w:val="32"/>
          <w:szCs w:val="32"/>
        </w:rPr>
        <w:t>以打造国际航运绿色燃料加注港口为切入点，构建绿色燃料应用体系。按照先醇氨后氢能的应用路径，结合生物质天然气、生物质燃油等其他绿色燃料的研发情况，适度超前拓展多元绿色燃料在国际航运的应用。逐步将国际航运绿色燃料应用优势扩展至内河航运、陆路运输，以及工业、电力、住建等领域，探索全球超大型低碳城市发展新模式。</w:t>
      </w:r>
    </w:p>
    <w:p w14:paraId="6DFEACE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10</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加快开展绿色燃料标准建设。</w:t>
      </w:r>
      <w:r>
        <w:rPr>
          <w:rFonts w:hint="eastAsia" w:ascii="Times New Roman" w:hAnsi="Times New Roman" w:eastAsia="方正仿宋简体" w:cs="方正仿宋简体"/>
          <w:sz w:val="32"/>
          <w:szCs w:val="32"/>
        </w:rPr>
        <w:t>支持企业、高等院校、科研院所及行业协会参与绿色燃料相关国家标准制修订，鼓励团体标准、企业标准研制，填补标准空白。发挥行业领军企业作用，积极参与相关国际标准制修订，为全球船用绿色燃料标准制定分享中国经验。争取国家层面支持，探索推动标准互认，提升我国在全球航运绿色燃料标准规范的参与度和话语权。</w:t>
      </w:r>
    </w:p>
    <w:p w14:paraId="473E14C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（四）构建创新引领、协同发展的产业生态体系</w:t>
      </w:r>
    </w:p>
    <w:p w14:paraId="3BC90FC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推动产业链上下游协作。</w:t>
      </w:r>
      <w:r>
        <w:rPr>
          <w:rFonts w:hint="eastAsia" w:ascii="Times New Roman" w:hAnsi="Times New Roman" w:eastAsia="方正仿宋简体" w:cs="方正仿宋简体"/>
          <w:sz w:val="32"/>
          <w:szCs w:val="32"/>
        </w:rPr>
        <w:t>支持上港集团和能源企业、航运企业共同整合产业要素，建立产业链上下游供需对接平台，推动绿色燃料生产、加注、应用的全产业链深层次互动和协作，打造绿色燃料加注商业生态圈。鼓励上下游企业按照市场化原则签订长期协议，合理确定绿色燃料量价，实现长期稳定合作。</w:t>
      </w:r>
    </w:p>
    <w:p w14:paraId="11C4509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推动产业集群化发展。</w:t>
      </w:r>
      <w:r>
        <w:rPr>
          <w:rFonts w:hint="eastAsia" w:ascii="Times New Roman" w:hAnsi="Times New Roman" w:eastAsia="方正仿宋简体" w:cs="方正仿宋简体"/>
          <w:sz w:val="32"/>
          <w:szCs w:val="32"/>
        </w:rPr>
        <w:t>在临港、化工区等地高水平、高标准打造绿色燃料产业集聚区，推进绿色燃料产业集聚发展。重点遴选培育绿色燃料“链主”企业，引进和培育一批绿色燃料领域“专精特新”企业，打造一批产业辐射带动能力强的项目。通过举办高水平展会、论坛、人才交流活动，搭建绿色燃料产业合作交流平台。</w:t>
      </w:r>
    </w:p>
    <w:p w14:paraId="75C3E1B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（五）健全科学规范、接轨国际的政策法规体系</w:t>
      </w:r>
    </w:p>
    <w:p w14:paraId="5D2C37F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加强加注制度体系建设。</w:t>
      </w:r>
      <w:r>
        <w:rPr>
          <w:rFonts w:hint="eastAsia" w:ascii="Times New Roman" w:hAnsi="Times New Roman" w:eastAsia="方正仿宋简体" w:cs="方正仿宋简体"/>
          <w:sz w:val="32"/>
          <w:szCs w:val="32"/>
        </w:rPr>
        <w:t>以《上海港国际航行船舶绿色甲醇燃料加注业务试点方案》《中国（上海）自由贸易试验区临港新片区国际航行船舶保税液化天然气加注试点管理办法（试行）》为基础，完善绿色燃料加注操作流程、仓储物流、加注系统质量流量计量技术、交付方式等绿色燃料加注全流程管理制度。根据技术成熟度和商业化应用情况，适时研究制订绿氨、绿氢、生物质燃油等其他绿色燃料加注作业指南和管理办法。</w:t>
      </w:r>
    </w:p>
    <w:p w14:paraId="15E2D2B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优化办理出口退税。</w:t>
      </w:r>
      <w:r>
        <w:rPr>
          <w:rFonts w:hint="eastAsia" w:ascii="Times New Roman" w:hAnsi="Times New Roman" w:eastAsia="方正仿宋简体" w:cs="方正仿宋简体"/>
          <w:sz w:val="32"/>
          <w:szCs w:val="32"/>
        </w:rPr>
        <w:t>绿色燃料供应企业根据相关法规规定，凭港口行政管理部门出具的“为上海港船舶提供燃料供应服务”的《港口经营业务备案表》、采购绿色燃料的增值税专用发票、销售绿色燃料的出口发票、配套出口发票列明加注绿色燃料规模并经国际航行船舶船长签名的燃料交付单等相关材料，按规定向主管税务机关申请对上述船供出口的绿色甲醇办理出口退税。</w:t>
      </w:r>
    </w:p>
    <w:p w14:paraId="2176BD9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落实加注企业主体责任。</w:t>
      </w:r>
      <w:r>
        <w:rPr>
          <w:rFonts w:hint="eastAsia" w:ascii="Times New Roman" w:hAnsi="Times New Roman" w:eastAsia="方正仿宋简体" w:cs="方正仿宋简体"/>
          <w:sz w:val="32"/>
          <w:szCs w:val="32"/>
        </w:rPr>
        <w:t>绿色燃料加注企业按照国际公约、相关质量标准和管理规程要求，按质保量开展加注业务，并建立燃料进出库管理台账。建立完善的质量、安全和环境保护管理制度，加强相关人员安全教育培训，定期组织开展隐患排查治理，在加注作业全过程严格落实港口、海事、生态环境、海关、边检等部门管理要求，保障作业安全。</w:t>
      </w:r>
    </w:p>
    <w:p w14:paraId="2404C77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（六）搭建共商共建、互利共赢的国际合作体系</w:t>
      </w:r>
    </w:p>
    <w:p w14:paraId="3501DE2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加强国际合作体系建设。</w:t>
      </w:r>
      <w:r>
        <w:rPr>
          <w:rFonts w:hint="eastAsia" w:ascii="Times New Roman" w:hAnsi="Times New Roman" w:eastAsia="方正仿宋简体" w:cs="方正仿宋简体"/>
          <w:sz w:val="32"/>
          <w:szCs w:val="32"/>
        </w:rPr>
        <w:t>深度融入国家“一带一路”战略，加快打造上海港-洛杉矶港绿色航运走廊和上海港-汉堡港绿色航运走廊，进一步探索亚太区域和亚欧航道沿线潜在合作方向，推动港口航运业逐步向低碳零碳过渡。积极推动国内外绿色燃料装备、供应、加注、航运等企业合作，推动国内企业在可再生能源丰富的国家和地区建设绿色燃料制备项目，形成链接国内外、贯通上下游的绿色燃料朋友圈。大力引进ISCC等国际认证机构，推动上海港绿色燃料迈向国际化，打造国际可持续和碳认证集聚新高地。</w:t>
      </w:r>
    </w:p>
    <w:p w14:paraId="03BAB76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三、保障措施</w:t>
      </w:r>
    </w:p>
    <w:p w14:paraId="1CBB9C3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（一）强化组织协调</w:t>
      </w:r>
    </w:p>
    <w:p w14:paraId="0A86ACA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成立推动国际航运燃料绿色转型工作专班，健全完善高效协作、职责清晰、功能定位和责任分工明确的工作协调机制，统筹协调绿色燃料加注中心建设的重大问题，持续提升绿色燃料加注服务能级，为绿色燃料产业发展和示范应用提供良好的组织保障和政策环境。加强与国家部委沟通对接，积极争取上海国际航运绿色燃料加注的支持政策。</w:t>
      </w:r>
    </w:p>
    <w:p w14:paraId="54839D7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（二）强化要素保障</w:t>
      </w:r>
    </w:p>
    <w:p w14:paraId="10A6751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保障市内绿色燃料生产、储运用地需求和加注锚地用海需求。鼓励加大对绿色燃料重点企业和项目支持力度，支持绿色燃料技术创新、产业升级、示范应用、业务拓展。鼓励各类创业投资和股权投资基金投资绿色燃料产业，鼓励金融机构对绿色燃料产业企业推出符合企业融资需求的信贷产品，支持符合条件的企业借助多层次资本市场做大做强。研究油气贸易人民币结算上海支持政策，更好支持国际航行船舶保税LNG加注和绿色燃料加注。研究对绿色燃料加注船舶予以港口服务费减免。</w:t>
      </w:r>
    </w:p>
    <w:p w14:paraId="048D2DB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（三）强化人才支撑</w:t>
      </w:r>
    </w:p>
    <w:p w14:paraId="02F8ECB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以高层次、高技能人才队伍建设为重点，完善人才引进、互动、培养机制。鼓励相关高校开设相关课程，通过校企合作、国际合作等方式，培育一批高层次、复合型人才及各类技能型人才。健全人才引进全周期服务机制，实施“平台+团队”整建制引进首席科学家及团队成员。加大绿色燃料产业基础研究人才和核心技术研发人才培养力度，定期遴选一批表现突出的带头人重点培育。</w:t>
      </w:r>
    </w:p>
    <w:p w14:paraId="77D9630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（四）强化动态评估</w:t>
      </w:r>
    </w:p>
    <w:p w14:paraId="05F39A6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组织智库密切跟踪绿色燃料国际供需形势和技术发展趋势，定期开展《方案》动态评估，视情况敏捷寻优，对发展目标、项目规划布局、建设时序、技术方案进行滚动调整。</w:t>
      </w:r>
    </w:p>
    <w:p w14:paraId="2C7FD59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附件：重点任务分工表</w:t>
      </w:r>
    </w:p>
    <w:p w14:paraId="5C044FF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p>
    <w:p w14:paraId="3E6364E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p>
    <w:p w14:paraId="61A5FFD9">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上海国际航运中心建设“十四五”规划</w:t>
      </w:r>
    </w:p>
    <w:p w14:paraId="7DCF0B90">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楷体简体" w:cs="方正楷体简体"/>
          <w:sz w:val="32"/>
          <w:szCs w:val="32"/>
          <w:lang w:val="en-US" w:eastAsia="zh-CN"/>
        </w:rPr>
      </w:pPr>
      <w:r>
        <w:rPr>
          <w:rFonts w:hint="eastAsia" w:ascii="Times New Roman" w:hAnsi="Times New Roman" w:eastAsia="方正楷体简体" w:cs="方正楷体简体"/>
          <w:sz w:val="32"/>
          <w:szCs w:val="32"/>
          <w:lang w:val="en-US" w:eastAsia="zh-CN"/>
        </w:rPr>
        <w:t>上海市人民政府</w:t>
      </w:r>
    </w:p>
    <w:p w14:paraId="3E5DC4E8">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default" w:ascii="Times New Roman" w:hAnsi="Times New Roman" w:eastAsia="方正楷体简体" w:cs="方正楷体简体"/>
          <w:sz w:val="32"/>
          <w:szCs w:val="32"/>
          <w:lang w:val="en-US" w:eastAsia="zh-CN"/>
        </w:rPr>
      </w:pPr>
    </w:p>
    <w:p w14:paraId="5D637EA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为进一步提升上海国际航运中心能级，根据《上海市国民经济和社会发展第十四个五年规划和二○三五年远景目标纲要》，编制本规划。</w:t>
      </w:r>
    </w:p>
    <w:p w14:paraId="4183E13C">
      <w:pPr>
        <w:keepNext w:val="0"/>
        <w:keepLines w:val="0"/>
        <w:pageBreakBefore w:val="0"/>
        <w:widowControl w:val="0"/>
        <w:kinsoku/>
        <w:wordWrap/>
        <w:overflowPunct/>
        <w:topLinePunct w:val="0"/>
        <w:autoSpaceDE/>
        <w:autoSpaceDN/>
        <w:bidi w:val="0"/>
        <w:adjustRightInd/>
        <w:snapToGrid w:val="0"/>
        <w:spacing w:line="570" w:lineRule="exact"/>
        <w:ind w:firstLine="641"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b/>
          <w:bCs/>
          <w:sz w:val="32"/>
          <w:szCs w:val="32"/>
        </w:rPr>
        <w:t>一、发展基础</w:t>
      </w:r>
    </w:p>
    <w:p w14:paraId="6814E15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（一）建设成效</w:t>
      </w:r>
    </w:p>
    <w:p w14:paraId="335ED1D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十三五”时期，上海已基本建成航运资源要素集聚、航运服务功能完善、航运市场环境优良、航运物流服务高效的国际航运中心，初步具备全球航运资源配置能力。《2020新华·波罗的海国际航运中心发展指数报告》显示，上海国际航运中心全球排名第三，国际影响力稳步提升。</w:t>
      </w:r>
    </w:p>
    <w:p w14:paraId="513E48F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航运要素集聚度显著增强</w:t>
      </w:r>
    </w:p>
    <w:p w14:paraId="75C6060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上海已发展形成七大航运服务集聚区，航运资源要素不断集聚。北外滩、陆家嘴-洋泾地区以航运总部经济为特色，集聚各类航运市场主体。洋山-临港、外高桥地区以港口物流和保税物流为重点，成为现代航运物流示范区。吴淞口地区初步形成邮轮产业链，建设国内首个国际邮轮产业园。虹桥、浦东机场地区依托国际航空枢纽、机场综合保税区、大飞机制造等实体，成为临空经济发展的重要载体。依托航运服务集聚区，一批国际性、国家级航运功能性机构云集上海，全球排名前列的班轮公司、邮轮企业、船舶管理机构、船级社等在沪设立总部或分支机构。</w:t>
      </w:r>
    </w:p>
    <w:p w14:paraId="3C3D271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海港物流体系智慧绿色协同高效</w:t>
      </w:r>
    </w:p>
    <w:p w14:paraId="559BE16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洋山深水港四期成为全球规模最大、自动化程度最高的集装箱码头，上海港集装箱吞吐量、港口连接度保持全球首位。集疏运体系进一步优化，芦潮港铁路中心站与洋山深水港区一体化运营取得突破，集装箱水水中转比例达51.6%。口岸通关各环节基本实现无纸化，港口业务无纸化率达100%。清洁能源设施、技术在港口推广应用，专业化泊位岸电设施覆盖率达79%。区域港航协同发展有序推进，长江集装箱江海联运实现信息共享和业务协同。航海服务保障水平显著提升，洋山港、长江口E航海项目全面完成，空中、水面、水下三位一体应急保障体系基本建成。</w:t>
      </w:r>
    </w:p>
    <w:p w14:paraId="155CA59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亚太大型国际航空枢纽初步建成</w:t>
      </w:r>
    </w:p>
    <w:p w14:paraId="0AE6246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上海成功构建国内首个“一市两场”城市机场体系，空港通达性居亚洲领先地位。新冠肺炎疫情管控措施实施前，通航全球50个国家的314个通航点。长三角空域精细化管理改革取得实效，航班正常率提升至年均80%以上。浦东、虹桥国际机场被国际航空运输协会授予便捷出行项目“白金机场”认证。浦东国际机场全球最大单体卫星厅启用，快件分拨中心、冷库中心等专业化货运设施相继投用，枢纽功能进一步增强。2019年，上海航空客货吞吐量达到1.2亿人次、405.8万吨，分别位列全球城市第四位、第三位。2020年新冠肺炎疫情背景下，上海机场承担了我国约1/3出入境航班、1/2进出境抗疫物资的防疫和保障工作。</w:t>
      </w:r>
    </w:p>
    <w:p w14:paraId="4ED3255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现代航运服务功能基本健全</w:t>
      </w:r>
    </w:p>
    <w:p w14:paraId="5CDCC82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航运保险市场规模居前，船舶险和货运险业务总量全国占比近1/4，国际市场份额仅次于伦敦和新加坡。航运信息服务发展迅速，中国出口集装箱运价指数（CCFI）、中国沿海煤炭运价指数（CBCFI）得到市场广泛认可，基于“中国航运数据库”“港航大数据实验室”的应用项目相继实施。上海海事法院和海事仲裁服务机构共同打造国际海事司法上海基地，海事仲裁服务全国领先。吴淞口国际邮轮港成为亚洲第一、全球第四邮轮母港，邮轮商贸、邮轮船供业务得到发展，邮轮船票制度试点实施。成功举办“中国国际海事会展”“中国航海日”系列活动，打造中国航海博物馆等航运文化品牌，航运文化辨识度和认同度不断提升。</w:t>
      </w:r>
    </w:p>
    <w:p w14:paraId="1BF8923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航运市场营商环境显著优化</w:t>
      </w:r>
    </w:p>
    <w:p w14:paraId="52A33CC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上海港全面落实国家减税降费部署，降低港口使用成本。上海国际贸易“单一窗口”对接22个部门，实现口岸货物申报和运输工具申报全覆盖。除国内水路运输业务，其它航运业务均已对外开放，累计34家外资国际船舶管理公司获批入驻自贸试验区。水运行业实施行政审批制度改革，压缩审批承诺时限，大幅精简申请材料，全面推进“证照分离”改革，构建“五位一体”的行业综合监管体制。航运高端人才、紧缺急需人才和特殊人才引进力度不断加大，航运相关学科专业水平持续提升。</w:t>
      </w:r>
    </w:p>
    <w:p w14:paraId="54B51E1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（二）存在问题</w:t>
      </w:r>
    </w:p>
    <w:p w14:paraId="4B93F00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枢纽港建设需要突破资源瓶颈，提升服务水平</w:t>
      </w:r>
    </w:p>
    <w:p w14:paraId="75193BA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上海港码头结构性矛盾突出，铁路与港区、内河港区与海港衔接不畅，高等级内河航道、公路集疏运网络部分区段瓶颈影响整体效益发挥，海上搜救等应急保障能力有待进一步加强。机场地面运行和空中保障能力难以满足航空枢纽中长期发展需要，国际航线网络通达性仍需进一步提高，机场对外快速交通衔接有待完善。围绕海港、空港、邮轮港的增值服务规模相对有限，临港、临空经济有较大发展空间。</w:t>
      </w:r>
    </w:p>
    <w:p w14:paraId="1094104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现代航运服务需要推动政策创新，集聚要素资源</w:t>
      </w:r>
    </w:p>
    <w:p w14:paraId="08EE887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与成熟的国际航运服务要素市场相比，上海在航运发展软环境方面尚有差距，在一定程度上制约了航运要素集聚和服务水平提升。现代航运服务业仍存在市场主体规模小、分散度高的情况，国际市场辐射能力相对较弱，航运创新生态尚待培育形成。</w:t>
      </w:r>
    </w:p>
    <w:p w14:paraId="279E639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二、发展趋势</w:t>
      </w:r>
    </w:p>
    <w:p w14:paraId="722FED7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十四五”时期是上海加快建设具有世界影响力的社会主义现代化国际大都市的关键五年，也是上海国际航运中心从“基本建成”迈向“全面建成”的历史新阶段。上海国际航运中心发展面临复杂的外部挑战，也迎来新的战略机遇。</w:t>
      </w:r>
    </w:p>
    <w:p w14:paraId="5D8128F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（一）外部环境危、机并存</w:t>
      </w:r>
    </w:p>
    <w:p w14:paraId="6A29C17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国际经贸形势、新冠肺炎疫情复杂多变，运输需求不确定性增加。我国建设更高水平开放型经济新体制，为上海国际航运中心融入全球航运治理体系提供契机。</w:t>
      </w:r>
    </w:p>
    <w:p w14:paraId="4B8303A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（二）国内新格局加速构建</w:t>
      </w:r>
    </w:p>
    <w:p w14:paraId="5DEE46B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国内市场和内需体系加快完善，要求航运业为扩大内需战略实施提供支撑。区域协调发展战略全方位深入推进，区域港航新型竞合关系、治理体系加快构建，要求上海国际航运中心提升站位和统筹能力。</w:t>
      </w:r>
    </w:p>
    <w:p w14:paraId="1D99D7C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（三）改革创新持续深化</w:t>
      </w:r>
    </w:p>
    <w:p w14:paraId="7BA17CC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上海强化“四大功能”，发展“五型经济”，营造更具吸引力的营商环境，有力促进航运要素集聚。中国（上海）自由贸易试验区临港新片区（以下简称“临港新片区”）建立投资贸易自由化便利化制度体系，为航运制度创新、功能拓展、资源集聚营造有利环境。</w:t>
      </w:r>
    </w:p>
    <w:p w14:paraId="406E820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楷体简体" w:cs="方正楷体简体"/>
          <w:sz w:val="32"/>
          <w:szCs w:val="32"/>
        </w:rPr>
      </w:pPr>
      <w:r>
        <w:rPr>
          <w:rFonts w:hint="eastAsia" w:ascii="Times New Roman" w:hAnsi="Times New Roman" w:eastAsia="方正楷体简体" w:cs="方正楷体简体"/>
          <w:b/>
          <w:bCs/>
          <w:sz w:val="32"/>
          <w:szCs w:val="32"/>
        </w:rPr>
        <w:t>（四）科技进步驱动革新</w:t>
      </w:r>
    </w:p>
    <w:p w14:paraId="6130DF6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在新一轮科技革命和产业变革驱动下，航运产业面临数字化重构与升级，行业传统边界趋于模糊，与相关产业间的融合度不断加深，呈现生产方式智能化、产业组织平台化、技术创新开放化特征，催生新的航运服务商业模式，驱动行业规则和管理模式革新。</w:t>
      </w:r>
    </w:p>
    <w:p w14:paraId="05F7F72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（五）航运产业融合发展</w:t>
      </w:r>
    </w:p>
    <w:p w14:paraId="67BD8A7F">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国际运输服务由海运、空运环节向物流链两端延伸，由单一运输方式向多式联运转变，物流系统集成化水平日益提升。同时，全程供应链服务模式快速兴起，运输服务向生产、销售环节渗透，推动传统物流与现代服务间的深度融合、集成发展。</w:t>
      </w:r>
    </w:p>
    <w:p w14:paraId="752638DD">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（六）绿色发展势在必行</w:t>
      </w:r>
    </w:p>
    <w:p w14:paraId="09ECC13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世界能源消费加快向多元化、低碳化转型，推动航运业能源结构调整。中国提出“碳达峰”“碳中和”目标，国际海事组织、国际民航组织推动实施更严格的环保措施，加快推动节能环保技术在航运、航空领域的应用，促进其向低能耗、零排放方向发展。</w:t>
      </w:r>
    </w:p>
    <w:p w14:paraId="383E1FF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三、指导思想和发展目标</w:t>
      </w:r>
    </w:p>
    <w:p w14:paraId="6932468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（一）指导思想</w:t>
      </w:r>
    </w:p>
    <w:p w14:paraId="2F3FC57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以习近平新时代中国特色社会主义思想为指导，全面贯彻党的十九大和十九届二中、三中、四中、五中全会精神，深入贯彻习近平总书记考察上海重要讲话和在浦东开发开放30周年庆祝大会上重要讲话精神，落实《交通强国建设纲要》，融入全球供应链与航运治理体系，推动上海国际航运中心建设由注重速度规模向注重质量效益转变，由重点吸引要素集聚向同步注重互动交流转变，由传统服务驱动向改革创新驱动转变，由相对独立向系统融合发展转变。</w:t>
      </w:r>
    </w:p>
    <w:p w14:paraId="0F160F0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（二）总体目标</w:t>
      </w:r>
    </w:p>
    <w:p w14:paraId="6606E83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全力支撑上海打造国内大循环的中心节点、国内国际双循环的战略链接，形成枢纽门户服务升级、引领辐射能力增强、科技创新驱动有力、资源配置能级提升的上海国际航运中心发展新格局。2025年，基本建成便捷高效、功能完备、开放融合、绿色智慧、保障有力的世界一流国际航运中心。</w:t>
      </w:r>
    </w:p>
    <w:p w14:paraId="00E7BEF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（三）具体目标</w:t>
      </w:r>
    </w:p>
    <w:p w14:paraId="73DE9E0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枢纽服务品质世界领先。</w:t>
      </w:r>
      <w:r>
        <w:rPr>
          <w:rFonts w:hint="eastAsia" w:ascii="Times New Roman" w:hAnsi="Times New Roman" w:eastAsia="方正仿宋简体" w:cs="方正仿宋简体"/>
          <w:sz w:val="32"/>
          <w:szCs w:val="32"/>
        </w:rPr>
        <w:t>建设智慧高效、服务完备、品质领先的国际集装箱海港枢纽、世界级航空枢纽，夯实在长三角世界级港口群和机场群建设中的核心引领地位。2025年，集装箱年吞吐量达到4700万标准箱以上；航空旅客年吞吐量达到1.3亿人次以上，货邮年吞吐量达到410万吨以上。</w:t>
      </w:r>
    </w:p>
    <w:p w14:paraId="5A861C72">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物流集疏运体系协同高效。</w:t>
      </w:r>
      <w:r>
        <w:rPr>
          <w:rFonts w:hint="eastAsia" w:ascii="Times New Roman" w:hAnsi="Times New Roman" w:eastAsia="方正仿宋简体" w:cs="方正仿宋简体"/>
          <w:sz w:val="32"/>
          <w:szCs w:val="32"/>
        </w:rPr>
        <w:t>构建安全便捷、智慧绿色的枢纽港集疏运体系，提升多式联运服务水平，基本建成高质量一体化集疏运网络。集装箱水水中转比例不低于52%，集装箱海铁联运量不低于65万标准箱；空港地面交通保障能力显著增强，实现浦东机场到市中心40分钟抵达。</w:t>
      </w:r>
    </w:p>
    <w:p w14:paraId="130BD7F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航运服务品牌效应凸显。</w:t>
      </w:r>
      <w:r>
        <w:rPr>
          <w:rFonts w:hint="eastAsia" w:ascii="Times New Roman" w:hAnsi="Times New Roman" w:eastAsia="方正仿宋简体" w:cs="方正仿宋简体"/>
          <w:sz w:val="32"/>
          <w:szCs w:val="32"/>
        </w:rPr>
        <w:t>以航运相关融资保险、法律仲裁、科技研发、教育培训、信息咨询、文化会展等业态为重点，依托北外滩、陆家嘴-世博等核心承载区，实现航运服务要素加速集聚，服务价值链向高端延伸，服务辐射能级显著增强，国内示范引领作用和国际影响力全面提升。</w:t>
      </w:r>
    </w:p>
    <w:p w14:paraId="00D9206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邮轮经济产业链基本形成。</w:t>
      </w:r>
      <w:r>
        <w:rPr>
          <w:rFonts w:hint="eastAsia" w:ascii="Times New Roman" w:hAnsi="Times New Roman" w:eastAsia="方正仿宋简体" w:cs="方正仿宋简体"/>
          <w:sz w:val="32"/>
          <w:szCs w:val="32"/>
        </w:rPr>
        <w:t>邮轮港及配套基础设施进一步完善，邮轮旅客结构显著优化，旅客发送量保持亚太第一，跻身世界邮轮港口第一方阵。亚太邮轮企业总部基地初具规模，邮轮船供物资分拨业务覆盖亚洲市场，初步掌握大型邮轮设计建造技术和管理能力。</w:t>
      </w:r>
    </w:p>
    <w:p w14:paraId="49E92CE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绿色创新能力全面提升。</w:t>
      </w:r>
      <w:r>
        <w:rPr>
          <w:rFonts w:hint="eastAsia" w:ascii="Times New Roman" w:hAnsi="Times New Roman" w:eastAsia="方正仿宋简体" w:cs="方正仿宋简体"/>
          <w:sz w:val="32"/>
          <w:szCs w:val="32"/>
        </w:rPr>
        <w:t>打造低碳环保、智慧高效的航运产业新生态，形成航运新基建框架体系，实现新一代信息技术与生产、服务和管理深度融合，培育航运服务新业态，形成航运发展新动能；技术创新与政策引导相结合，实现能源清洁、能耗节约、污染物受控、土地岸线资源集约利用。</w:t>
      </w:r>
    </w:p>
    <w:p w14:paraId="131E0F0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航运治理体系开放融合。</w:t>
      </w:r>
      <w:r>
        <w:rPr>
          <w:rFonts w:hint="eastAsia" w:ascii="Times New Roman" w:hAnsi="Times New Roman" w:eastAsia="方正仿宋简体" w:cs="方正仿宋简体"/>
          <w:sz w:val="32"/>
          <w:szCs w:val="32"/>
        </w:rPr>
        <w:t>形成安全、法治、高效的航运保障体系，口岸综合效率和市场营商环境达到国际先进水平。航运中心的文化辨识度、认同度显著增强。航运人才发展环境更具国际竞争力，逐步形成全球航运人才高地。参与国际航运治理的能力全面提升。</w:t>
      </w:r>
    </w:p>
    <w:p w14:paraId="06D33719">
      <w:pPr>
        <w:pStyle w:val="9"/>
        <w:keepNext w:val="0"/>
        <w:keepLines w:val="0"/>
        <w:widowControl/>
        <w:suppressLineNumbers w:val="0"/>
        <w:spacing w:before="0" w:beforeAutospacing="0" w:after="250" w:afterAutospacing="0"/>
        <w:ind w:left="0" w:right="0" w:firstLine="0"/>
        <w:rPr>
          <w:rFonts w:ascii="Times New Roman" w:hAnsi="Times New Roman" w:eastAsia="微软雅黑" w:cs="微软雅黑"/>
          <w:i w:val="0"/>
          <w:iCs w:val="0"/>
          <w:caps w:val="0"/>
          <w:color w:val="424242"/>
          <w:spacing w:val="0"/>
          <w:sz w:val="18"/>
          <w:szCs w:val="18"/>
        </w:rPr>
      </w:pPr>
      <w:r>
        <w:rPr>
          <w:rFonts w:hint="eastAsia" w:ascii="Times New Roman" w:hAnsi="Times New Roman" w:eastAsia="微软雅黑" w:cs="微软雅黑"/>
          <w:i w:val="0"/>
          <w:iCs w:val="0"/>
          <w:caps w:val="0"/>
          <w:color w:val="424242"/>
          <w:spacing w:val="0"/>
          <w:sz w:val="18"/>
          <w:szCs w:val="18"/>
        </w:rPr>
        <w:t>“十四五”时期上海国际航运中心建设指标</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0"/>
        <w:gridCol w:w="1130"/>
        <w:gridCol w:w="2250"/>
        <w:gridCol w:w="490"/>
        <w:gridCol w:w="650"/>
        <w:gridCol w:w="1330"/>
        <w:gridCol w:w="1330"/>
      </w:tblGrid>
      <w:tr w14:paraId="0A7C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0B46607">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序号</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03F15A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类别</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25CB78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指标名称</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2927AC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属性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ACC71F4">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单位</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04D2A4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基准值（2020年）</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CD706C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Style w:val="13"/>
                <w:rFonts w:hint="eastAsia" w:ascii="Times New Roman" w:hAnsi="Times New Roman" w:eastAsia="微软雅黑" w:cs="微软雅黑"/>
                <w:b/>
                <w:bCs/>
                <w:i w:val="0"/>
                <w:iCs w:val="0"/>
                <w:caps w:val="0"/>
                <w:color w:val="000000"/>
                <w:spacing w:val="0"/>
                <w:kern w:val="0"/>
                <w:sz w:val="16"/>
                <w:szCs w:val="16"/>
                <w:lang w:val="en-US" w:eastAsia="zh-CN" w:bidi="ar"/>
              </w:rPr>
              <w:t>目标值（2025年）</w:t>
            </w:r>
          </w:p>
        </w:tc>
      </w:tr>
      <w:tr w14:paraId="28EF5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E54A2F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w:t>
            </w:r>
          </w:p>
        </w:tc>
        <w:tc>
          <w:tcPr>
            <w:tcW w:w="0" w:type="auto"/>
            <w:vMerge w:val="restart"/>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3BC1A5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海港</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268EC30">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集装箱年吞吐量</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AC9231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BB3E747">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万标准箱</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E5D436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4350</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78FE476F">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&gt;4700</w:t>
            </w:r>
          </w:p>
        </w:tc>
      </w:tr>
      <w:tr w14:paraId="6AE84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6539B4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2</w:t>
            </w:r>
          </w:p>
        </w:tc>
        <w:tc>
          <w:tcPr>
            <w:tcW w:w="0" w:type="auto"/>
            <w:vMerge w:val="continue"/>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0C2DD18">
            <w:pPr>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A05A629">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集装箱水水中转比例</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7E64AAC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55113B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A69FA7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51.6</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88F5111">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≥52</w:t>
            </w:r>
          </w:p>
        </w:tc>
      </w:tr>
      <w:tr w14:paraId="599D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51E2EE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3</w:t>
            </w:r>
          </w:p>
        </w:tc>
        <w:tc>
          <w:tcPr>
            <w:tcW w:w="0" w:type="auto"/>
            <w:vMerge w:val="continue"/>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F8E5017">
            <w:pPr>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9F4E0B9">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集装箱海铁联运量</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05B578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65AF346">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万标准箱</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0232B0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26.8</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AAC13F6">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≥65</w:t>
            </w:r>
          </w:p>
        </w:tc>
      </w:tr>
      <w:tr w14:paraId="1C9D3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F72AF0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4</w:t>
            </w:r>
          </w:p>
        </w:tc>
        <w:tc>
          <w:tcPr>
            <w:tcW w:w="0" w:type="auto"/>
            <w:vMerge w:val="restart"/>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5F7BD3B">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空港（市域）</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F331A51">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航空旅客年吞吐量</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2052F1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7786D1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亿人次</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1F9C9E8">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1.22（2019年）</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4BE4E3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&gt;1.3</w:t>
            </w:r>
          </w:p>
        </w:tc>
      </w:tr>
      <w:tr w14:paraId="0256A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73240DD0">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5</w:t>
            </w:r>
          </w:p>
        </w:tc>
        <w:tc>
          <w:tcPr>
            <w:tcW w:w="0" w:type="auto"/>
            <w:vMerge w:val="continue"/>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EE3080D">
            <w:pPr>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C36ED1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航空货邮年吞吐量</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C712D3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4F88F5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万吨</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88E51F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406（2019年）</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B6303A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&gt;410</w:t>
            </w:r>
          </w:p>
        </w:tc>
      </w:tr>
      <w:tr w14:paraId="091EF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0713B87">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6</w:t>
            </w:r>
          </w:p>
        </w:tc>
        <w:tc>
          <w:tcPr>
            <w:tcW w:w="0" w:type="auto"/>
            <w:vMerge w:val="continue"/>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FB90BDF">
            <w:pPr>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D964358">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邮轮港邮轮旅客年发送量排名</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F0D8E84">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409FD3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86A3E14">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亚太第一</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6426326">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亚太第一</w:t>
            </w:r>
          </w:p>
        </w:tc>
      </w:tr>
      <w:tr w14:paraId="77AF1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27C74A0">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7</w:t>
            </w:r>
          </w:p>
        </w:tc>
        <w:tc>
          <w:tcPr>
            <w:tcW w:w="0" w:type="auto"/>
            <w:vMerge w:val="restart"/>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CE434F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绿色航运</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4462D78">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港口专业化泊位岸电设施覆盖率</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E153F7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73560A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B91701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79</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29ACA48">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100</w:t>
            </w:r>
          </w:p>
        </w:tc>
      </w:tr>
      <w:tr w14:paraId="2DCD9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822D23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8</w:t>
            </w:r>
          </w:p>
        </w:tc>
        <w:tc>
          <w:tcPr>
            <w:tcW w:w="0" w:type="auto"/>
            <w:vMerge w:val="continue"/>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0B52DB3">
            <w:pPr>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A3A14A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机场综合能耗</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766CB5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1E6FBF1">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万吨标煤</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396833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13.6</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7D5237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22</w:t>
            </w:r>
          </w:p>
        </w:tc>
      </w:tr>
      <w:tr w14:paraId="61010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9CE8447">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9</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C6BB92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航运服务与环境</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AC15706">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航运保险规模排名</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13A81D80">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CD5061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2648535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全球第三</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117DA8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全球前三</w:t>
            </w:r>
          </w:p>
        </w:tc>
      </w:tr>
      <w:tr w14:paraId="40ADA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EA003BE">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233ECA5">
            <w:pPr>
              <w:keepNext w:val="0"/>
              <w:keepLines w:val="0"/>
              <w:widowControl/>
              <w:suppressLineNumbers w:val="0"/>
              <w:jc w:val="left"/>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5CAA07C">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航运类国际组织</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6AD3D805">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CFBA15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家</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7B38DB9">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8</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758A088F">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9-10</w:t>
            </w:r>
          </w:p>
        </w:tc>
      </w:tr>
      <w:tr w14:paraId="7D730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746CE4D">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11</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0688F29D">
            <w:pPr>
              <w:keepNext w:val="0"/>
              <w:keepLines w:val="0"/>
              <w:widowControl/>
              <w:suppressLineNumbers w:val="0"/>
              <w:jc w:val="left"/>
              <w:rPr>
                <w:rFonts w:hint="eastAsia" w:ascii="Times New Roman" w:hAnsi="Times New Roman" w:eastAsia="微软雅黑" w:cs="微软雅黑"/>
                <w:i w:val="0"/>
                <w:iCs w:val="0"/>
                <w:caps w:val="0"/>
                <w:color w:val="000000"/>
                <w:spacing w:val="0"/>
                <w:sz w:val="16"/>
                <w:szCs w:val="16"/>
              </w:rPr>
            </w:pP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57A5CC0">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世界银行跨境贸易营商环境排名</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7AC49912">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预期性</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3F75D1FA">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51641857">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7</w:t>
            </w:r>
          </w:p>
        </w:tc>
        <w:tc>
          <w:tcPr>
            <w:tcW w:w="0" w:type="auto"/>
            <w:tcBorders>
              <w:top w:val="single" w:color="DDDDDD" w:sz="4" w:space="0"/>
              <w:left w:val="single" w:color="DDDDDD" w:sz="4" w:space="0"/>
              <w:bottom w:val="single" w:color="DDDDDD" w:sz="4" w:space="0"/>
              <w:right w:val="single" w:color="DDDDDD" w:sz="4" w:space="0"/>
            </w:tcBorders>
            <w:noWrap w:val="0"/>
            <w:tcMar>
              <w:top w:w="0" w:type="dxa"/>
              <w:left w:w="0" w:type="dxa"/>
              <w:bottom w:w="0" w:type="dxa"/>
              <w:right w:w="0" w:type="dxa"/>
            </w:tcMar>
            <w:vAlign w:val="top"/>
          </w:tcPr>
          <w:p w14:paraId="4FD4A1C3">
            <w:pPr>
              <w:keepNext w:val="0"/>
              <w:keepLines w:val="0"/>
              <w:widowControl/>
              <w:suppressLineNumbers w:val="0"/>
              <w:wordWrap w:val="0"/>
              <w:jc w:val="left"/>
              <w:rPr>
                <w:rFonts w:hint="eastAsia" w:ascii="Times New Roman" w:hAnsi="Times New Roman" w:eastAsia="微软雅黑" w:cs="微软雅黑"/>
                <w:i w:val="0"/>
                <w:iCs w:val="0"/>
                <w:caps w:val="0"/>
                <w:color w:val="000000"/>
                <w:spacing w:val="0"/>
                <w:sz w:val="16"/>
                <w:szCs w:val="16"/>
              </w:rPr>
            </w:pPr>
            <w:r>
              <w:rPr>
                <w:rFonts w:hint="eastAsia" w:ascii="Times New Roman" w:hAnsi="Times New Roman" w:eastAsia="微软雅黑" w:cs="微软雅黑"/>
                <w:i w:val="0"/>
                <w:iCs w:val="0"/>
                <w:caps w:val="0"/>
                <w:color w:val="000000"/>
                <w:spacing w:val="0"/>
                <w:kern w:val="0"/>
                <w:sz w:val="16"/>
                <w:szCs w:val="16"/>
                <w:lang w:val="en-US" w:eastAsia="zh-CN" w:bidi="ar"/>
              </w:rPr>
              <w:t>海运经济体前列</w:t>
            </w:r>
          </w:p>
        </w:tc>
      </w:tr>
    </w:tbl>
    <w:p w14:paraId="23A51F9B">
      <w:pPr>
        <w:pStyle w:val="9"/>
        <w:keepNext w:val="0"/>
        <w:keepLines w:val="0"/>
        <w:widowControl/>
        <w:suppressLineNumbers w:val="0"/>
        <w:spacing w:before="0" w:beforeAutospacing="0" w:after="250" w:afterAutospacing="0"/>
        <w:ind w:left="0" w:right="0" w:firstLine="0"/>
        <w:jc w:val="center"/>
        <w:rPr>
          <w:rFonts w:hint="eastAsia" w:ascii="Times New Roman" w:hAnsi="Times New Roman" w:eastAsia="方正仿宋简体" w:cs="方正仿宋简体"/>
          <w:sz w:val="32"/>
          <w:szCs w:val="32"/>
          <w:lang w:eastAsia="zh-CN"/>
        </w:rPr>
      </w:pPr>
      <w:r>
        <w:rPr>
          <w:rFonts w:hint="eastAsia" w:ascii="Times New Roman" w:hAnsi="Times New Roman" w:eastAsia="微软雅黑" w:cs="微软雅黑"/>
          <w:i w:val="0"/>
          <w:iCs w:val="0"/>
          <w:caps w:val="0"/>
          <w:color w:val="424242"/>
          <w:spacing w:val="0"/>
          <w:sz w:val="18"/>
          <w:szCs w:val="18"/>
        </w:rPr>
        <w:t> 注：部分数据受疫情影响，2020年基准值较2019年统计值有较大偏离,使用2019年统计数据作为基准值。</w:t>
      </w:r>
    </w:p>
    <w:p w14:paraId="14323CB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黑体简体" w:cs="方正黑体简体"/>
          <w:sz w:val="32"/>
          <w:szCs w:val="32"/>
        </w:rPr>
      </w:pPr>
      <w:r>
        <w:rPr>
          <w:rFonts w:hint="eastAsia" w:ascii="Times New Roman" w:hAnsi="Times New Roman" w:eastAsia="方正黑体简体" w:cs="方正黑体简体"/>
          <w:sz w:val="32"/>
          <w:szCs w:val="32"/>
        </w:rPr>
        <w:t>四、“十四五”主要任务</w:t>
      </w:r>
    </w:p>
    <w:p w14:paraId="027606D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（一）优化空间布局，发挥航运产业集聚辐射效应</w:t>
      </w:r>
    </w:p>
    <w:p w14:paraId="2ED4069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打造航运服务功能集聚区</w:t>
      </w:r>
    </w:p>
    <w:p w14:paraId="14283CE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充分发挥航运服务功能集聚区要素汇集和辐射带动作用。洋山-临港地区利用临港新片区制度优势，实施航运业更高水平对外开放，打造航运改革开放和科技创新高地，提升参与国际竞争的核心功能。外高桥地区重点发展港口物流和保税物流，形成现代航运物流示范区。陆家嘴-世博地区依托航运产业基础和中央商务区环境，重点发展航运高端服务、科技研发、平台经济，形成品牌优势。北外滩地区发挥航运总部经济优势，抓住新一轮开发机遇，吸引具有国际影响力的航运企业、国际组织和功能性机构，形成高端航运服务功能核心承载区。吴淞口两侧区域重点打造邮轮综合产业集群，建设世界一流邮轮母港和邮轮旅游目的地，打造具有全球影响力的邮轮经济中心。浦东机场地区打造世界级国际航空枢纽，依托临港新片区大飞机产业园和大飞机创新谷，建设民用航空产业基地。虹桥地区与上海商贸服务型国家物流枢纽协同布局，依托虹桥国际开放枢纽和国家级临空经济示范区，建设航空企业总部基地和高端临空服务业集聚区。</w:t>
      </w:r>
    </w:p>
    <w:p w14:paraId="4EB71E6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（二）引领长三角，推动港航更高质量一体化发展</w:t>
      </w:r>
    </w:p>
    <w:p w14:paraId="28EBF99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共建辐射全球的航运枢纽</w:t>
      </w:r>
    </w:p>
    <w:p w14:paraId="6DB01AB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强化长三角区域一体化战略背景下上海港核心和引领地位，开展新一轮上海港总体规划修编，研究推动罗泾等港区转型升级，探索上海港可持续发展空间。逐步释放洋山深水港四期自动化码头产能，高水准推进洋山深水港区北作业区和沈家湾作业区建设运营，推动小洋山南侧西部工作船码头转型。完善临港地区港口岸线布局，推进上海临港新城东港区公用码头二期工程，提高对临港新片区产业发展服务能力。支持市场主体以资本为纽带，形成以上海为中心、江浙为两翼、安徽等长江流域为腹地，与国内其它港口合理分工、紧密协作的国际航运枢纽港格局。推动实施小洋山北侧综合开发，推进长三角地区沿江、沿海多模式合作，加强长江沿线联运航线对接。加快构建长三角世界级港口群一体化治理体系，推动港政、航政、口岸管理协同，协同建立长三角水上大交管一体化工作机制，构建统一的长三角港航标准体系，提升长三角口岸通关一体化水平，加快与长三角共建辐射全球的航运枢纽。</w:t>
      </w:r>
    </w:p>
    <w:p w14:paraId="59CFE3C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打造高效畅达的集疏运体系</w:t>
      </w:r>
    </w:p>
    <w:p w14:paraId="6443544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强长江口航道综合治理，有效提升北槽深水航道通过能力，合力推进长江口辅助航道建设，增强长江口航道整体通过能力和安全保障水平。提高内河水运经济性、时效性、安全性，建设苏申内港线、油墩港航道整治工程。加强内河航道网络与海港主要港区衔接，推进大芦线东延伸等河海直达通道建设，开展黄浦江上游经临港新片区内河航段直达洋山港特定航线、长江至临港新片区沿岸江海直达特定航线开通可行性、配套管理措施及鼓励政策研究。推进内河公共港区建设管理模式创新，建设现代化、集约化内河示范港区，推动芦潮港内河港区投运。规划建设临港多式联运中心，加快布局内陆集装箱码头，实现上海港与水路、铁路、公路的高效衔接。推进沪通铁路二期项目，建设外高桥港区铁路专用线，研究推动南港码头铁路专用线建设。积极拓展海铁联运市场，建立和完善内陆地区对接上海港的海铁联运通道，提升信息互通共享水平。实施沿江通道西延伸、浦东段等建设项目，改善外高桥地区疏港条件。</w:t>
      </w:r>
    </w:p>
    <w:p w14:paraId="0EC6DA6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b/>
          <w:bCs/>
          <w:sz w:val="32"/>
          <w:szCs w:val="32"/>
        </w:rPr>
      </w:pPr>
      <w:r>
        <w:rPr>
          <w:rFonts w:hint="eastAsia" w:ascii="Times New Roman" w:hAnsi="Times New Roman" w:eastAsia="方正仿宋简体" w:cs="方正仿宋简体"/>
          <w:b/>
          <w:bCs/>
          <w:sz w:val="32"/>
          <w:szCs w:val="32"/>
        </w:rPr>
        <w:t>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建设智能完备的水上安全保障体系</w:t>
      </w:r>
    </w:p>
    <w:p w14:paraId="02B9264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统筹优化上海港水上交通安全监管和应急救助系统设施装备布局，建设智能水上交通管控网络和大数据应用平台。规划建设多网融合的海上通信网络，建设海上安全预警及应急反应中心。强化事故预防预控手段，完善水上交通安全风险管控体系。推动建立和完善长三角区域海事一体化融合发展机制，逐步推进区域通航安全规则衔接和船舶交通协同管理。推进水上搜寻救助地方立法。构筑现代化综合航海保障体系，推进水上导助航设施数字化、网联化、智能化。建设上海国际航运气象保障基地，提升水文和气象综合观测能力，完善长江口和洋山深水港区域大雾大风海洋气象监测站网，增强近海精准气象保障和信息发布能力，落实航运、航空等气象灾害防御重点单位管理制度。形成水上安全与公共卫生事件应急处置标准体系，加强国际疫情应对能力建设，完善国际合作机制。</w:t>
      </w:r>
    </w:p>
    <w:p w14:paraId="0AFD8F1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（三）凝聚发展合力，建设品质领先的世界级航空枢纽</w:t>
      </w:r>
    </w:p>
    <w:p w14:paraId="4E6E5C1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提高空港地面设施与集疏运保障能力</w:t>
      </w:r>
    </w:p>
    <w:p w14:paraId="79D5E5A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打造世界一流的航空枢纽，推进浦东机场四期扩建工程，新建T3航站楼，建设集成物流、分拣和监管功能的航空超级货站，完善飞行区滑行道、机务维修等综合配套功能。加快推动浦东机场第五跑道投用。发挥虹桥国际机场对虹桥国际开放枢纽的服务支撑作用，持续提升虹桥机场运行效率，建设人性化的精品枢纽机场。明确通用航空机场布局。合力推进跨区域的上海多机场体系建设，巩固提升上海航空枢纽核心地位，支持规划建设南通新机场，加强与长三角区域其它机场在功能定位、规划建设、运行管理、地面交通等方面的协同。完善机场综合交通配套，建设浦东综合交通枢纽和沪苏湖、沪乍杭等国铁干线，以及机场联络线、两港快线、嘉闵线及其北延伸、21号线、17号线西延伸等轨道交通设施，完善周边道路网络，研究在长三角地区建设虚拟航站楼，完善长途巴士等枢纽集散信息服务，提升上海机场辐射服务长三角的能力。</w:t>
      </w:r>
    </w:p>
    <w:p w14:paraId="7B90E83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建设品质一流的航空客运枢纽</w:t>
      </w:r>
    </w:p>
    <w:p w14:paraId="4A54A86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积极推进新冠肺炎疫情常态化防控下的航线航班恢复，贯彻落实动态调整的疫情防控措施和运输政策，支持航空公司通过航班时刻统筹利用、开发客运新产品等举措加大境内航线运力投入，推动境内航空市场恢复增长。在各国疫情有效控制前提下，提升航空枢纽航线网络覆盖面和通达性，积极服务国家“一带一路”倡议，拓展洲际航线网络、巩固亚洲国际航线网络、发展高品质国内航线网络，全面实施“通程联运”，推进国际、国内两网深度融合，提升中转和空地联运服务水平，满足区域大众化、多元化市场需求。支持主基地航空公司打造世界级洲际转运中心，鼓励基地航空公司加强在沪运力投入、拓展国际市场，支持航空联盟成员进行枢纽运作。打造枢纽机场服务品牌，建设高体验感全流程自助服务候机楼，实施室内外精准导航服务，优化旅客进出港查验流程、安检安防系统和口岸监管系统，加强空港枢纽与城市交通、旅游等外部服务和管理信息平台对接。</w:t>
      </w:r>
    </w:p>
    <w:p w14:paraId="0960D062">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7</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打造全球领先的航空货运枢纽</w:t>
      </w:r>
    </w:p>
    <w:p w14:paraId="03F3D23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提高全货机网络通达性，支持国内外货运航空公司打造全货机航线，强化与国际货运枢纽的连接。提高国际客运航班腹舱载货率，增强航空物流连通性和辐射服务能力。发挥国内客运航线网络优势，拓展长三角区域异地货站、卡车航班等业务，提高国内货物集散功能。鼓励航空公司开发货运中转产品，集聚中转航班，吸引中转货源。积极争取货物通关便利政策，促进监管模式创新，大力发展浦东机场货物中转集拼业务。促进航空快递物流业发展，打造集约高效的国际航空快件处理中心。鼓励产业链企业协同合作，推动现代贸易、现代物流、智慧仓储、冷链加工及金融服务等功能叠加，促进空港物流多元化发展。建设航空货运信息综合服务公共平台，推进货运信息集成，全面推广电子运单，提升货运管理智能化水平。</w:t>
      </w:r>
    </w:p>
    <w:p w14:paraId="0558C70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8</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强化航空枢纽运行管理和资源保障</w:t>
      </w:r>
    </w:p>
    <w:p w14:paraId="1188417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优化调整上海地区空域结构和空中航路网络规划，提高上海地区空域精细化管理水平。积极争取增加上海两场航班时刻资源供给，提升资源管理能力和利用效率，巩固提升航班正常率水平。推动在浦东国际机场扩大与相关国家和地区的航权安排。支持建设华东空管局生产运行中心工程、上海终端管制中心二期工程，构建一体化空中交通管理保障体系，满足上海航空枢纽运行增效、长三角机场协同运行需求。建设智慧空中管理示范区，有效对接北斗系统应用等战略要求。支持增强航空口岸一线执法力量，适应航空枢纽业务增长需求。提升航空煤油储运设施能力，强化军民用航空运输的航油配套保障。</w:t>
      </w:r>
    </w:p>
    <w:p w14:paraId="62E9DE5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（四）打响服务品牌，强化全球航运资源配置能力</w:t>
      </w:r>
    </w:p>
    <w:p w14:paraId="2BAAEA9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b/>
          <w:bCs/>
          <w:sz w:val="32"/>
          <w:szCs w:val="32"/>
        </w:rPr>
      </w:pPr>
      <w:r>
        <w:rPr>
          <w:rFonts w:hint="eastAsia" w:ascii="Times New Roman" w:hAnsi="Times New Roman" w:eastAsia="方正仿宋简体" w:cs="方正仿宋简体"/>
          <w:b/>
          <w:bCs/>
          <w:sz w:val="32"/>
          <w:szCs w:val="32"/>
        </w:rPr>
        <w:t>9</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完善港口综合服务</w:t>
      </w:r>
    </w:p>
    <w:p w14:paraId="3F80D24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建立国际航运综合服务体系，拓展临港、临空服务产业链，提升船舶和航空器维修、物资供应配送、货物集拼中转、废弃物接收等综合服务能力。加强沪浙船用保税油跨市场协作，推动实施保税燃料油跨港区供应模式，开展船用燃料油安全性研究，建设公正独立的国际船用燃料油检测和分析中心。优化口岸监管流程，建立飞机船舶备件、邮轮食品等物资供应的便捷通道。落实船员服务便捷工程，完善船员公共服务平台，提供公益性职业信息、法律援助等服务。推进海员服务中心等船员服务设施建设，上海国家级船员考试评估中心建成投运。推进长三角区域航道、锚地共建共享。</w:t>
      </w:r>
    </w:p>
    <w:p w14:paraId="6AECE54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10</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拓展航运信息服务</w:t>
      </w:r>
    </w:p>
    <w:p w14:paraId="7A9E24C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依托上海电子口岸，推动口岸、物流、交易、金融等数据集成，提升口岸大数据智能物流服务。深入建设亚太示范电子口岸网络，推动国际口岸数据互联互通，打造国际物流信息交换枢纽。支持建设航运物流大数据联合创新实验室、中国航运数据库等航运数据公共平台以及全球航运智库联盟，提高航运信息资讯服务权威性，提高航运知识和智力服务的辐射力。支持上海航运交易所进一步提升“上海航运指数”品牌影响力，创新现货订舱、二手船舶等交易业务，探索搭建国际集装箱运输交易平台，集聚航运交易信息资源。完善航海保障数据生产与加工、信息产品制作与发布综合服务体系，实现国际航海保障空间信息重点水域全覆盖。建设全球海域航海图书序列编制和发行服务体系。</w:t>
      </w:r>
    </w:p>
    <w:p w14:paraId="40A1EDB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创新航运金融服务</w:t>
      </w:r>
    </w:p>
    <w:p w14:paraId="774A6F2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支持金融机构参照国际通行规则为航运企业提供高效便利的金融服务。推动跨境人民币结算便利化，引导和鼓励航运企业国际海运费使用人民币计价结算。大力发展船舶融资租赁，积极支持符合条件的融资租赁公司设立专业子公司和特殊项目公司开展船舶租赁业务。推动上海自由贸易试验区国际船舶管理服务创新试点，支持金融机构依托自由贸易账户为航运服务企业提供跨境资金收付便利，吸引航运类跨国公司设立全球或区域资金管理中心，推动形成离岸航运业务集聚高地。支持航运行业相关企业通过上市、挂牌、并购重组、发行债券等方式对接多层次资本市场融资发展。完善航运保险市场体系，建立具有吸引力和竞争力的国际航运保险、再保险业务支持政策体系。支持上海保险交易所优化国际航运保险交易服务场景，加快形成具有一定规模和国际影响力的航运保险交易市场。引导本土航运保险服务机构与境外保险公司开展合作，拓展航运保险全球服务网络。支持航运金融领域区块链等新技术探索，安全稳妥地推进上海航运保险企业搭建或加入航运保险区块链平台。支持上海航运交易所、上海期货交易所等航运和金融专业机构共同发展航运金融衍生品业务，促进上市产品功能发挥，有序丰富产品序列，构建航运衍生品交易、结算和信息平台。</w:t>
      </w:r>
    </w:p>
    <w:p w14:paraId="6A4EE96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提升海事法律服务</w:t>
      </w:r>
    </w:p>
    <w:p w14:paraId="017DFD3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建设具有较高国际影响力的国际海事司法中心，强化国际海事纠纷解决中心核心功能，完善国际海事司法高端智库、国际海事司法交流平台辅助功能。打造海事审判精品工程。推进长三角区域海事司法服务一体化发展。建设亚太海事仲裁中心，引导鼓励市场主体选择上海作为首选仲裁地。依托临港新片区政策优势，加快集聚境内外知名海事仲裁及争议解决机构，完善“诉讼、调解、仲裁”一站式纠纷解决功能。支持开展“一带一路”沿线国际商事仲裁业务，鼓励与沿线相关国家合作建立联合仲裁机制。推进海事法律与仲裁服务信息化、智慧化发展，建立外国法数据库，实现证据电子化传递与认证、远程立案、开庭与调解，深入挖掘海量数据并应用于海事司法工作，支持开展网络仲裁服务。</w:t>
      </w:r>
    </w:p>
    <w:p w14:paraId="16F2C40D">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13</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发展现代航空服务</w:t>
      </w:r>
    </w:p>
    <w:p w14:paraId="79DB9A9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高标准建设临港新片区浦东机场南侧区域，推进临港新片区大飞机产业园和大飞机创新谷建设，推动总装交付、关键配套、生产支持、运营维护、科技研发等产业发展，建设具有全球影响力的大飞机制造业创新中心。深化虹桥临空经济示范区建设，加快推进虹桥商务区东片区开发，发展现代航空服务，吸引航空产业链上下游企业和航空功能性机构集聚。鼓励发展飞机整机、航空发动机等融资租赁业务，以及航材维修、航空培训、航空会展、航空保险、航空咨询等高附加值业务，探索建设航材、航油、航班时刻等要素类航空交易市场，将临空地区打造为航空总部集中、航空要素集聚、航空产业集群发展的复合平台。</w:t>
      </w:r>
    </w:p>
    <w:p w14:paraId="3744B4F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14</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丰富航运文化服务</w:t>
      </w:r>
    </w:p>
    <w:p w14:paraId="4549064F">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打响“北外滩国际航运论坛”品牌，打造国际航运领域重大问题交流平台、重大航运政策发布平台。继续支持举办“中国国际海事会展”“海贸（Seatrade）国际海事颁奖典礼”“中国航海日”“亚洲公务航空大会及展览会”等活动，形成多层次、多领域的航运会展品牌。促进航运与文化、休闲、旅游业融合，加强航运文化国内外交流与合作。提高中国航海博物馆等航运文化场馆陈列展览、文物典藏、学术研究、社会教育、公众服务、人才培养等整体水平。深入挖掘航运文化遗产内涵和时代特色，建设航海文化基地，推动航运数字文创产业发展。创建人性化的枢纽机场服务品牌，创造城市航空门户魅力文化空间，打造人文机场建设典范。</w:t>
      </w:r>
    </w:p>
    <w:p w14:paraId="3A1D215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（五）优化产业布局，高水平建设邮轮经济中心</w:t>
      </w:r>
    </w:p>
    <w:p w14:paraId="68E029F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15</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建设国际一流邮轮港</w:t>
      </w:r>
    </w:p>
    <w:p w14:paraId="62E5BAD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统筹吴淞口国际邮轮港、上海港国际客运中心、外高桥邮轮备用码头功能布局，加快建设中国邮轮旅游发展示范区。严格落实新冠肺炎疫情常态化防控措施，积极争取邮轮无目的地海上游航线试点，为邮轮分区域逐步恢复运营创造条件、积累经验。丰富邮轮旅游产品供给，在疫情可控前提下加强与境外港口合作，鼓励开发多点挂靠邮轮航线，吸引国际访问港邮轮挂靠。对标国际一流邮轮港口，全面提升服务管理水平，建立健全适合邮轮靠泊通行和邮轮旅客通关出行的管理体系。深化邮轮船票制度试点，搭建邮轮公共信息服务平台，形成可向全国复制推广的经验。完善吴淞口国际邮轮港周边交通基础设施，实现邮轮港与轨道交通、机场、铁路等公共交通之间的便捷连接。健全邮轮应急管理体系，形成邮轮公共安全、卫生事件应对策略和标准体系，推动上海标准成为全国标准、亚洲标准。充分发挥上海邮轮母港的引领作用，探索区域邮轮组合母港建设，推动建立长三角邮轮旅游服务联盟。</w:t>
      </w:r>
    </w:p>
    <w:p w14:paraId="0CE1C41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16</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布局邮轮经济产业链</w:t>
      </w:r>
    </w:p>
    <w:p w14:paraId="7690065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积极拓展邮轮产业链，以邮轮自主设计建造和本土邮轮船队发展为突破重点，支持宝山国际邮轮产业园、外高桥造船基地等打造邮轮配套产业平台，培育本土邮轮修造产业集群。建设邮轮船供物资分拨中心，推动实现国际货柜转运常态化，发展邮轮船供“全球采购、集中配送”模式，支持本地企业积极有序参与邮轮船供，吸引邮轮公司在上海建立国际邮轮物资配送中心。支持搭建全国性邮轮网上商业展示交易平台，打造邮轮跨境购物平台，加快引导境外消费向境内消费转变。打造邮轮企业总部基地，研究引进邮轮企业总部的便利化政策及激励措施，吸引更多全球邮轮企业地区总部和全球运营中心落户。</w:t>
      </w:r>
    </w:p>
    <w:p w14:paraId="1991BBE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（六）挖掘科技动能，促进航运中心可持续发展</w:t>
      </w:r>
    </w:p>
    <w:p w14:paraId="3DD26C1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17</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强化科技引领作用</w:t>
      </w:r>
    </w:p>
    <w:p w14:paraId="2E4B9FC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提升智能港口技术与系统集成能力，推广自动化码头技术应用，推动新型港内智能转运车辆（AIV）研发测试，打造智慧港口示范运营标杆。实施洋山港智能集卡商业化示范项目，应用5G和物联网技术实现港口集疏运设施重大关键技术突破，开展基于车路协同的自动驾驶技术、货运通道智能化设施等标准规范制定。推动区块链技术在航运领域的场景应用和标准制定，支持航运区块链联盟组织发展。深化集装箱江海联运公共信息平台建设，利用区块链技术加强沿江港航物流信息对接和业务协同。推进长江口航道数字化建设，探索内河高等级航道管理数字化转型。鼓励航运企业和科技研发、检验服务机构打造产学研用深度融合的航运技术联合创新平台，强化新型载运工具的自主设计建造能力，积极参与国际海上自主水面船舶（MASS）研究。</w:t>
      </w:r>
    </w:p>
    <w:p w14:paraId="5F35276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b/>
          <w:bCs/>
          <w:sz w:val="32"/>
          <w:szCs w:val="32"/>
        </w:rPr>
      </w:pPr>
      <w:r>
        <w:rPr>
          <w:rFonts w:hint="eastAsia" w:ascii="Times New Roman" w:hAnsi="Times New Roman" w:eastAsia="方正仿宋简体" w:cs="方正仿宋简体"/>
          <w:b/>
          <w:bCs/>
          <w:sz w:val="32"/>
          <w:szCs w:val="32"/>
        </w:rPr>
        <w:t>18</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提升港航绿色发展水平</w:t>
      </w:r>
    </w:p>
    <w:p w14:paraId="5CD7D43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严格执行长三角船舶排放控制区管控措施，加强船舶使用燃油情况监管。加快海港专业化泊位和内河码头岸电设施建设，推进船舶受电设施改造，提高岸电设施覆盖率和使用率。有序推进黄浦江轮渡、游览船和公务船使用新能源和清洁能源，鼓励老旧内河船舶淘汰更新。推进船舶液化天然气（LNG）动力能源加注设施设备建设。支持开展船舶清洁动力集成、船舶大气污染物排放治理及智能监测核心技术研发。加强港航污染物防治，推动船舶和港口环保设施改造，加强船舶污染物接收转运处置设施衔接。优化船舶污染物全流程监管机制，加强监视监测，提升上海港船舶污染防治应急能力。</w:t>
      </w:r>
    </w:p>
    <w:p w14:paraId="066024A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19</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建设平安绿色智慧机场</w:t>
      </w:r>
    </w:p>
    <w:p w14:paraId="0BE62CD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建设业内领先的平安机场，打造全感知、可视化、主动防御的空港安全体系，建设航空器高级场面引导系统（A-SMGCS），扎实做好新冠肺炎疫情常态化防控，强化航空枢纽建设、运行全过程安全管理。建设可持续发展的绿色机场，统筹机场污染防治设施规划建设，提高地面辅助电源、桥载电源使用率，推进机场地区充电桩建设，推动机场内新增及更新的特种设备、非道路作业车辆、场内客货车等加快实施清洁能源替代。促进机场智慧化发展，构建数字化协同治理体系、网络安全与标准体系，推动运行信息和决策流程在民航运行单位的互联互通，打造时空大数据平台、运行大数据平台和以人工智能、数据中心为载体的“机场大脑”。</w:t>
      </w:r>
    </w:p>
    <w:p w14:paraId="24F581C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（七）优化治理体系，全方位提升航运发展软实力</w:t>
      </w:r>
    </w:p>
    <w:p w14:paraId="762D8FD2">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20</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完善航运发展环境</w:t>
      </w:r>
    </w:p>
    <w:p w14:paraId="0D4EED8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快智慧口岸建设，完善口岸数字化基础设施，打造口岸全程运营服务平台，推进跨部门、跨系统、跨区域的数据共享和功能对接。深化国际贸易“单一窗口”建设，拓展地方特色功能应用，搭建“第三方应用市场”，吸引航运、贸易、供应链、金融、保险等要素集聚；汇集“口岸通关、港航物流”全程业务办理功能，为企业报关、查验、缴费、物流安排等提供一站式便利。构建口岸综合治理体系，建立基于企业综合信用维度的风险管控模式，探索以信用为基础的新型监管机制。通过市场引导、价格监督检查和行业自律等方式，进一步规范口岸收费，加强收费公开和便捷查询，推动口岸物流各环节收费结构优化。</w:t>
      </w:r>
    </w:p>
    <w:p w14:paraId="6BCDF51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21</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深化航运制度创新</w:t>
      </w:r>
    </w:p>
    <w:p w14:paraId="6AFD8AA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深化上海自由贸易试验区建设，依托临港新片区改革创新平台并探索政策外延，深化航运领域对外开放，探索与国际接轨的航运发展制度和运作模式，营造稳定、公平、透明的发展环境。充分发挥洋山特殊综合保税区政策创新优势，对标国际公认、竞争力最强自由贸易园区，取消不必要的贸易监管、许可和程序要求，实施更高水平的国际贸易自由化、便利化政策和制度。探索在对等原则下允许外籍国际航行船舶开展以洋山港为国际中转港的外贸集装箱沿海捎带业务，优化监管流程，提升上海港中转吸引力。优化启运港退税政策，提升政策实施效果。完善并实施国际船舶登记制度，简化登记条件，优化登记流程，加强税收和金融政策支撑，推动船舶要素集聚。推进自由贸易试验区船舶法定检验对外开放。</w:t>
      </w:r>
    </w:p>
    <w:p w14:paraId="4BC983E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b/>
          <w:bCs/>
          <w:sz w:val="32"/>
          <w:szCs w:val="32"/>
        </w:rPr>
        <w:t>22</w:t>
      </w:r>
      <w:r>
        <w:rPr>
          <w:rFonts w:hint="eastAsia" w:ascii="Times New Roman" w:hAnsi="Times New Roman" w:eastAsia="方正仿宋简体" w:cs="方正仿宋简体"/>
          <w:b/>
          <w:bCs/>
          <w:sz w:val="32"/>
          <w:szCs w:val="32"/>
          <w:lang w:eastAsia="zh-CN"/>
        </w:rPr>
        <w:t>、</w:t>
      </w:r>
      <w:r>
        <w:rPr>
          <w:rFonts w:hint="eastAsia" w:ascii="Times New Roman" w:hAnsi="Times New Roman" w:eastAsia="方正仿宋简体" w:cs="方正仿宋简体"/>
          <w:b/>
          <w:bCs/>
          <w:sz w:val="32"/>
          <w:szCs w:val="32"/>
        </w:rPr>
        <w:t>参与国际海事治理</w:t>
      </w:r>
    </w:p>
    <w:p w14:paraId="6EE25AB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提升国际合作深度与广度，吸引和培育国际性、国家级航运专业组织和功能性机构，丰富上海国际航运中心参与国际海事治理的平台渠道。服务和保障国际航运组织和机构在沪发展，促进亚洲海事技术合作中心（MTCC-Asia）等国际组织功能建设和能级提升。支持和鼓励航运服务龙头企业“走出去”，积极参与“一带一路”沿线国际航运市场合作。积极参与国际海事技术规则和标准的制定修订，提升在航运装备、技术、标准等领域服务全球的综合能力。</w:t>
      </w:r>
    </w:p>
    <w:p w14:paraId="44B4FB0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黑体简体" w:cs="方正黑体简体"/>
          <w:sz w:val="32"/>
          <w:szCs w:val="32"/>
        </w:rPr>
        <w:t>五、保障措施</w:t>
      </w:r>
    </w:p>
    <w:p w14:paraId="3CAE8CE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（一）加强统筹协调</w:t>
      </w:r>
    </w:p>
    <w:p w14:paraId="4F5CEDC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深化国家部委与上海市共同促进上海国际航运中心建设的部市合作机制，支持上海组合港管理委员会及其办公室更好发挥作用。充分发挥上海市推进上海国际航运中心建设领导小组作用，加强顶层设计、强化统筹协调、完善体制机制、重视品牌推广，实现航运与贸易、科创、金融的联动发展。</w:t>
      </w:r>
    </w:p>
    <w:p w14:paraId="518ED28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（二）强化区域联动</w:t>
      </w:r>
    </w:p>
    <w:p w14:paraId="5E17CA31">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围绕长三角区域一体化发展战略要求，从市场机制构建、监管体系整合、信息互通共享、政策标准制定等角度，推动构建区域港航一体化治理体系，强化区域机场分工协作，提升长三角世界级港口群、机场群国际竞争力。加强航运服务功能集聚区与临港新片区、虹桥国际开放枢纽等重点区域联动，形成协同发展的良好局面。</w:t>
      </w:r>
    </w:p>
    <w:p w14:paraId="06FC76F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（三）加强政策支持</w:t>
      </w:r>
    </w:p>
    <w:p w14:paraId="1CB01E4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充分发挥财政资金引导作用，促进运输结构优化和物流效率提升，鼓励航运服务功能、模式和科技创新，支撑航空枢纽业务拓展和保障能力提升。协同国家部委开展临港新片区有关重点产业的税收政策研究，争取航运相关产业和业务参与改革试点，提升对航运类跨国公司总部、功能性机构和离岸业务的吸引力。</w:t>
      </w:r>
    </w:p>
    <w:p w14:paraId="59FB3B4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（四）完善人才保障</w:t>
      </w:r>
    </w:p>
    <w:p w14:paraId="04D690A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支持高校提升航运相关学科专业水平，加强复合型、创新型人才培养。完善航运技能人才培训体系，支持企业、产业园区及其它功能性机构建设高技能人才培养基地。完善梯度化人才政策体系，加强人才激励，持续做好航运人才落户及相关配套服务保障。在高层次航运人才出入境等方面，探索实施更加开放便利的签证和停居留政策。</w:t>
      </w:r>
    </w:p>
    <w:p w14:paraId="14BEA3D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（五）强化法制保障</w:t>
      </w:r>
    </w:p>
    <w:p w14:paraId="32BF177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强对上海国际航运中心发展的法制保障，健全促进航运业创新发展的法规政策体系，支持航运服务功能创新，促进航运科技产业规模化发展。探索航运领域司法服务保障措施创新，营造法治化、便利化、国际化的航运发展营商环境。</w:t>
      </w:r>
    </w:p>
    <w:p w14:paraId="37FE1E0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（六）加强国际交流</w:t>
      </w:r>
    </w:p>
    <w:p w14:paraId="7349C42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充分重视“上海航运”服务品牌的整体策划和宣传推介，通过搭建高层级、国际化的航运交流平台，积极主动参与国际交流合作，助力上海航运服务企业、机构走向国际市场，构建面向全球的服务网络，拓展辐射服务范围，提升国际化水平和服务能级。</w:t>
      </w:r>
    </w:p>
    <w:p w14:paraId="23C05E1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楷体简体" w:cs="方正楷体简体"/>
          <w:b/>
          <w:bCs/>
          <w:sz w:val="32"/>
          <w:szCs w:val="32"/>
        </w:rPr>
        <w:t>（七）形成评估机制</w:t>
      </w:r>
    </w:p>
    <w:p w14:paraId="3401841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Times New Roman" w:hAnsi="Times New Roman" w:eastAsia="方正仿宋简体" w:cs="方正仿宋简体"/>
          <w:sz w:val="32"/>
          <w:szCs w:val="32"/>
        </w:rPr>
      </w:pPr>
      <w:r>
        <w:rPr>
          <w:rFonts w:hint="eastAsia" w:ascii="Times New Roman" w:hAnsi="Times New Roman" w:eastAsia="方正仿宋简体" w:cs="方正仿宋简体"/>
          <w:sz w:val="32"/>
          <w:szCs w:val="32"/>
        </w:rPr>
        <w:t>加强监测评估能力建设，完善日常统计制度和体系，常态化实施上海国际航运中心建设各相关领域的统计分析工作。建立和完善定期评估机制，综合运用自我评估、第三方评估和社会监督评价等方式，对上海国际航运中心建设指标完成情况、任务落实进展、政策实施效果等开展跟踪测评。</w:t>
      </w:r>
    </w:p>
    <w:p w14:paraId="4E6F9BE9">
      <w:pPr>
        <w:snapToGrid w:val="0"/>
        <w:spacing w:line="570" w:lineRule="exact"/>
        <w:ind w:firstLine="640" w:firstLineChars="200"/>
        <w:jc w:val="left"/>
        <w:rPr>
          <w:rFonts w:hint="eastAsia" w:ascii="方正仿宋简体" w:hAnsi="方正仿宋简体" w:eastAsia="方正仿宋简体" w:cs="方正仿宋简体"/>
          <w:sz w:val="32"/>
          <w:szCs w:val="32"/>
        </w:rPr>
      </w:pPr>
    </w:p>
    <w:p w14:paraId="3628FEC8">
      <w:pPr>
        <w:snapToGrid w:val="0"/>
        <w:spacing w:line="570" w:lineRule="exact"/>
        <w:ind w:firstLine="640" w:firstLineChars="200"/>
        <w:jc w:val="left"/>
        <w:rPr>
          <w:rFonts w:hint="eastAsia" w:ascii="方正仿宋简体" w:hAnsi="方正仿宋简体" w:eastAsia="方正仿宋简体" w:cs="方正仿宋简体"/>
          <w:sz w:val="32"/>
          <w:szCs w:val="32"/>
        </w:rPr>
      </w:pPr>
    </w:p>
    <w:p w14:paraId="248696A7">
      <w:pPr>
        <w:snapToGrid w:val="0"/>
        <w:spacing w:line="57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天津市以制造业为重点促进外资扩增量稳存量提质量的具体举措</w:t>
      </w:r>
    </w:p>
    <w:p w14:paraId="4F7FD9BB">
      <w:pPr>
        <w:snapToGrid w:val="0"/>
        <w:spacing w:line="570" w:lineRule="exact"/>
        <w:jc w:val="center"/>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市发展改革委  市商务局  市工业和信息化局</w:t>
      </w:r>
    </w:p>
    <w:p w14:paraId="1E62F190">
      <w:pPr>
        <w:snapToGrid w:val="0"/>
        <w:spacing w:line="570" w:lineRule="exact"/>
        <w:jc w:val="center"/>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市规划资源局  市生态环境局  市交通运输委</w:t>
      </w:r>
    </w:p>
    <w:p w14:paraId="0BA5A28A">
      <w:pPr>
        <w:snapToGrid w:val="0"/>
        <w:spacing w:line="570" w:lineRule="exact"/>
        <w:jc w:val="center"/>
        <w:rPr>
          <w:rFonts w:hint="eastAsia" w:ascii="方正楷体简体" w:hAnsi="方正楷体简体" w:eastAsia="方正楷体简体" w:cs="方正楷体简体"/>
          <w:sz w:val="32"/>
          <w:szCs w:val="32"/>
        </w:rPr>
      </w:pPr>
    </w:p>
    <w:p w14:paraId="2D03C30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为贯彻落实国家发展改革委等六部委联合印发的《关于以制造业为重点促进外资扩增量稳存量提质量的若干政策措施》，更好发挥外商投资对制造业立市的促进作用，现制定如下具体举措。</w:t>
      </w:r>
    </w:p>
    <w:p w14:paraId="37ED397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一、优化投资环境，扩大外商投资流入</w:t>
      </w:r>
    </w:p>
    <w:p w14:paraId="2E22D9E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（一）落实外资准入负面清单，拓宽利用外资领域</w:t>
      </w:r>
    </w:p>
    <w:p w14:paraId="31D332E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以2021年版外商投资准入负面清单进一步有序放宽外商投资领域和股比限制为契机，推动乘用车整车制造等放宽领域招商引资，做好对从事外资准入负面清单禁止投资领域业务的境内企业到境外发行股份并上市交易的相关管理和服务，抓住政策放宽的窗口期，将放宽政策转化为实实在在的落地项目。（牵头责任单位：市商务局、市发展改革委）外国投资者或外商投资企业在负面清单以外的领域投资的，按照内外资一致原则进行登记。行业主管部门在登记前已经依法核准相关涉企经营许可事项的，登记机关无需就是否符合负面清单规定条件进行重复审查。深度清理负面清单之外的限制性措施。（牵头责任单位：市商务局、市发展改革委、市市场监管委）</w:t>
      </w:r>
    </w:p>
    <w:p w14:paraId="4FED610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（二）高标准落实准入后国民待遇，保护外资合法权益</w:t>
      </w:r>
    </w:p>
    <w:p w14:paraId="09DF72E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保障外商投资企业依法依规平等享受各类支持政策和平等待遇。各区要保持政策连续性稳定性，严格兑现向外国投资者和外商投资企业依法作出的政策承诺，认真履行在招商引资等活动中依法签订的各类合同。（牵头责任单位：各区人民政府）做好外商投资项目管理和服务，在企业办理行政许可时，同步推送鼓励类外资项目免税确认和财政贴息政策包，提高企业享受政策的便利化程度。（牵头责任单位：市发展改革委）在安全监管、市场监管、税务稽查等领域依法实施包容审慎监管和柔性执法，加大日常告知和指导培训。（牵头责任单位：市应急局、市市场监管委、天津市税务局）高效运行外商投资权益保护联席会议机制和外商投资投诉工作机制，依法依规保护外商投资合法权益。（牵头责任单位：市商务局）</w:t>
      </w:r>
    </w:p>
    <w:p w14:paraId="51DC68D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（三）强化重点项目调度服务，加快项目签约落地投达产</w:t>
      </w:r>
    </w:p>
    <w:p w14:paraId="32A9B9E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定期进行调度推动和点评分析。建立“三个一批”重点外资项目清单，对在谈、落地和投产项目进行分类调度推进，明确责任单位和责任人，实行项目全周期服务管理。筛选当年能够形成投资的制造业领域标志性重大外资项目，加快推动落地，充分发挥支撑全市利用外资的压舱石作用。高效运行我市重点外资项目工作专班和服务外资企业工作专班，加强与国家重大和重点外资项目工作专班机制衔接，按需报请国家层面进行窗口指导或协调解决规划、审批、用地用海、环评等问题，推动项目尽快落地、早日开工。（牵头责任单位：市商务局、市发展改革委、市工业和信息化局、市贸促会）</w:t>
      </w:r>
    </w:p>
    <w:p w14:paraId="1F9B395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（四）提高土地要素供给便利化，高效保障项目用地</w:t>
      </w:r>
    </w:p>
    <w:p w14:paraId="23964CC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制定工业项目土地要素供给菜单，为外商投资企业提供更加公开、透明、便捷的用地选择。对用地集约且经认定为国家鼓励类的外商投资项目用地应保尽保。对已签订投资协议但未落地的外资重点项目，支持意向用地企业提前开展规划策划等工作，推进用地指标等保障政策落实。（牵头责任单位：市规划资源局、市商务局、市发展改革委、市工业和信息化局，各区人民政府</w:t>
      </w:r>
      <w:r>
        <w:rPr>
          <w:rFonts w:hint="eastAsia" w:ascii="方正仿宋简体" w:hAnsi="方正仿宋简体" w:eastAsia="方正仿宋简体" w:cs="方正仿宋简体"/>
          <w:sz w:val="32"/>
          <w:szCs w:val="32"/>
          <w:lang w:eastAsia="zh-CN"/>
        </w:rPr>
        <w:t>）</w:t>
      </w:r>
    </w:p>
    <w:p w14:paraId="40778D1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（五）开展国际产业投资合作活动，丰富投资促进机制</w:t>
      </w:r>
    </w:p>
    <w:p w14:paraId="6D9261D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织实施好世界智能大会、世界经济论坛、天津意大利中小企业经贸投资对接会等对外交流大型活动，定期举办外商投资企业政企对接会、跨国公司圆桌会，加强与外商投资企业深度对接、精准沟通。充分发挥国际友城、新津理事会、中欧区域政策合作机制作用，完善与重点国别地区在津商协会定期沟通联络机制，开展更加深入的务实交流合作。（牵头责任单位：市商务局、市工业和信息化局、市发展改革委、市外办）</w:t>
      </w:r>
    </w:p>
    <w:p w14:paraId="0C35F4C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（六）利用国际投资公共服务平台，开展精准招商推介</w:t>
      </w:r>
    </w:p>
    <w:p w14:paraId="25B0774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团参加中国国际投资贸易洽谈会、中国国际服务贸易交易会、中国国际进口博览会等国家层面经贸交流活动和相关国际会展，积极筹办国际航运产业博览会等本地各类会展，强化展会投资促进服务功能。聚焦港口、航运等重点领域，智能科技、生物医药、新能源、新材料、装备制造、汽车、石油化工、航空航天等重点产业，加大跨国公司邀请力度，借助展会开展精准招商推介。（牵头责任单位：市商务局、市交通运输委、市工业和信息化局）</w:t>
      </w:r>
    </w:p>
    <w:p w14:paraId="038A7E6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（七）健全招商工作机制，推进外资招商提质增效</w:t>
      </w:r>
    </w:p>
    <w:p w14:paraId="2BE1782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完善外资招商引资考核评价制度体系，突出引资规模、质量、效益导向，确保招商项目尽快转化为产值、社零额、税收、外贸、就业增量指标。完善市场化薪酬和考核机制，打造外资专业招商团队。支持各区加大对社会化招商激励，对成功引荐境外世界500强企业或有一定固定资产投资额和综合经济贡献投资项目落地的机构或个人给予奖励。搭建外商投资企业与我市重点产业链对接平台，推动本地化采购，不断提高本地配套率，将积极协调解决制造业外商投资主体的配套、市场、融资、用工等问题作为招商引资的重要抓手。建立我市促进跨区合作招商的利益共享机制，推动各区加强资源共享、协调联动，对共享优质招商信息、提供对接服务并促成外资项目落地的区，给予一定利益分享，形成招商引资“一盘棋”的良好格局。（牵头责任单位：市商务局、市财政局、市工业和信息化局，各区人民政府）</w:t>
      </w:r>
    </w:p>
    <w:p w14:paraId="15D056C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黑体简体" w:hAnsi="方正黑体简体" w:eastAsia="方正黑体简体" w:cs="方正黑体简体"/>
          <w:sz w:val="32"/>
          <w:szCs w:val="32"/>
        </w:rPr>
        <w:t>二、加强投资服务，支持外商投资企业发展</w:t>
      </w:r>
    </w:p>
    <w:p w14:paraId="271ECFC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（八）便利国际商务人员往来，提高投资贸易对接成效</w:t>
      </w:r>
    </w:p>
    <w:p w14:paraId="4370A87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及时贯彻落实国家疫情防控最新政策，进一步做好境外重点商务人员及家属的便利化往来，提供相应签证便利。支持商会为会员企业提供外事审批、签证服务、组团参展、航班安排等方面的组织协调服务。（牵头责任单位：市商务局、市外办、市公安局、市交通运输委）</w:t>
      </w:r>
    </w:p>
    <w:p w14:paraId="2639557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（九）加强货运物流保通保畅，稳定企业生产经营</w:t>
      </w:r>
    </w:p>
    <w:p w14:paraId="18C49CDF">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优化天津港航线网络布局，加强港口集疏运体系建设，进一步提升港航服务能级，保障口岸货运尽快恢复至疫情前水平。加强应急运力储备，保持热备状态，确保紧急情况下重点物资运输平稳有序。加强高速公路路网运行监测，及时疏解拥堵问题，确保路网畅通。（牵头责任单位：市交通运输委）落实重点产业链供应链工业企业“白名单”制度，进一步强化制造业外商投资企业服务保障，提高服务企业员工返岗、产品运输、供应链畅通的效率和水平，切实稳定企业生产经营。（牵头责任单位：市工业和信息化局、市商务局、市发展改革委）</w:t>
      </w:r>
    </w:p>
    <w:p w14:paraId="7536378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（十）开展多元化金融支持，强化融资服务</w:t>
      </w:r>
    </w:p>
    <w:p w14:paraId="5D1375D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支持符合条件的外商投资企业在境内挂牌上市。支持利用债券市场拓展直接融资渠道，引导有承销资质的金融机构服务相关外商投资企业发债融资。组织申报期限长、利率低、附加值高的国际组织和外国政府优惠贷款资金。用好产业链“金融便利店”，为我市12条重点产业链上的外商投资企业提供便利服务。建立常态化政府、金融、项目融资对接机制，定期举办“银企对接”活动，与各类银行加大制造业外商投资企业和项目信息共享力度，更好促进融资对接。加强与合格境外有限合伙人（QFLP）试点企业合作，建立市场化、国际化的项目招引投融资服务体系。（牵头责任单位：市金融局、人民银行天津分行、天津银保监局、天津证监局、市发展改革委、市商务局、市工业和信息化局）</w:t>
      </w:r>
    </w:p>
    <w:p w14:paraId="7AF09C0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（十一）提升贸易投资便利化水平，降低资金使用成本   </w:t>
      </w:r>
    </w:p>
    <w:p w14:paraId="6FABB07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提升外商投资企业贸易投资跨境人民币结算便利化水平。实施新型离岸国际贸易结算便利化举措。简化非金融外商投资企业境外融资手续。支持优质外商投资企业自主借用外债。便利国内外汇贷款购汇偿还。（牵头责任单位：人民银行天津分行、市金融局）</w:t>
      </w:r>
    </w:p>
    <w:p w14:paraId="102A29D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（十二）鼓励外商投资企业利润再投资，促进利用外资转型升级</w:t>
      </w:r>
    </w:p>
    <w:p w14:paraId="216BF58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切实落实境外投资者以分配利润直接投资暂不征收预提所得税等政策，鼓励存量外商投资企业通过利润再投资进一步增资扩产，开展精细化宣传辅导，实施便利办税服务，确保符合条件的企业应享尽享。（牵头责任单位：市税务局）实施我市促进招商引资若干措施，为外商投资企业境内新增投资和再投资提供一揽子支持政策。（牵头责任单位：市发展改革委、市合作交流办、市商务局，各区人民政府）</w:t>
      </w:r>
    </w:p>
    <w:p w14:paraId="73CDC44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（十三）用好RCEP规则，促进制造业外商投资企业进出口</w:t>
      </w:r>
    </w:p>
    <w:p w14:paraId="0BEC5C82">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高质量实施区域全面经济伙伴关系协定（RCEP），开通面向RCEP成员国市场的关税查询和咨询指导服务，举办RCEP专题培训会，编制RCEP应用指导手册。引导企业将税差作为“着眼点”开拓RCEP成员国市场，提高出口收益，提升企业的竞争优势和国际化水平。做好各类优惠和非优惠原产地证书的签发服务。为制造业外商投资企业提供自贸协定、贸易通关、贸易救济等方面的服务和指导。（牵头责任单位：市商务局、天津海关、市贸促会）</w:t>
      </w:r>
    </w:p>
    <w:p w14:paraId="686F810F">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黑体简体" w:hAnsi="方正黑体简体" w:eastAsia="方正黑体简体" w:cs="方正黑体简体"/>
          <w:sz w:val="32"/>
          <w:szCs w:val="32"/>
        </w:rPr>
        <w:t>三、引导投资方向，提升外商投资质量</w:t>
      </w:r>
    </w:p>
    <w:p w14:paraId="382B4AD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（十四）强化招商和扶持政策导向，优化外商投资结构</w:t>
      </w:r>
    </w:p>
    <w:p w14:paraId="50C5B1F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在先进制造业和高新技术方面，重点引进外商投资高端装备、基础元器件、关键零部件等领域。在现代服务业方面，重点引进外商投资研发设计、现代物流、商务服务等领域。在节能环保方面，重点引进外商投资新能源、绿色低碳关键技术创新和示范应用等领域。贯彻落实《鼓励外商投资产业目录》（2022年版），针对新增的航空地面装备、辉光放电质谱仪、透射电子显微镜、工业节水装备等终端产品，盾构机轴承、自动驾驶相关关键零部件、高性能轻金属等零部件，高纯电子化学品、高性能涂料、有机高分子材料等新材料，低碳环保绿色节能节水的先进系统集成技术及服务，环境友好型技术开发应用，海上风电装备和海洋新能源装备设计研发、退役风电叶片及废弃光伏组件回收处理等产业条目进行宣介，鼓励外商投资企业投资。实施好鼓励外商投资产业目录的配套政策，确保符合条件的外资项目和企业享受进口自用设备免税、贴息、工业项目优先供应土地等优惠政策。（牵头责任单位：市商务局、市发展改革委、天津海关、市工业和信息化局，各区人民政府）</w:t>
      </w:r>
    </w:p>
    <w:p w14:paraId="3E0108A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（十五）鼓励外资在津设立研发中心和总部，支持外商投资创新发展</w:t>
      </w:r>
    </w:p>
    <w:p w14:paraId="5E2CF44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持续用好外资研发中心进口研发用品免税政策，鼓励外资在津设立研发中心，深化科技开放合作。鼓励外资研发中心建设国家级或市级企业技术中心，平等参与政府科研课题“揭榜挂帅”。支持外商投资企业承担国家科技计划项目、引进国际一流人才团队。开展外籍人才认定机制创新和工作居留一站式服务，在自贸试验区内探索开展境外职业资格认可。鼓励外商投资企业建设智能制造示范工厂，参与国家新型工业化产业示范基地、先进制造业集群建设。用好我市跨国公司总部认定和支持政策，鼓励在津地区总部和总部型机构发展壮大、拓展功能、提升能级。（牵头责任单位：市商务局、市科技局、市工业和信息化局、市人社局、市外办）</w:t>
      </w:r>
    </w:p>
    <w:p w14:paraId="4D38D95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（十六）加快外商投资绿色低碳升级，提升产品国际市场竞争力</w:t>
      </w:r>
    </w:p>
    <w:p w14:paraId="3D62300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支持外商投资企业参与我市碳达峰碳中和战略，指导服务一批制造业重点外商投资企业完善低碳建设实施方案，积极争取入选国家绿色低碳典型案例。支持外商投资企业开发绿色产品，建设绿色工厂，打造绿色供应链。扩大绿电规模，鼓励企业积极开发分布式光伏等新能源项目，满足制造业外商投资企业绿色用能需求。（牵头责任单位：市发展改革委、市生态环境局、市工业和信息化局）</w:t>
      </w:r>
    </w:p>
    <w:p w14:paraId="4B25C51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both"/>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bCs/>
          <w:sz w:val="32"/>
          <w:szCs w:val="32"/>
        </w:rPr>
        <w:t>（十七）加强与中西部地区合作，推动区域协调发展</w:t>
      </w:r>
    </w:p>
    <w:p w14:paraId="694855E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鼓励我市国家级经济技术开发区与中西部地区经济技术开发区开展合作共建，引导区内制造业外商投资企业与结对地区加强合作。（牵头责任单位：市商务局、市发展改革委）</w:t>
      </w:r>
    </w:p>
    <w:p w14:paraId="61A02E5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各有关部门、各区要高度重视，加强配合，做好外资扩增量、稳存量、提质量各项工作，营造更加优化的政策环境，稳定外商投资预期、提振外商投资信心，推动利用外资高质量发展，支持外商投资企业更好融入国内大循环，促进国内国际双循环。滨海新区要组织五大开发区充分发挥优势，加大引资力度，增强对全市稳外资的带动作用。</w:t>
      </w:r>
    </w:p>
    <w:p w14:paraId="06247ED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p>
    <w:p w14:paraId="722B3DE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both"/>
        <w:textAlignment w:val="auto"/>
        <w:rPr>
          <w:rFonts w:hint="eastAsia" w:ascii="方正仿宋简体" w:hAnsi="方正仿宋简体" w:eastAsia="方正仿宋简体" w:cs="方正仿宋简体"/>
          <w:sz w:val="32"/>
          <w:szCs w:val="32"/>
        </w:rPr>
      </w:pPr>
    </w:p>
    <w:p w14:paraId="7348DD6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中国（山东）自由贸易试验区深化改革创新方案</w:t>
      </w:r>
    </w:p>
    <w:p w14:paraId="45593B8C">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山东省人民政府</w:t>
      </w:r>
    </w:p>
    <w:p w14:paraId="081A0A1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方正楷体简体" w:hAnsi="方正楷体简体" w:eastAsia="方正楷体简体" w:cs="方正楷体简体"/>
          <w:sz w:val="32"/>
          <w:szCs w:val="32"/>
        </w:rPr>
      </w:pPr>
    </w:p>
    <w:p w14:paraId="126A8D1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为加快推进绿色低碳高质量发展先行区建设，以更大力度谋划和促进中国（山东）自由贸易试验区（以下简称山东自贸试验区）深化改革和扩大开放，特制定本方案。</w:t>
      </w:r>
    </w:p>
    <w:p w14:paraId="4E282E4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一、总体要求</w:t>
      </w:r>
    </w:p>
    <w:p w14:paraId="70524BF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（一）指导思想。</w:t>
      </w:r>
    </w:p>
    <w:p w14:paraId="224EFEB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以习近平新时代中国特色社会主义思想为指导，全面贯彻党的二十大精神，认真落实习近平总书记对山东工作的重要指示要求，立足新发展阶段，贯彻新发展理念，构建新发展格局，率先落实自贸试验区提升战略，以制度创新为核心，以深化供给侧结构性改革为主线，围绕实行高水平对外开放，对标高标准国际经贸规则，发挥自身比较优势，增强国内国际两个市场两种资源联动效应，深入开展差别化探索，推动优势特色产业开放发展，助力新旧动能转换，赋能山东绿色低碳高质量发展，更好服务开创新时代社会主义现代化强省建设新局面，把山东自贸试验区打造成为具有国际影响力和竞争力的自由贸易园区。</w:t>
      </w:r>
    </w:p>
    <w:p w14:paraId="7C0E1D5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（二）战略定位。</w:t>
      </w:r>
    </w:p>
    <w:p w14:paraId="09BCC2A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充分发挥自贸试验区新时代改革开放新高地作用，全面提升山东高水平对外开放引领作用，构建更加自由开放的政策制度体系，建设高水平制度型开放先行区。充分发挥自贸试验区制度创新作用，加快破解制约产业开放发展的结构性、制度性矛盾和问题，培育更具竞争力的产业集群，打造现代化产业发展集聚区。充分发挥自贸试验区先行先试作用，深挖“蓝色引擎”发展潜力，强化海洋资源开发利用，完善海洋治理和生态保护，深化海洋开放合作，提高经略海洋整体效能，形成创新型海洋经济活力区。充分发挥自贸试验区辐射带动作用，推进黄河流域自贸试验区联盟建设，开展全方位协同合作，打造黄河流域生态保护和高质量发展引领区。充分发挥自贸试验区对外开放平台作用，重点围绕日韩与东盟，推动设施联通、市场融通、贸易畅通、标准互通，加强产业链、供应链协同配套，加快RCEP规则高质量落地，构建多元稳定的RCEP经贸合作示范区。</w:t>
      </w:r>
    </w:p>
    <w:p w14:paraId="71709C9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lang w:eastAsia="zh-CN"/>
        </w:rPr>
      </w:pPr>
      <w:r>
        <w:rPr>
          <w:rFonts w:hint="eastAsia" w:ascii="方正楷体简体" w:hAnsi="方正楷体简体" w:eastAsia="方正楷体简体" w:cs="方正楷体简体"/>
          <w:b/>
          <w:bCs/>
          <w:sz w:val="32"/>
          <w:szCs w:val="32"/>
        </w:rPr>
        <w:t>（三）功能划分</w:t>
      </w:r>
      <w:r>
        <w:rPr>
          <w:rFonts w:hint="eastAsia" w:ascii="方正楷体简体" w:hAnsi="方正楷体简体" w:eastAsia="方正楷体简体" w:cs="方正楷体简体"/>
          <w:b/>
          <w:bCs/>
          <w:sz w:val="32"/>
          <w:szCs w:val="32"/>
          <w:lang w:eastAsia="zh-CN"/>
        </w:rPr>
        <w:t>。</w:t>
      </w:r>
    </w:p>
    <w:p w14:paraId="4BD6802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济南片区聚焦医养健康、数字经济、产业金融等领域，围绕建设新时代社会主义现代化强省会战略目标，着力打造具有国际竞争力的生物医药产业集群、数字经济创新示范区和黄河流域重要的对外开放门户。青岛片区聚焦航贸金融合、集成电路、基因科技等领域，围绕建设现代化国际大都市战略目标，着力打造东北亚国际航运枢纽、创新型城市核心区、未来产业集聚区。烟台片区聚焦现代海洋、高端装备制造、新一代信息技术等领域，围绕建设现代化国际滨海城市战略目标，着力打造海洋强省示范区、绿色低碳发展样板区和全国重要的高端装备制造基地。</w:t>
      </w:r>
    </w:p>
    <w:p w14:paraId="2ECFE9C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济南、青岛、烟台三个片区发挥各自特色优势，加快构建高水平开放政策制度体系，打造具有国际影响力的产业集群，深度对接黄河流域生态保护和高质量发展，进一步推动海洋经济创新发展，引领RCEP经贸深度合作。加强与周边区域、特殊功能区和各开放平台联动发展，加快自贸试验区联动创新区建设，各自贸试验区所在行政区纳入联动创新区范围，试点任务可在联动创新区同步推进，在全省范围内形成“自贸试验区+联动创新区”发展新格局。</w:t>
      </w:r>
    </w:p>
    <w:p w14:paraId="52E50F2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（四）发展目标。</w:t>
      </w:r>
    </w:p>
    <w:p w14:paraId="2A323004">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以制度创新为核心，以可复制可推广为基本要求，全面落实国家关于山东自贸试验区建设的各项要求。到2025年，基本建立与战略定位和开放型经济发展相适应的制度体系，形成市场化、法治化、国际化营商环境，服务国家战略作用进一步凸显，高水平开放格局进一步形成，开放型经济向更广领域更高层次进一步迈进，产业能级进一步跃升，努力建成贸易投资更加便利、金融服务更加完善、监管更加安全高效、辐射带动作用更加突出的高标准高质量自由贸易园区。</w:t>
      </w:r>
    </w:p>
    <w:p w14:paraId="6FC7407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黑体简体" w:hAnsi="方正黑体简体" w:eastAsia="方正黑体简体" w:cs="方正黑体简体"/>
          <w:sz w:val="32"/>
          <w:szCs w:val="32"/>
        </w:rPr>
        <w:t>二、建设高水平制度型开放先行区</w:t>
      </w:r>
    </w:p>
    <w:p w14:paraId="3307B086">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（一）实施高标准的贸易自由化便利化政策。</w:t>
      </w:r>
    </w:p>
    <w:p w14:paraId="7CB2738B">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拓展国际贸易“单一窗口”功能，推动船舶进出港、海关查验、货物提离等各环节作业协同，实现通关全流程状态可视化服务。深化“航贸金”本地化创新应用。深化出口货物“先期机检+抵港直装”、进口大宗散货“船铁直转”模式创新。争取青岛港自动化码头三期及配套保税物流区域纳入青岛前湾综合保税区范围。在远程医疗、在线教育、运输、建筑设计等领域推动跨境服务供需精准匹配。推进跨境交付业态发展，促进软件研发、呼叫中心、数据外包等服务出口。探索制定文化产品出口标准体系。加快发展新型离岸国际贸易，探索离岸转手买卖的真实性管理创新。开展新型跨境易货贸易，建设配套服务平台。构建大宗商品“数字化仓储+数字化交易+数字化金融”贸易生态体系。提升现有大宗商品交易场所服务能级，支持开展介于现货与期货之间的大宗商品交易业务，争取支持允许非居民按照规定参与交易，鼓励开展跨境人民币结算。深化跨境电商“保税+新零售”改革，推广“保税仓储+直播”模式应用。推动海外仓标准化建设，强化海外仓易货核验、电商集货配送功能，简化货物滞销和返修流程。鼓励发展内外贸一体化新业态新模式，实施包容审慎监管。促进内外贸标准认证衔接，推动第三方合格评定机构提供一站式服务。</w:t>
      </w:r>
    </w:p>
    <w:p w14:paraId="39A80A05">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（二）实施高水平的投资自由化便利化政策。</w:t>
      </w:r>
    </w:p>
    <w:p w14:paraId="262E571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完善公平竞争制度规则，确保各类所有制市场主体在要素获取、准入许可、经营运行等方面享受平等待遇。整合联合竣工验收、不动产登记流程，加强水电气暖信等市政公用设施联动服务，完善“一站式”竣工投产办理新模式。推动建设工程规划许可、人防工程许可“一证式”办理，开展施工许可告知承诺制、分阶段办理等便利化服务。推行企业许可“无感续证”。健全对外投资合作信息报告报送制度，完善境外企业、项目和人员安全风险防控体系。</w:t>
      </w:r>
    </w:p>
    <w:p w14:paraId="3C6AE9C2">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（三）实施跨境资金自由便利为核心的金融政策。</w:t>
      </w:r>
    </w:p>
    <w:p w14:paraId="4EF6379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深化本外币合一银行账户体系试点。争取外商投资企业使用资本项目人民币收入在国家有关部门批准的经营范围内开展境内再投资，被投资企业无需开立人民币资本金专用存款账户。争取境外投资者将境内人民币利润所得用于境内再投资，可将人民币资金从利润分配企业的账户直接划转至被投资企业或股权转让方的账户，无需开立人民币再投资专用存款账户；被投资企业无需开立人民币资本金专用存款账户。争取境外投资者以人民币并购境内企业设立外商投资企业或以人民币向境内外商投资企业的中方股东支付股权转让对价款的，相关各中方股东无需开立人民币并购专用存款账户或人民币股权转让专用存款账户。探索在国际贸易、大宗商品交易、航运物流等领域开展数字人民币支付。</w:t>
      </w:r>
    </w:p>
    <w:p w14:paraId="3FAFF25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（四）实施自由便利的人员管理政策。</w:t>
      </w:r>
    </w:p>
    <w:p w14:paraId="7D1AAE9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构建以创新价值、能力、贡献为导向的人才评价体系。探索建立境外职业资格认可目录，允许持有目录内境外职业资格的专业人才便利执业，其境外从业经历可视同境内从业经历。探索为涉外重大投资合作项目项下人员提供出入境绿色通道，允许片区为符合条件的外籍高端人才办理《外国人永久居留身份证》出具推荐意见。完善国际人才社区建设标准，为营造良好人才服务环境提供指引。</w:t>
      </w:r>
    </w:p>
    <w:p w14:paraId="3BDCE62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（五）实施自由便利的运输政策。</w:t>
      </w:r>
    </w:p>
    <w:p w14:paraId="53E2C52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争取降低自由贸易试验区国际船舶登记准入门槛，推广实施海船转籍登记“不停航办证”新机制。在有效监管、风险可控的前提下，落实青岛港作为离境港实施启运港退税政策。适时争取将中欧班列（齐鲁号）纳入中欧安全智能贸易航线试点计划。</w:t>
      </w:r>
    </w:p>
    <w:p w14:paraId="19E88CEB">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（六）推动数据安全有序流动。</w:t>
      </w:r>
    </w:p>
    <w:p w14:paraId="015B941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建立和落实数据安全管理认证、数据出境安全评估、数据流通备份审查、数据交易风险评估等全流程数据安全管理制度。加快数据要素流通服务平台建设，推动数据资源挖掘利用、数据资产治理认证、数据要素价值流通。做好国家政务数据直达基层试点工作，打造一批数据应用特色场景。</w:t>
      </w:r>
    </w:p>
    <w:p w14:paraId="7021048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三、打造现代化产业发展集聚区</w:t>
      </w:r>
    </w:p>
    <w:p w14:paraId="2FDDE4F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（七）推动医养健康全产业链创新发展。</w:t>
      </w:r>
    </w:p>
    <w:p w14:paraId="29C8008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支持基因治疗、细胞治疗等生物医药产品开展多中心临床试验并实行伦理审查结果互认。建设食品药品医疗器械、基因科技技术研发公共服务平台，提供技术研发、分析测试、药物评价、产品注册等全链条服务。探索制定相关标准体系，在风险可控条件下开展干细胞治疗、生物人工肝等临床转化应用试点。对已在外省（自治区、直辖市）取得产品注册证，且产品符合国家或本省行业发展规划的医疗器械生产企业携已注册产品迁入本省的医疗器械进行优先检验、优先审评、优先核查检查、优先审批。推进医疗数据开放共享，完善商业保险与医疗部门的数据共享和交换标准。建立健全符合中医药特点的中药安全、疗效评价方法和技术标准。</w:t>
      </w:r>
    </w:p>
    <w:p w14:paraId="4B448220">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（八）推动高端装备制造全产业链创新发展。</w:t>
      </w:r>
    </w:p>
    <w:p w14:paraId="789E78D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探索开展光电产品、集成电路、发动机、船舶等高附加值大型成套设备及关键零部件进口再制造。支持片区内外联动开展保税维修。争取企业在自贸试验区内、综合保税区外开展本集团国内自产产品保税维修业务，争取扩大保税维修产品目录范围。支持企业设立海外仓办理境外用户退换货业务。对入境维修复出口的旧机电产品免于实施装运前检验。设立关键设备、零部件、关键材料等高端产品进出口绿色通道，按企业信用对进出口产品进行管理，缩减通关、查验等环节。争取在汽车、电子产品等领域开展跨境科研用物资正面清单试点。改革制造业智能化技术改造项目申报和组织实施方式。探索建立服务型制造人才评价和职业发展通道体系，完善智能制造产业生态。</w:t>
      </w:r>
    </w:p>
    <w:p w14:paraId="17517EA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（九）推动绿色低碳全产业链创新发展。</w:t>
      </w:r>
    </w:p>
    <w:p w14:paraId="18C8BF5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探索建立碳排放标准、碳评价制度，推动低碳产品认证。推动企业完善碳足迹核算，积极参与碳排放权交易。探索生态产品价值实现机制、碳汇补偿机制。创新绿色金融发展模式，推动碳融资服务和碳资产管理服务，开展绿色保险、绿色融资租赁、碳表现挂钩贷款等业务创新，推广绿色资产证券化。加快推进气候投融资试点。建立绿色供应链管理体系，推动产业绿色化升级。鼓励节能降碳、环境保护等技术和服务进口，推进绿色低碳技术国际合作。建设绿色低碳专业孵化器，完善市场服务体系，促进绿色科技成果市场化应用和规模化推广。完善绿色指标体系建设，开展绿色信用等级评定。建立碳关税部门协同应对机制，探索碳关税核算方式。</w:t>
      </w:r>
    </w:p>
    <w:p w14:paraId="0568C85A">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（十）增强科创赋能产业发展能级。</w:t>
      </w:r>
    </w:p>
    <w:p w14:paraId="2314430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开展科技成果市场化评价，建立多元化科技成果市场交易定价办法，探索技术交易与资本市场对接机制。全面推行技术经理人制度，促进科技成果转化。创新构建国有新型研发机构企业化运营机制，优化重大事项审定决策流程。搭建商业秘密在线保护公证平台，创新知识产权“前置保护”新模式。构建涉外知识产权保护体系，探索制定商业秘密跨境保护指引，设立海外与中国专家联席工作站，建立知识产权纠纷应对机制。探索运用专利开放许可制度，向中小企业实施“一对多”开放许可。</w:t>
      </w:r>
    </w:p>
    <w:p w14:paraId="7528C761">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（十一）完善金融赋能产业发展体系。</w:t>
      </w:r>
    </w:p>
    <w:p w14:paraId="34C35C4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支持产业园区发展基础设施领域不动产投资信托基金（REITs），有效盘活存量资产。设立知识产权质押融资风险补偿资金，推动数据知识产权存证、价值评估、质押融资和证券化。推动开展标准仓单质押融资业务。鼓励设立科创金融专营（特色）机构。依法依规办理金融债权赋强公证业务。</w:t>
      </w:r>
    </w:p>
    <w:p w14:paraId="127FBA6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（十二）提升数字赋能产业发展能力。</w:t>
      </w:r>
    </w:p>
    <w:p w14:paraId="07F0B1E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依托工业互联网发展共享工厂、协同制造、柔性生产等新模式。鼓励企业参与工业互联网标识解析二级节点建设，拓展在装备制造、智能家电、橡胶轮胎等领域应用。支持公共数据运营机构建设，推动公共数据赋能产业生态多元发展。加快大数据产业发展，探索数据、平台、算法、安全“一体化”综合服务新模式。培育发展数据标注、数据清洗、数据交换等新商业业态。探索建立数字化企业分级分类评价体系。</w:t>
      </w:r>
    </w:p>
    <w:p w14:paraId="3808613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四、形成创新型海洋经济活力区</w:t>
      </w:r>
    </w:p>
    <w:p w14:paraId="6FFD7354">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（十三）优化提升海洋传统产业。</w:t>
      </w:r>
    </w:p>
    <w:p w14:paraId="25779E3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深化中韩海洋种业双边合作机制，推动跨国海洋生物资源联合修复养护合作。争取开展海洋基因编辑和海洋鱼类育种试验。完善海洋种质资源引进机制，拓展引进中转基地功能，深化与海南水产种业联动发展。开展水产种业知识产权保护，建设跨区域全品类水产种质资源DNA指纹库。探索三产融合型海洋牧场综合体发展新模式，推动传统海洋渔业向信息化智能化转型升级。建立健全深远海生态牧场研发、确权、融资、增信、推广机制，引导和推动社会资本积极参与建设。整合境内外海洋工程资源，提升服务国内海洋油气开发建设能力，争取企业在国内开展海上油气钻井等海洋工程服务。</w:t>
      </w:r>
    </w:p>
    <w:p w14:paraId="7F587CA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（十四）发展海洋新兴产业。</w:t>
      </w:r>
    </w:p>
    <w:p w14:paraId="620479C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构建海洋需求与陆地研发相衔接的“海需陆供”新机制，促进涉海企业释放需求，科研机构揭榜攻关。加快蓝色药库研发生产基地建设，推动海洋新药发展。引导企业参与并主导海洋医药、生物新材料等领域的行业标准及规范制修订，增强在国内外相关领域的话语权和影响力。以海上风电规模化开发为契机，带动装备制造、建设安装、运营维护等上下游产业集聚，推动海上风电向深远海发展。</w:t>
      </w:r>
    </w:p>
    <w:p w14:paraId="6107898D">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（十五）加快发展现代海洋服务业。</w:t>
      </w:r>
    </w:p>
    <w:p w14:paraId="35E416D0">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加快发展船舶交易、航运金融、航运仲裁等高端航运产业，扩大船舶交易规模，探索开展航运衍生品交易。提升航运综合服务功能，打造保税船供公共服务平台，推动外锚地船供油常态化发展，优化船供统计监管体系。创新开发水产苗种、巨灾防范、海产价格等保险品种。建设智慧海洋管理示范平台，完善海事海商专业人才联合培养机制，建立健全涉海法律服务体系。</w:t>
      </w:r>
    </w:p>
    <w:p w14:paraId="714AE88D">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（十六）完善海洋治理和保护体系。</w:t>
      </w:r>
    </w:p>
    <w:p w14:paraId="209DA63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推动海域使用权不动产登记规范化改革，实施海域与海上建筑物、构筑物一体化登记。探索实施海域立体综合开发利用。完善“标准海”建设模式，将投资强度、养殖品种、养殖密度、风险保障等与海域使用相结合。建立黄渤海蓝碳监测评估和研究中心等平台，健全蓝碳金融、蓝碳动态监测、蓝碳增汇、蓝碳产业生态等体系，加快培育蓝碳经济。推进海洋经济商事主体智能标签体系建设，完善自贸试验区海洋经济统计调查制度。</w:t>
      </w:r>
    </w:p>
    <w:p w14:paraId="5FDC21BE">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（十七）强化海洋科技创新支撑。</w:t>
      </w:r>
    </w:p>
    <w:p w14:paraId="4245FD7C">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创新涉海科技研发机制，探索涉海核心科研单元和交叉研发集群的协同攻关模式。推进海洋实验室、大型仪器设备、科技平台等涉海科技资源开放共享。健全国际海洋基因组学联盟机制，构建海洋生物种质和基因资源研究及产业应用新模式。推动建设“海洋十年”国际合作中心，探索符合国际办事规则的协调服务机制，建设高质量东亚海洋合作平台。</w:t>
      </w:r>
    </w:p>
    <w:p w14:paraId="40EA47E6">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黑体简体" w:hAnsi="方正黑体简体" w:eastAsia="方正黑体简体" w:cs="方正黑体简体"/>
          <w:sz w:val="32"/>
          <w:szCs w:val="32"/>
        </w:rPr>
        <w:t>五、打造黄河流域生态保护和高质量发展引领区</w:t>
      </w:r>
    </w:p>
    <w:p w14:paraId="10BDDDDF">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（十八）健全合作机制。</w:t>
      </w:r>
    </w:p>
    <w:p w14:paraId="15DAE18A">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健全黄河流域自贸试验区联盟机制，强化制度创新协同推进和创新成果复制推广。探索跨区域“双创券”通用通兑模式，推动关键共性技术联合攻关，深化科技创新跨区域合作。完善跨域通办平台功能，推动更多高频政务服务事项“跨省通办”。建立以信用为基础的新型监管机制，实施重点领域失信行为结果互认、信息共享、惩戒措施路径互通的跨区域信用联合惩戒制度。推进黄河流域知识产权保护一体化协作，提升知识产权协同保护能力。建立园区合作的成本分担和利益分享机制，加强跨区域合作。</w:t>
      </w:r>
    </w:p>
    <w:p w14:paraId="2F84DB2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（十九）深化产业合作。</w:t>
      </w:r>
    </w:p>
    <w:p w14:paraId="38545A33">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加强黄河流域葡萄酒、粮油、种质资源等产业合作，推动全产业链引进示范和开发建设。构建黄河文化IP挖掘、供应链支撑、品牌孵化、海外推广、知识产权保护于一体的文化产品出口全链条服务体系。拓展鲁粤澳中医药产品出海渠道，推动黄河流域更多中医药产品共同出海。高水平举办黄河流域跨境电商博览会，打造黄河流域跨境电商出海平台。鼓励新材料等战略性新兴产业面向黄河流域拓展协同创新应用场景。</w:t>
      </w:r>
    </w:p>
    <w:p w14:paraId="225D2CA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（二十）强化贸易物流互联互通。</w:t>
      </w:r>
    </w:p>
    <w:p w14:paraId="285ED31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完善海铁联运、河海联运和集装箱“多式联运”模式，深化海港、河港、陆港、空港“四港联动”发展。加强“智慧海关”、物流监管一体化等联动创新，开展黄河流域“一港通”等区域通关便利化改革。</w:t>
      </w:r>
    </w:p>
    <w:p w14:paraId="73B5A217">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（二十一）加强与省内功能区协同发展。</w:t>
      </w:r>
    </w:p>
    <w:p w14:paraId="101B317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加强与综合保税区、经济技术开发区、高新技术开发区等创新联动，完善制度协同创新、政策共享等机制。推动与中韩自贸区地方经济合作示范区、中日（青岛）地方发展合作示范区开放联动，探索主动开放与协议开放互促发展新模式。强化与济南新旧动能转换起步区产业联动，鼓励开展平台、产业、项目、人才等方面的深度合作。探索与中欧（济南）绿色制造产业园规则联动，推动在投资贸易、生产性服务业、跨境资金流动、绿色低碳等方面先行突破。</w:t>
      </w:r>
    </w:p>
    <w:p w14:paraId="7997D82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黑体简体" w:hAnsi="方正黑体简体" w:eastAsia="方正黑体简体" w:cs="方正黑体简体"/>
          <w:b w:val="0"/>
          <w:bCs w:val="0"/>
          <w:sz w:val="32"/>
          <w:szCs w:val="32"/>
        </w:rPr>
      </w:pPr>
      <w:r>
        <w:rPr>
          <w:rFonts w:hint="eastAsia" w:ascii="方正黑体简体" w:hAnsi="方正黑体简体" w:eastAsia="方正黑体简体" w:cs="方正黑体简体"/>
          <w:b w:val="0"/>
          <w:bCs w:val="0"/>
          <w:sz w:val="32"/>
          <w:szCs w:val="32"/>
        </w:rPr>
        <w:t>六、构建多元稳定的RCEP经贸合作示范区</w:t>
      </w:r>
    </w:p>
    <w:p w14:paraId="58C699FC">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（二十二）推动完善东西黄金大通道枢纽功能。</w:t>
      </w:r>
    </w:p>
    <w:p w14:paraId="05803137">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与日韩主要港口加强国际班轮航线开辟建设合作。争取下放国际航行船舶保税加油许可权，允许区内保税供油企业在全省范围内开展船舶燃供业务。深化“区关港铁”联动机制，探索拓展矿产品保税混配适用品类。深化多式联运“一单制”改革，探索赋予运输单证物权凭证功能，创建多方协同、风险分担的陆上贸易融资新机制。推动航空物流超级货站建设，探索创新联运物流模式。支持综合保税区创新服务中欧班列集装箱集结模式，推动运贸一体化服务。创新综合保税区进出口货物保税与非保税状态区内直转模式。</w:t>
      </w:r>
    </w:p>
    <w:p w14:paraId="3DB4A513">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（二十三）深化与日韩产业链供应链对接。</w:t>
      </w:r>
    </w:p>
    <w:p w14:paraId="23D799B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以汽车零部件、化学品、电子元件等为重点，完善与日韩中间品交换与流动机制。与日韩机构、企业合作建设中日韩商品、服务消费专区，探索国内外消费融合新机制。加强与日韩在集成电路、基因科技、智能家电、海工装备等领域全链条合作，拓展协同研发、解决方案等供应链上游专业服务，延伸远程诊断、维护检修、消费信贷等供应链下游增值服务。推进与日韩国际标准交流，促进山东技术、标准、服务、品牌走出去。鼓励中日韩企业和机构通过设立开发基金等方式共同开拓第三方市场。</w:t>
      </w:r>
    </w:p>
    <w:p w14:paraId="45BC03B9">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（二十四）深化对日韩贸易便利化合作。</w:t>
      </w:r>
    </w:p>
    <w:p w14:paraId="3C5E2C48">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推动RCEP海关监管服务创新试验基地建设，探索海关监管和服务创新。争取跨境电子商务零售进口药品、医疗器械试点。推动与日韩食品、农产品检测认证前置。构建中日韩跨境冷链物流快速通道，支持有条件的口岸对抵达海关监管作业场所且完整提交相关信息的RCEP原产易腐货物和快件，在满足必要条件下争取实行6小时内放行的便利措施。构建对日韩技术性贸易壁垒“绿色通道”，打造“检测、认证、清关”一站式服务平台。完善“进口信用证+一户百币”等国际贸易结算模式，助力企业拓展RCEP市场。</w:t>
      </w:r>
    </w:p>
    <w:p w14:paraId="5AC998D8">
      <w:pPr>
        <w:keepNext w:val="0"/>
        <w:keepLines w:val="0"/>
        <w:pageBreakBefore w:val="0"/>
        <w:widowControl w:val="0"/>
        <w:kinsoku/>
        <w:wordWrap/>
        <w:overflowPunct/>
        <w:topLinePunct w:val="0"/>
        <w:autoSpaceDE/>
        <w:autoSpaceDN/>
        <w:bidi w:val="0"/>
        <w:adjustRightInd/>
        <w:snapToGrid w:val="0"/>
        <w:spacing w:line="570" w:lineRule="exact"/>
        <w:ind w:firstLine="643" w:firstLineChars="200"/>
        <w:jc w:val="left"/>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（二十五）加快RCEP经贸规则高质量落地。</w:t>
      </w:r>
    </w:p>
    <w:p w14:paraId="1EFFFCFD">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深化RCEP知识产权规则应用，完善知识产权执法程序，推进知识产权审判领域改革。完善大数据、人工智能、移动互联网、生物基因等数字环境下的知识产权保护制度。探索建立跨境电子商务知识产权保护规则，建立有效运用专利权评价报告快速处置实用新型和外观设计专利侵权的投诉处理机制。促进RCEP背对背原产地证明以及原产地累积规则应用，推动转口贸易、物流分拆、包装仓储等业态发展。探索构建RCEP国家法律查明与适用机制。建立健全国际商事争端预防与解决机制，创新法院与国际商事仲裁、调解等组织机构的合作方式，推动调解+仲裁、调解+诉讼、国内调解+涉外调解高效对接。</w:t>
      </w:r>
    </w:p>
    <w:p w14:paraId="0A7EF2A9">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七、保障机制</w:t>
      </w:r>
    </w:p>
    <w:p w14:paraId="6F0608D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坚持和加强党对改革开放的领导，把党的领导贯穿于自贸试验区建设的全过程。牢固树立总体国家安全观，强化底线思维和风险意识，牢牢守住不发生区域性系统性风险底线。加强组织实施，做好改革创新政策措施解读和宣传工作。及时评估总结，加快形成系统性改革经验，在全省范围内复制推广。各部门要大力支持，及时制定任务落实措施，加强指导和服务，对涉及中央事权的改革创新事项积极向国务院或国家相关部委争取政策支持，尽可能赋予各片区更多自主发展、自主改革、自主创新的行政权力事项。自贸试验区所在市要更大力度支持片区深化改革创新，率先落实各项试点任务。各片区要结合实际，研究制定年度工作计划，做好省市经济、社会管理权限下放的承接工作，确保下放事项接得住、管得好、用得活，努力打造一流营商环境。加强方案宣贯，完善考核评价工作机制，保障各项任务顺利落实。</w:t>
      </w:r>
    </w:p>
    <w:p w14:paraId="70B8512E">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p>
    <w:p w14:paraId="4E85525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方正仿宋简体" w:hAnsi="方正仿宋简体" w:eastAsia="方正仿宋简体" w:cs="方正仿宋简体"/>
          <w:sz w:val="32"/>
          <w:szCs w:val="32"/>
        </w:rPr>
      </w:pPr>
    </w:p>
    <w:p w14:paraId="3E1A0D48">
      <w:pPr>
        <w:jc w:val="center"/>
        <w:rPr>
          <w:rFonts w:hint="eastAsia" w:ascii="微软雅黑" w:hAnsi="微软雅黑" w:eastAsia="微软雅黑" w:cs="微软雅黑"/>
          <w:b/>
          <w:bCs/>
          <w:i w:val="0"/>
          <w:iCs w:val="0"/>
          <w:caps w:val="0"/>
          <w:color w:val="333333"/>
          <w:spacing w:val="0"/>
          <w:sz w:val="42"/>
          <w:szCs w:val="42"/>
        </w:rPr>
      </w:pPr>
      <w:r>
        <w:rPr>
          <w:rFonts w:hint="eastAsia" w:ascii="微软雅黑" w:hAnsi="微软雅黑" w:eastAsia="微软雅黑" w:cs="微软雅黑"/>
          <w:b/>
          <w:bCs/>
          <w:i w:val="0"/>
          <w:iCs w:val="0"/>
          <w:caps w:val="0"/>
          <w:color w:val="333333"/>
          <w:spacing w:val="0"/>
          <w:sz w:val="42"/>
          <w:szCs w:val="42"/>
        </w:rPr>
        <w:t xml:space="preserve">宁波市人民政府办公厅关于印发宁波市港航服务业补短板攻坚行动方案的通知 </w:t>
      </w:r>
    </w:p>
    <w:p w14:paraId="7D3E2738">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left"/>
        <w:textAlignment w:val="auto"/>
        <w:rPr>
          <w:rFonts w:hint="eastAsia" w:ascii="Calibri" w:hAnsi="Calibri" w:eastAsia="宋体" w:cs="Times New Roman"/>
          <w:kern w:val="0"/>
          <w:sz w:val="24"/>
          <w:szCs w:val="24"/>
          <w:lang w:val="en-US" w:eastAsia="zh-CN" w:bidi="ar"/>
        </w:rPr>
      </w:pPr>
      <w:r>
        <w:rPr>
          <w:rFonts w:hint="eastAsia" w:ascii="微软雅黑" w:hAnsi="微软雅黑" w:eastAsia="微软雅黑" w:cs="微软雅黑"/>
          <w:i w:val="0"/>
          <w:iCs w:val="0"/>
          <w:caps w:val="0"/>
          <w:color w:val="424242"/>
          <w:spacing w:val="0"/>
          <w:kern w:val="0"/>
          <w:sz w:val="27"/>
          <w:szCs w:val="27"/>
          <w:lang w:val="en-US" w:eastAsia="zh-CN" w:bidi="ar"/>
        </w:rPr>
        <w:t>各区县（市）人民政府，市直及部省属驻甬各单位：</w:t>
      </w:r>
    </w:p>
    <w:p w14:paraId="15E0EDB6">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540" w:firstLineChars="200"/>
        <w:jc w:val="left"/>
        <w:textAlignment w:val="auto"/>
        <w:rPr>
          <w:rFonts w:hint="eastAsia" w:ascii="微软雅黑" w:hAnsi="微软雅黑" w:eastAsia="微软雅黑" w:cs="微软雅黑"/>
          <w:i w:val="0"/>
          <w:iCs w:val="0"/>
          <w:caps w:val="0"/>
          <w:color w:val="424242"/>
          <w:spacing w:val="0"/>
          <w:kern w:val="0"/>
          <w:sz w:val="27"/>
          <w:szCs w:val="27"/>
          <w:lang w:val="en-US" w:eastAsia="zh-CN" w:bidi="ar"/>
        </w:rPr>
      </w:pPr>
      <w:r>
        <w:rPr>
          <w:rFonts w:hint="eastAsia" w:ascii="微软雅黑" w:hAnsi="微软雅黑" w:eastAsia="微软雅黑" w:cs="微软雅黑"/>
          <w:i w:val="0"/>
          <w:iCs w:val="0"/>
          <w:caps w:val="0"/>
          <w:color w:val="424242"/>
          <w:spacing w:val="0"/>
          <w:kern w:val="0"/>
          <w:sz w:val="27"/>
          <w:szCs w:val="27"/>
          <w:lang w:val="en-US" w:eastAsia="zh-CN" w:bidi="ar"/>
        </w:rPr>
        <w:t>《宁波市港航服务业补短板攻坚行动方案》已经市政府同意，现印发给你们，请认真贯彻落实。</w:t>
      </w:r>
    </w:p>
    <w:p w14:paraId="2A038BB9">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right"/>
        <w:textAlignment w:val="auto"/>
        <w:rPr>
          <w:rFonts w:hint="eastAsia" w:ascii="Calibri" w:hAnsi="Calibri" w:eastAsia="宋体" w:cs="Times New Roman"/>
          <w:kern w:val="0"/>
          <w:sz w:val="24"/>
          <w:szCs w:val="24"/>
          <w:lang w:val="en-US" w:eastAsia="zh-CN" w:bidi="ar"/>
        </w:rPr>
      </w:pPr>
      <w:r>
        <w:rPr>
          <w:rFonts w:hint="eastAsia" w:ascii="微软雅黑" w:hAnsi="微软雅黑" w:eastAsia="微软雅黑" w:cs="微软雅黑"/>
          <w:i w:val="0"/>
          <w:iCs w:val="0"/>
          <w:caps w:val="0"/>
          <w:color w:val="424242"/>
          <w:spacing w:val="0"/>
          <w:kern w:val="0"/>
          <w:sz w:val="27"/>
          <w:szCs w:val="27"/>
          <w:lang w:val="en-US" w:eastAsia="zh-CN" w:bidi="ar"/>
        </w:rPr>
        <w:t>宁波市人民政府办公厅</w:t>
      </w:r>
    </w:p>
    <w:p w14:paraId="0B19CADB">
      <w:pPr>
        <w:jc w:val="right"/>
        <w:rPr>
          <w:rFonts w:hint="eastAsia" w:ascii="Calibri" w:hAnsi="Calibri" w:eastAsia="宋体" w:cs="Times New Roman"/>
        </w:rPr>
      </w:pPr>
      <w:r>
        <w:rPr>
          <w:rFonts w:hint="eastAsia" w:ascii="微软雅黑" w:hAnsi="微软雅黑" w:eastAsia="微软雅黑" w:cs="微软雅黑"/>
          <w:i w:val="0"/>
          <w:iCs w:val="0"/>
          <w:caps w:val="0"/>
          <w:color w:val="424242"/>
          <w:spacing w:val="0"/>
          <w:kern w:val="0"/>
          <w:sz w:val="27"/>
          <w:szCs w:val="27"/>
          <w:lang w:val="en-US" w:eastAsia="zh-CN" w:bidi="ar"/>
        </w:rPr>
        <w:t>2021年3月3日</w:t>
      </w:r>
    </w:p>
    <w:p w14:paraId="4DECCCA1">
      <w:pPr>
        <w:rPr>
          <w:rFonts w:hint="eastAsia" w:ascii="Calibri" w:hAnsi="Calibri" w:eastAsia="宋体" w:cs="Times New Roman"/>
        </w:rPr>
      </w:pPr>
    </w:p>
    <w:p w14:paraId="59C8F470">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center"/>
        <w:textAlignment w:val="auto"/>
        <w:rPr>
          <w:rFonts w:hint="eastAsia" w:ascii="Calibri" w:hAnsi="Calibri" w:eastAsia="宋体" w:cs="Times New Roman"/>
          <w:kern w:val="0"/>
          <w:sz w:val="24"/>
          <w:szCs w:val="24"/>
          <w:lang w:val="en-US" w:eastAsia="zh-CN" w:bidi="ar"/>
        </w:rPr>
      </w:pPr>
      <w:r>
        <w:rPr>
          <w:rFonts w:hint="eastAsia" w:ascii="微软雅黑" w:hAnsi="微软雅黑" w:eastAsia="微软雅黑" w:cs="微软雅黑"/>
          <w:b/>
          <w:bCs/>
          <w:i w:val="0"/>
          <w:iCs w:val="0"/>
          <w:caps w:val="0"/>
          <w:color w:val="424242"/>
          <w:spacing w:val="0"/>
          <w:kern w:val="2"/>
          <w:sz w:val="27"/>
          <w:szCs w:val="27"/>
          <w:lang w:val="en-US" w:eastAsia="zh-CN" w:bidi="ar-SA"/>
        </w:rPr>
        <w:t>宁波市港航服务业补短板攻坚行动方案</w:t>
      </w:r>
    </w:p>
    <w:p w14:paraId="083A130D">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540" w:firstLineChars="200"/>
        <w:jc w:val="left"/>
        <w:textAlignment w:val="auto"/>
        <w:rPr>
          <w:rFonts w:hint="eastAsia" w:ascii="微软雅黑" w:hAnsi="微软雅黑" w:eastAsia="微软雅黑" w:cs="微软雅黑"/>
          <w:i w:val="0"/>
          <w:iCs w:val="0"/>
          <w:caps w:val="0"/>
          <w:color w:val="424242"/>
          <w:spacing w:val="0"/>
          <w:kern w:val="0"/>
          <w:sz w:val="27"/>
          <w:szCs w:val="27"/>
          <w:lang w:val="en-US" w:eastAsia="zh-CN" w:bidi="ar"/>
        </w:rPr>
      </w:pPr>
      <w:r>
        <w:rPr>
          <w:rFonts w:hint="eastAsia" w:ascii="微软雅黑" w:hAnsi="微软雅黑" w:eastAsia="微软雅黑" w:cs="微软雅黑"/>
          <w:i w:val="0"/>
          <w:iCs w:val="0"/>
          <w:caps w:val="0"/>
          <w:color w:val="424242"/>
          <w:spacing w:val="0"/>
          <w:kern w:val="0"/>
          <w:sz w:val="27"/>
          <w:szCs w:val="27"/>
          <w:lang w:val="en-US" w:eastAsia="zh-CN" w:bidi="ar"/>
        </w:rPr>
        <w:t>为补齐高端港航服务短板，助推世界一流强港建设，驱动宁波服务业高质量发展，特制定本方案。</w:t>
      </w:r>
    </w:p>
    <w:p w14:paraId="47560CEE">
      <w:pPr>
        <w:snapToGrid w:val="0"/>
        <w:spacing w:line="570" w:lineRule="exact"/>
        <w:ind w:firstLine="623"/>
        <w:rPr>
          <w:rFonts w:hint="eastAsia" w:ascii="Times New Roman" w:hAnsi="Times New Roman" w:eastAsia="方正黑体简体" w:cs="Times New Roman"/>
          <w:sz w:val="32"/>
          <w:szCs w:val="32"/>
        </w:rPr>
      </w:pPr>
      <w:r>
        <w:rPr>
          <w:rFonts w:hint="eastAsia" w:ascii="Times New Roman" w:hAnsi="Times New Roman" w:eastAsia="方正黑体简体" w:cs="Times New Roman"/>
          <w:sz w:val="32"/>
          <w:szCs w:val="32"/>
        </w:rPr>
        <w:t>一、总体思路</w:t>
      </w:r>
    </w:p>
    <w:p w14:paraId="64854990">
      <w:pPr>
        <w:rPr>
          <w:rFonts w:hint="eastAsia" w:ascii="Calibri" w:hAnsi="Calibri" w:eastAsia="宋体" w:cs="Times New Roman"/>
        </w:rPr>
      </w:pPr>
    </w:p>
    <w:p w14:paraId="260179C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以习近平新时代中国特色社会主义思想为指导，按照习近平总书记关于发挥港口“硬核”力量打造世界一流强港的要求，深入贯彻新发展理念，对标世界一流强港，聚焦补短板强弱项，大力提升国际供应链物流、港航专业物流等两大港航物流业，加快培育船舶、船员、航运交易和海事法律等四大海事服务业，着力拓展航运金融、航运信息、航运文化会展、航运休闲等四大融合服务业，突破发展大宗商品贸易和现货交易，促进“船、货、人、商”服务一体发展，努力将宁波打造成为国际特色航运服务基地、全球大宗商品资源配置基地、国际供应链创新中心和海铁联运示范基地。到2025年，力争航运增值服务比重提高到40%，大宗商品交易额达到5000亿元。</w:t>
      </w:r>
    </w:p>
    <w:p w14:paraId="03CEF67C">
      <w:pPr>
        <w:rPr>
          <w:rFonts w:hint="eastAsia" w:ascii="Calibri" w:hAnsi="Calibri" w:eastAsia="宋体" w:cs="Times New Roman"/>
        </w:rPr>
      </w:pPr>
    </w:p>
    <w:p w14:paraId="2939E345">
      <w:pPr>
        <w:snapToGrid w:val="0"/>
        <w:spacing w:line="570" w:lineRule="exact"/>
        <w:ind w:firstLine="623"/>
        <w:rPr>
          <w:rFonts w:hint="eastAsia" w:ascii="Times New Roman" w:hAnsi="Times New Roman" w:eastAsia="方正黑体简体" w:cs="Times New Roman"/>
          <w:sz w:val="32"/>
          <w:szCs w:val="32"/>
        </w:rPr>
      </w:pPr>
      <w:r>
        <w:rPr>
          <w:rFonts w:hint="eastAsia" w:ascii="Times New Roman" w:hAnsi="Times New Roman" w:eastAsia="方正黑体简体" w:cs="Times New Roman"/>
          <w:sz w:val="32"/>
          <w:szCs w:val="32"/>
        </w:rPr>
        <w:t>二、主要任务</w:t>
      </w:r>
    </w:p>
    <w:p w14:paraId="76EE4D39">
      <w:pPr>
        <w:rPr>
          <w:rFonts w:hint="eastAsia" w:ascii="Calibri" w:hAnsi="Calibri" w:eastAsia="宋体" w:cs="Times New Roman"/>
        </w:rPr>
      </w:pPr>
    </w:p>
    <w:p w14:paraId="30E597DA">
      <w:pPr>
        <w:snapToGrid w:val="0"/>
        <w:spacing w:line="570" w:lineRule="exact"/>
        <w:ind w:firstLine="643" w:firstLineChars="20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（一）开展高端港航物流攻坚行动</w:t>
      </w:r>
    </w:p>
    <w:p w14:paraId="496BB1FE">
      <w:pPr>
        <w:rPr>
          <w:rFonts w:hint="eastAsia" w:ascii="Calibri" w:hAnsi="Calibri" w:eastAsia="宋体" w:cs="Times New Roman"/>
        </w:rPr>
      </w:pPr>
    </w:p>
    <w:p w14:paraId="6D811A07">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1.建设智慧港口、绿色港口。加大港航作业不同场景智能感知体系建设，实现集装箱进出口业务全程无纸化。推进梅山港区二期工程智慧港口建设，建成并推广集装箱码头智能生产调度系统。完善集装箱堆场、集卡停车场布局，减少码头间短驳和重复运输。构建清洁低碳的港口用能体系，完善港口低硫燃料油和LNG加注、充电桩、岸电标准规范和供应服务体系，扩大清洁能源设备和船舶应用规模。实施集卡用能结构提升专项行动。</w:t>
      </w:r>
    </w:p>
    <w:p w14:paraId="790F191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打造海铁联运示范工程。拓展双层高箱集装箱海铁联动线路，发展“五定”班列，打造海铁联动示范港。尽早启动梅山港区铁路支线、北仑铁路支线复线建设，实现铁路支线或专用线覆盖主要港区和物流园区。加快在长江沿线城市和腹地区域主要物流中心城市布局铁路“无水港”，打造一批海铁联运精品线路。推进与欧亚陆桥、中亚、中孟经济走廊对接与合作，增强国际海铁联运揽货能力。</w:t>
      </w:r>
    </w:p>
    <w:p w14:paraId="5D51731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提升国际供应链物流水平。加快发展国际远洋运输，培育做大本土国际远洋运输船队规模。争取全球主要班轮公司在甬设立区域总部、运营总部和结算中心。加强与国际班轮公司合作，争取“一带一路”沿线国家和地区过境货源。吸引国际采购商在甬设立区域采购、分拨配送中心。引进培育一批国内外供应链集成商、贸易物流综合服务商。高标准建设阿里巴巴宁波数字贸易港转运中心，打造数字贸易集成枢纽。到2025年，全球班轮公司在甬区域总部实现零突破。</w:t>
      </w:r>
    </w:p>
    <w:p w14:paraId="49ADCBAA">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4.做大做强港航专业物流。大力推进大宗商品物流、冷链物流、保税物流、跨境电商物流、航空物流等专业物流发展壮大。在临港片区谋划建设一批能源储运设施和大宗商品交割库，集中布局一批冷链物流基地。完善保税区等特殊监管区的保税贸易及展示、保税仓储等功能，推动国际分拨、配送功能向腹地拓展。支持企业“走出去”建设公共海外仓。</w:t>
      </w:r>
    </w:p>
    <w:p w14:paraId="4C4D6CB6">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（二）开展高端海事服务攻坚行动</w:t>
      </w:r>
    </w:p>
    <w:p w14:paraId="7CCB696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大力发展船舶服务业。吸引高端船舶服务机构落户，重点发展船舶交易、船舶供应、船舶修理和船舶评级检验等服务。支持船舶交易机构积极拓展海外市场，打造具有亚太地区重要影响力的国际船舶交易基地。支持经认定的外供企业在锚地开展保税油加注、LNG加注、船用物资生活物资供应等国际船舶供应业务，打造亚太地区具有重要影响力的浙江船供服务品牌。到2025年，力争培育5家左右具有国际竞争力的航运代理、船舶管理市场主体，吸引5家以上国际知名航运机构落户，船舶交易额突破50亿元，外轮供应货值突破200亿元。</w:t>
      </w:r>
    </w:p>
    <w:p w14:paraId="6DF9CD2C">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突破发展船员服务业。探索建设“船员服务中心”，吸引国内外知名船员服务机构入驻。加强船员招收、培训和就业市场服务体系建设，探索船员注册、管理、调配和服务一体化发展。进一步便利国际船舶管理企业从事海员外派业务，不断扩大外籍船员劳务市场。推动建立船员教育联盟，打造船员培训机构与企业、船员的信息共享平台，拓展国际船员培训业务。到2025年，基本建成全国领先的国际船员服务基地。</w:t>
      </w:r>
    </w:p>
    <w:p w14:paraId="5716526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提升航运要素交易服务功能。鼓励“互联网+”、区块链技术等在航运交易领域的应用，支持航运交易标准化和行业信用评估业务发展。支持宁波航交所等机构做大集装箱舱位交易、散货租船等优势业务，配套开展相关金融、保险、法律、公估、鉴证、经纪等服务。深化国际合作交易，合作开发航运信息产品，推动航运数据交易发展。到2025年，航运交易总体实力力争走在全国前列。</w:t>
      </w:r>
    </w:p>
    <w:p w14:paraId="6F70DFA2">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4.大力发展海事法律服务。制定涉外法律服务机构建设指引，探索建立本地律师事务所聘请外籍律师担任法律顾问制度。加快引进和培育优秀涉外法律服务机构。支持本地优秀律师事务所通过在境外设立分支机构、海外并购、联合经营等方式在“一带一路”沿线国家和地区设立执业机构。依托宁波海事法院、宁波国际航运仲裁院等机构，提高国际海事法律适应能力。争取境外知名仲裁机构和争议解决机构在甬设立代表机构。引导航运企业、保险企业等在合同及保单中订立以宁波为仲裁地或审判地的争议解决条款。到2025年，初步建成15家左右具有一定规模和服务水平的优秀涉外法律服务机构。</w:t>
      </w:r>
    </w:p>
    <w:p w14:paraId="7BADB622">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（三）开展航运融合产业攻坚行动</w:t>
      </w:r>
    </w:p>
    <w:p w14:paraId="5DC1FD9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加快发展航运金融业。与上海保险交易所、航运金融机构等加强航运金融合作。拓展国际结算、资金运作等业务，探索航运金融衍生服务。积极发展船舶融资租赁、债券融资、供应链金融、产业基金等特色航运金融业务，支持各类航运资产证券化。利用功能平台，吸引国内外机构在甬设立航运金融服务机构。推进东海航运保险股权调整，支持扩大经营范围和增资扩股，增强资本实力和市场竞争力。到2025年，全市航运保险风险保障达到1万亿元以上，力争打造全国航运保险产业基地和航运保险创新中心。</w:t>
      </w:r>
    </w:p>
    <w:p w14:paraId="5A7A656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提升航运信息服务业。打造“1+3+N”港航产业链服务平台，即建设一个港口、口岸、贸易、物流等数据开放共享的综合性航运公共信息大数据云平台，推进订舱、集装箱运输和通关三大功能平台建设，支持若干个垂直平台健全增值服务功能。打造“四港”联动智慧物流云平台，海港、公路港、空港、铁路数据实现全面对接联通，面向市场提供运输全过程物流解决方案。持续完善“海丝指数”产品和运营体系，打造全球知名航运、贸易指数发布中心。发展船联网应用服务业，推进5G与北斗导航、低轨卫星等空天技术融合创新和示范应用，研制开发雷达、鱼探、电子海图等产品和服务。吸引国内外知名航运咨询机构落户。</w:t>
      </w:r>
    </w:p>
    <w:p w14:paraId="12D6120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拓展航运文化会展业。充分挖掘宁波港航内涵，塑造一批具有全球影响力和美誉度的港航文化会展品牌。建设我国规模最大的港口专题博物馆。充分利用老港区搬迁遗存的港口文化资源，打造港口历史文化展示区。做优国际航运海事会展业，办好中国-中东欧国家博览会、中国航海日及海丝论坛、国际港口文化节、中国（宁波）国际航运物流交易会等重大活动。</w:t>
      </w:r>
    </w:p>
    <w:p w14:paraId="2C7C4D89">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4.积极发展航运休闲旅游业。推进邮轮、游艇、游船产业发展，支持游艇、休闲船舶服务规范发展，促进航运旅游深度融合。谋划建设宁波邮轮港，与沿海地区合作打造精品邮轮航线。依托象山港、三门湾等沿海港湾以及东钱湖等内陆水域，建设一批游艇基地。加大三江游开发力度，加快谋划大运河—海丝之路、象山港、环石浦港等江上海上精品旅游航线。充分利用江浙沪144小时过境免签政策，支持发展海员俱乐部、境外商品免税店和水上游览观光、休闲娱乐等业务。到2025年，力争水上旅游客运量达到500万人次。</w:t>
      </w:r>
    </w:p>
    <w:p w14:paraId="549A6035">
      <w:pPr>
        <w:snapToGrid w:val="0"/>
        <w:spacing w:line="570" w:lineRule="exact"/>
        <w:ind w:firstLine="643" w:firstLineChars="20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（四）开展大宗商品产业攻坚行动</w:t>
      </w:r>
    </w:p>
    <w:p w14:paraId="65037102">
      <w:pPr>
        <w:rPr>
          <w:rFonts w:hint="eastAsia" w:ascii="Calibri" w:hAnsi="Calibri" w:eastAsia="宋体" w:cs="Times New Roman"/>
        </w:rPr>
      </w:pPr>
    </w:p>
    <w:p w14:paraId="3ACF8778">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推动国际能源贸易总部基地建设。集聚一批国内外知名油气生产商、贸易商和投资机构，做大做强以原油、成品油、天然气、液化石油气为主导的能源进口、转口、离岸和国内贸易。支持建设数字能源及油气等大宗商品产业生态园。支持“甬易”第三方支付平台与能源贸易（现货交易）平台企业战略合作，促进互利共赢。深化与上海期货交易所等合作，建设大宗商品期现货一体化交易市场，支持设立铁矿石、原油、燃料油等期货交割库。</w:t>
      </w:r>
    </w:p>
    <w:p w14:paraId="7E1F216A">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2.加快推进甬商所转型升级。推动甬商所与上海油气交易中心、镇海炼化、浙江海港大宗商品交易中心等战略合作，以资本为纽带优化组织架构，推动转型升级。利用浙江自贸区宁波片区政策，探索能源贸易创新试点。</w:t>
      </w:r>
    </w:p>
    <w:p w14:paraId="36A124C2">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（五）开展产业布局优化攻坚行动</w:t>
      </w:r>
    </w:p>
    <w:p w14:paraId="265DB11D">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打造“一核”。即宁波国际航运服务中心。积极参与长三角航运创新发展联盟、国际口岸合作大会，加大国际航运、物流和代理企业总部的招引力度，建设航运金融、航运信息、航运交易总部基地，努力建设成为空间集中、要素集聚、企业集群、功能融合的国际航运服务中心。</w:t>
      </w:r>
    </w:p>
    <w:p w14:paraId="1E7E7843">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打造“一区”。即梅山—穿山港航服务高质量发展区。以推动梅山—穿山两港联动发展为抓手，发挥政策优势和类金融集聚优势，加快马士基梅山国际物流中心、亚马逊全球物流前置仓等项目建设投用，鼓励支持发展国际中转、进口分拨、出口配送、国际采购和大宗商品物流、保税物流、供应链物流、航运金融等业态。</w:t>
      </w:r>
    </w:p>
    <w:p w14:paraId="68C14561">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3.打造“四港（中心）”。一是打造新型国际能源贸易中心，进一步提升大榭油气储运能力，推动能源领域投资贸易自由化便利化，集聚一批有影响力、有资源优势、有经营资质的大宗商品贸易及服务主体，打造油气集疏运枢纽港、油气储存交割基地、油气化工品交易贸易中心。二是打造临空经济示范区国际航空物流港，加快启动机场四期，大力发展航空物流、跨境电商物流、空铁联运等业态。三是打造镇海物流枢纽港，加快传化供应链中心、宝湾国际物流园等重点项目建设，拓宽海铁联运货种，做大商品贸易规模。四是打造保税区跨境贸易物流港，加强与国家跨境电商巨头战略合作，构建跨境电商进口货物仓储、分拨、配送服务体系，吸引国际采购商设立区域采购中心，完善展示交易、保税仓储、跨境电商等功能。</w:t>
      </w:r>
    </w:p>
    <w:p w14:paraId="1DA8ABEE">
      <w:pPr>
        <w:snapToGrid w:val="0"/>
        <w:spacing w:line="570" w:lineRule="exact"/>
        <w:ind w:firstLine="623"/>
        <w:rPr>
          <w:rFonts w:hint="eastAsia" w:ascii="Calibri" w:hAnsi="Calibri" w:eastAsia="宋体" w:cs="Times New Roman"/>
        </w:rPr>
      </w:pPr>
      <w:r>
        <w:rPr>
          <w:rFonts w:hint="eastAsia" w:ascii="Times New Roman" w:hAnsi="Times New Roman" w:eastAsia="方正黑体简体" w:cs="Times New Roman"/>
          <w:sz w:val="32"/>
          <w:szCs w:val="32"/>
        </w:rPr>
        <w:t>三、近期工作</w:t>
      </w:r>
    </w:p>
    <w:p w14:paraId="24086EF3">
      <w:pPr>
        <w:numPr>
          <w:ilvl w:val="0"/>
          <w:numId w:val="1"/>
        </w:numPr>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加快推进航运服务企业总部引育。</w:t>
      </w:r>
    </w:p>
    <w:p w14:paraId="36F40519">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引导推动宁波海运、宁波远洋等企业加强国际化经营，做大做强本土港航物流总部企业。实施“一企一策”，优化营商环境，加快引进培育国际航运功能机构，尽快在国际航班公司区域总部、功能性总部招引上实现零突破。</w:t>
      </w:r>
    </w:p>
    <w:p w14:paraId="390E3662">
      <w:pPr>
        <w:numPr>
          <w:ilvl w:val="0"/>
          <w:numId w:val="1"/>
        </w:numPr>
        <w:ind w:left="0" w:leftChars="0" w:firstLine="0" w:firstLineChars="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加快推进口岸数据开放共享。</w:t>
      </w:r>
    </w:p>
    <w:p w14:paraId="36DC971F">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推进港口、口岸、船公司、仓储、堆场等数据资源开放共享，打造航运公共信息大数据云平台，为各类港航服务平台和贸易、物流企业提供数据支撑。</w:t>
      </w:r>
    </w:p>
    <w:p w14:paraId="60E5D6C0">
      <w:pPr>
        <w:numPr>
          <w:ilvl w:val="0"/>
          <w:numId w:val="1"/>
        </w:numPr>
        <w:ind w:left="0" w:leftChars="0" w:firstLine="0" w:firstLineChars="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加快推进国际能源贸易总部基地建设。</w:t>
      </w:r>
    </w:p>
    <w:p w14:paraId="5A01224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集聚一批国内外知名油气生产商、贸易商和投资机构，做大做强以原油、成品油、天然气、液化石油气为主导的能源进口、转口、离岸和国内贸易。支持建设数字能源及油气等大宗商品产业生态园。</w:t>
      </w:r>
    </w:p>
    <w:p w14:paraId="62C261F8">
      <w:pPr>
        <w:numPr>
          <w:ilvl w:val="0"/>
          <w:numId w:val="1"/>
        </w:numPr>
        <w:ind w:left="0" w:leftChars="0" w:firstLine="0" w:firstLineChars="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加快推进梅山—穿山国际中转集拼基地建设。</w:t>
      </w:r>
    </w:p>
    <w:p w14:paraId="4F5AE8DB">
      <w:pPr>
        <w:numPr>
          <w:ilvl w:val="0"/>
          <w:numId w:val="0"/>
        </w:numPr>
        <w:ind w:leftChars="0"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发挥穿山集装箱码头吞吐能力、梅山保税政策及物流基地的互补优势，加强与国际知名班轮公司合作，大力发展国际中转集拼业务，建设梅山—穿山国际中转集拼基地。</w:t>
      </w:r>
    </w:p>
    <w:p w14:paraId="2A59D70F">
      <w:pPr>
        <w:numPr>
          <w:ilvl w:val="0"/>
          <w:numId w:val="1"/>
        </w:numPr>
        <w:ind w:left="0" w:leftChars="0" w:firstLine="0" w:firstLineChars="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着力优化口岸营商环境。</w:t>
      </w:r>
    </w:p>
    <w:p w14:paraId="5A9C4C1D">
      <w:pPr>
        <w:numPr>
          <w:ilvl w:val="0"/>
          <w:numId w:val="0"/>
        </w:numPr>
        <w:ind w:leftChars="0"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加强与海事、海关等部门的沟通协作，研究建立既符合法律法规又灵活便利的口岸监管服务体系。积极支持“船边直提”“抵港直装”作业，推动进出口物流便利化。</w:t>
      </w:r>
    </w:p>
    <w:p w14:paraId="19ACC6E0">
      <w:pPr>
        <w:snapToGrid w:val="0"/>
        <w:spacing w:line="570" w:lineRule="exact"/>
        <w:ind w:firstLine="623"/>
        <w:rPr>
          <w:rFonts w:hint="eastAsia" w:ascii="Calibri" w:hAnsi="Calibri" w:eastAsia="宋体" w:cs="Times New Roman"/>
        </w:rPr>
      </w:pPr>
      <w:r>
        <w:rPr>
          <w:rFonts w:hint="eastAsia" w:ascii="Times New Roman" w:hAnsi="Times New Roman" w:eastAsia="方正黑体简体" w:cs="Times New Roman"/>
          <w:sz w:val="32"/>
          <w:szCs w:val="32"/>
        </w:rPr>
        <w:t>四、保障措施</w:t>
      </w:r>
    </w:p>
    <w:p w14:paraId="5D2F2C85">
      <w:pPr>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（一）加强组织领导。</w:t>
      </w:r>
    </w:p>
    <w:p w14:paraId="07DF3169">
      <w:pPr>
        <w:numPr>
          <w:ilvl w:val="0"/>
          <w:numId w:val="0"/>
        </w:numPr>
        <w:ind w:leftChars="0"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依托一流强港建设统筹协调机制，统筹协调区港联动、规划布局、重大政策、项目招引、要素保障等重大事项，推进各项任务落实。</w:t>
      </w:r>
    </w:p>
    <w:p w14:paraId="5655CF45">
      <w:pPr>
        <w:numPr>
          <w:ilvl w:val="0"/>
          <w:numId w:val="2"/>
        </w:numPr>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强化要素支撑。</w:t>
      </w:r>
    </w:p>
    <w:p w14:paraId="58D0A8E6">
      <w:pPr>
        <w:numPr>
          <w:ilvl w:val="0"/>
          <w:numId w:val="0"/>
        </w:numPr>
        <w:ind w:leftChars="0"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积极向上争取更多国家和省级层面的各类政策支持。对于具有重大影响力的总部和项目的引进，按照集中财力办大事原则，实行“一企一策”。创新实施“甬江引才工程”，加快集聚港航服务领域高端人才和团队。推进人才创新创业全周期“一件事”改革，加快构建精准化人才服务体系。依托专业院校和培训机构，加快培养航运金融、航运保险、海事法律、港航物流等领域紧缺、复合型人才。</w:t>
      </w:r>
    </w:p>
    <w:p w14:paraId="07D549CD">
      <w:pPr>
        <w:numPr>
          <w:ilvl w:val="0"/>
          <w:numId w:val="2"/>
        </w:numPr>
        <w:ind w:left="0" w:leftChars="0" w:firstLine="0" w:firstLineChars="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优化发展环境。</w:t>
      </w:r>
    </w:p>
    <w:p w14:paraId="0A3F19BB">
      <w:pPr>
        <w:numPr>
          <w:ilvl w:val="0"/>
          <w:numId w:val="0"/>
        </w:numPr>
        <w:ind w:leftChars="0"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探索建立港航服务业统计监测分析体系，开展监测和市场运行分析。创新口岸管理体制机制，推进通关便利化改革，研究建立灵活便利的口岸监管服务体系。创新人才通关便利化举措，为外籍人才和海事服务从业人员提供签证和出入境方面的便利。鼓励港航服务企业积极参与制订港航设备、运营管理流程、行业服务等领域的行业国际标准和规范，形成一批国际化、有影响力的行业标准。</w:t>
      </w:r>
    </w:p>
    <w:p w14:paraId="71A073A5">
      <w:pPr>
        <w:keepNext w:val="0"/>
        <w:keepLines w:val="0"/>
        <w:pageBreakBefore w:val="0"/>
        <w:widowControl w:val="0"/>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sz w:val="32"/>
          <w:szCs w:val="32"/>
        </w:rPr>
      </w:pPr>
    </w:p>
    <w:p w14:paraId="3C045AFD">
      <w:pPr>
        <w:keepNext w:val="0"/>
        <w:keepLines w:val="0"/>
        <w:pageBreakBefore w:val="0"/>
        <w:widowControl w:val="0"/>
        <w:kinsoku/>
        <w:wordWrap/>
        <w:overflowPunct/>
        <w:topLinePunct w:val="0"/>
        <w:autoSpaceDE/>
        <w:autoSpaceDN/>
        <w:bidi w:val="0"/>
        <w:adjustRightInd/>
        <w:snapToGrid w:val="0"/>
        <w:spacing w:line="570" w:lineRule="exact"/>
        <w:jc w:val="left"/>
        <w:textAlignment w:val="auto"/>
        <w:rPr>
          <w:rFonts w:hint="eastAsia" w:ascii="方正仿宋简体" w:hAnsi="方正仿宋简体" w:eastAsia="方正仿宋简体" w:cs="方正仿宋简体"/>
          <w:sz w:val="32"/>
          <w:szCs w:val="32"/>
        </w:rPr>
      </w:pPr>
    </w:p>
    <w:p w14:paraId="4CC911F1">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关于印发《宁波市港口岸电奖补</w:t>
      </w:r>
      <w:r>
        <w:rPr>
          <w:rFonts w:hint="eastAsia" w:ascii="Times New Roman" w:hAnsi="Times New Roman" w:eastAsia="方正小标宋简体" w:cs="方正小标宋简体"/>
          <w:sz w:val="44"/>
          <w:szCs w:val="44"/>
        </w:rPr>
        <w:t>办法》的通知</w:t>
      </w:r>
    </w:p>
    <w:p w14:paraId="28DF29B4">
      <w:pPr>
        <w:rPr>
          <w:rFonts w:hint="eastAsia" w:ascii="Calibri" w:hAnsi="Calibri" w:eastAsia="宋体" w:cs="Times New Roman"/>
        </w:rPr>
      </w:pPr>
    </w:p>
    <w:p w14:paraId="602A8A53">
      <w:pPr>
        <w:rPr>
          <w:rFonts w:hint="eastAsia" w:ascii="Calibri" w:hAnsi="Calibri" w:eastAsia="宋体" w:cs="Times New Roman"/>
        </w:rPr>
      </w:pPr>
    </w:p>
    <w:p w14:paraId="4797CFD7">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left"/>
        <w:textAlignment w:val="auto"/>
        <w:rPr>
          <w:rFonts w:hint="eastAsia" w:ascii="Times New Roman" w:hAnsi="Times New Roman" w:eastAsia="方正仿宋简体" w:cs="方正仿宋简体"/>
          <w:i w:val="0"/>
          <w:iCs w:val="0"/>
          <w:caps w:val="0"/>
          <w:color w:val="424242"/>
          <w:spacing w:val="0"/>
          <w:kern w:val="0"/>
          <w:sz w:val="32"/>
          <w:szCs w:val="32"/>
          <w:lang w:val="en-US" w:eastAsia="zh-CN" w:bidi="ar"/>
        </w:rPr>
      </w:pPr>
      <w:r>
        <w:rPr>
          <w:rFonts w:hint="eastAsia" w:ascii="Times New Roman" w:hAnsi="Times New Roman" w:eastAsia="方正仿宋简体" w:cs="方正仿宋简体"/>
          <w:i w:val="0"/>
          <w:iCs w:val="0"/>
          <w:caps w:val="0"/>
          <w:color w:val="424242"/>
          <w:spacing w:val="0"/>
          <w:kern w:val="0"/>
          <w:sz w:val="32"/>
          <w:szCs w:val="32"/>
          <w:lang w:val="en-US" w:eastAsia="zh-CN" w:bidi="ar"/>
        </w:rPr>
        <w:t>各区（县、市）交通运输局、财政局，象山县港航管理中心：</w:t>
      </w:r>
    </w:p>
    <w:p w14:paraId="4B685163">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方正仿宋简体"/>
          <w:kern w:val="0"/>
          <w:sz w:val="32"/>
          <w:szCs w:val="32"/>
          <w:lang w:val="en-US" w:eastAsia="zh-CN" w:bidi="ar"/>
        </w:rPr>
      </w:pPr>
      <w:r>
        <w:rPr>
          <w:rFonts w:hint="eastAsia" w:ascii="Times New Roman" w:hAnsi="Times New Roman" w:eastAsia="方正仿宋简体" w:cs="方正仿宋简体"/>
          <w:i w:val="0"/>
          <w:iCs w:val="0"/>
          <w:caps w:val="0"/>
          <w:color w:val="424242"/>
          <w:spacing w:val="0"/>
          <w:kern w:val="0"/>
          <w:sz w:val="32"/>
          <w:szCs w:val="32"/>
          <w:lang w:val="en-US" w:eastAsia="zh-CN" w:bidi="ar"/>
        </w:rPr>
        <w:t>为进一步减少靠港船舶污染排放，提高港口船舶岸电使用，市交通运输局、市财政局制定了《宁波市港口岸电奖补办法》，现印发给你们，请遵照执行。</w:t>
      </w:r>
    </w:p>
    <w:p w14:paraId="3296D8A6">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right"/>
        <w:textAlignment w:val="auto"/>
        <w:rPr>
          <w:rFonts w:hint="eastAsia" w:ascii="Times New Roman" w:hAnsi="Times New Roman" w:eastAsia="方正仿宋简体" w:cs="方正仿宋简体"/>
          <w:i w:val="0"/>
          <w:iCs w:val="0"/>
          <w:caps w:val="0"/>
          <w:color w:val="424242"/>
          <w:spacing w:val="0"/>
          <w:kern w:val="0"/>
          <w:sz w:val="32"/>
          <w:szCs w:val="32"/>
          <w:lang w:val="en-US" w:eastAsia="zh-CN" w:bidi="ar"/>
        </w:rPr>
      </w:pPr>
      <w:r>
        <w:rPr>
          <w:rFonts w:hint="eastAsia" w:ascii="Times New Roman" w:hAnsi="Times New Roman" w:eastAsia="方正仿宋简体" w:cs="方正仿宋简体"/>
          <w:i w:val="0"/>
          <w:iCs w:val="0"/>
          <w:caps w:val="0"/>
          <w:color w:val="424242"/>
          <w:spacing w:val="0"/>
          <w:kern w:val="0"/>
          <w:sz w:val="32"/>
          <w:szCs w:val="32"/>
          <w:lang w:val="en-US" w:eastAsia="zh-CN" w:bidi="ar"/>
        </w:rPr>
        <w:t>宁波市交通运输局 宁波市财政局</w:t>
      </w:r>
      <w:bookmarkStart w:id="1" w:name="_GoBack"/>
      <w:bookmarkEnd w:id="1"/>
    </w:p>
    <w:p w14:paraId="0572A3C8">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right"/>
        <w:textAlignment w:val="auto"/>
        <w:rPr>
          <w:rFonts w:hint="eastAsia" w:ascii="Times New Roman" w:hAnsi="Times New Roman" w:eastAsia="方正仿宋简体" w:cs="方正仿宋简体"/>
          <w:i w:val="0"/>
          <w:iCs w:val="0"/>
          <w:caps w:val="0"/>
          <w:color w:val="424242"/>
          <w:spacing w:val="0"/>
          <w:kern w:val="0"/>
          <w:sz w:val="32"/>
          <w:szCs w:val="32"/>
          <w:lang w:val="en-US" w:eastAsia="zh-CN" w:bidi="ar"/>
        </w:rPr>
      </w:pPr>
      <w:r>
        <w:rPr>
          <w:rFonts w:hint="eastAsia" w:ascii="Times New Roman" w:hAnsi="Times New Roman" w:eastAsia="方正仿宋简体" w:cs="方正仿宋简体"/>
          <w:i w:val="0"/>
          <w:iCs w:val="0"/>
          <w:caps w:val="0"/>
          <w:color w:val="424242"/>
          <w:spacing w:val="0"/>
          <w:kern w:val="0"/>
          <w:sz w:val="32"/>
          <w:szCs w:val="32"/>
          <w:lang w:val="en-US" w:eastAsia="zh-CN" w:bidi="ar"/>
        </w:rPr>
        <w:t>2023年5月10日</w:t>
      </w:r>
    </w:p>
    <w:p w14:paraId="0B299452">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center"/>
        <w:textAlignment w:val="auto"/>
        <w:rPr>
          <w:rFonts w:hint="eastAsia" w:ascii="微软雅黑" w:hAnsi="微软雅黑" w:eastAsia="微软雅黑" w:cs="微软雅黑"/>
          <w:b/>
          <w:bCs/>
          <w:i w:val="0"/>
          <w:iCs w:val="0"/>
          <w:caps w:val="0"/>
          <w:color w:val="424242"/>
          <w:spacing w:val="0"/>
          <w:kern w:val="0"/>
          <w:sz w:val="27"/>
          <w:szCs w:val="27"/>
          <w:lang w:val="en-US" w:eastAsia="zh-CN" w:bidi="ar"/>
        </w:rPr>
      </w:pPr>
      <w:r>
        <w:rPr>
          <w:rFonts w:hint="eastAsia" w:ascii="微软雅黑" w:hAnsi="微软雅黑" w:eastAsia="微软雅黑" w:cs="微软雅黑"/>
          <w:b/>
          <w:bCs/>
          <w:i w:val="0"/>
          <w:iCs w:val="0"/>
          <w:caps w:val="0"/>
          <w:color w:val="424242"/>
          <w:spacing w:val="0"/>
          <w:kern w:val="2"/>
          <w:sz w:val="27"/>
          <w:szCs w:val="27"/>
          <w:lang w:val="en-US" w:eastAsia="zh-CN" w:bidi="ar-SA"/>
        </w:rPr>
        <w:t>宁波市港口岸电奖补办法</w:t>
      </w:r>
    </w:p>
    <w:p w14:paraId="345D26EE">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为加强和规范岸电奖补工作管理，贯彻落实党的二十大报告提出的推进交通领域清洁低碳转型要求，进一步减少船舶靠港期间大气污染物排放，根据《港口和船舶岸电管理办法》（交通运输部令2021年第31号）、省交通厅等六部门《关于印发进一步推进靠港船舶使用岸电工作实施意见的通知》（浙交〔2020〕66号）和省交通厅《关于印发浙江省港口岸电奖补办法的通知》（浙交〔2022〕52号）等有关规定，结合本市实际，制定本办法。</w:t>
      </w:r>
    </w:p>
    <w:p w14:paraId="5C5AD746">
      <w:pPr>
        <w:snapToGrid w:val="0"/>
        <w:spacing w:line="570" w:lineRule="exact"/>
        <w:ind w:firstLine="623"/>
        <w:rPr>
          <w:rFonts w:hint="eastAsia" w:ascii="Calibri" w:hAnsi="Calibri" w:eastAsia="宋体" w:cs="Times New Roman"/>
        </w:rPr>
      </w:pPr>
      <w:r>
        <w:rPr>
          <w:rFonts w:hint="eastAsia" w:ascii="Times New Roman" w:hAnsi="Times New Roman" w:eastAsia="方正黑体简体" w:cs="Times New Roman"/>
          <w:sz w:val="32"/>
          <w:szCs w:val="32"/>
        </w:rPr>
        <w:t>一、奖补对象</w:t>
      </w:r>
    </w:p>
    <w:p w14:paraId="053ABC7D">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奖补对象为符合本办法奖补项目申报条件，按照港口经营管理有关规定，依法为靠泊我市港口码头的船舶提供岸电服务且具有健全的岸电管理制度的经营人。岸电是指船舶在码头靠泊期间，关闭船舶主引擎、辅助引擎等船用设备，转而使用岸基供电专用电力设备以及为新能源船舶提供充电服务的岸基充电设施（以下简称岸电设施），岸电管理制度包括岸电管理、使用、维护保养制度和操作规程、完整的使用记录、事故应急预案等。</w:t>
      </w:r>
    </w:p>
    <w:p w14:paraId="5C9125F1">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奖补项目包括：</w:t>
      </w:r>
    </w:p>
    <w:p w14:paraId="2B937923">
      <w:pPr>
        <w:snapToGrid w:val="0"/>
        <w:spacing w:line="570" w:lineRule="exact"/>
        <w:ind w:firstLine="643" w:firstLineChars="20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（一）港口岸电设施建设项目；</w:t>
      </w:r>
    </w:p>
    <w:p w14:paraId="602BBC46">
      <w:pPr>
        <w:snapToGrid w:val="0"/>
        <w:spacing w:line="570" w:lineRule="exact"/>
        <w:ind w:firstLine="643" w:firstLineChars="20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（二）低压岸电接插口改造项目；</w:t>
      </w:r>
    </w:p>
    <w:p w14:paraId="2143E838">
      <w:pPr>
        <w:snapToGrid w:val="0"/>
        <w:spacing w:line="570" w:lineRule="exact"/>
        <w:ind w:firstLine="643" w:firstLineChars="200"/>
        <w:rPr>
          <w:rFonts w:hint="eastAsia" w:ascii="Times New Roman" w:hAnsi="Times New Roman" w:eastAsia="方正楷体简体" w:cs="Times New Roman"/>
          <w:b/>
          <w:sz w:val="32"/>
          <w:szCs w:val="32"/>
        </w:rPr>
      </w:pPr>
      <w:r>
        <w:rPr>
          <w:rFonts w:hint="eastAsia" w:ascii="Times New Roman" w:hAnsi="Times New Roman" w:eastAsia="方正楷体简体" w:cs="Times New Roman"/>
          <w:b/>
          <w:sz w:val="32"/>
          <w:szCs w:val="32"/>
        </w:rPr>
        <w:t>（三）岸电智能化数据接口改造项目；</w:t>
      </w:r>
    </w:p>
    <w:p w14:paraId="0E3C429E">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（四）岸电供电服务项目。</w:t>
      </w:r>
    </w:p>
    <w:p w14:paraId="514DDA64">
      <w:pPr>
        <w:snapToGrid w:val="0"/>
        <w:spacing w:line="570" w:lineRule="exact"/>
        <w:ind w:firstLine="623"/>
        <w:rPr>
          <w:rFonts w:hint="eastAsia" w:ascii="Calibri" w:hAnsi="Calibri" w:eastAsia="宋体" w:cs="Times New Roman"/>
        </w:rPr>
      </w:pPr>
      <w:r>
        <w:rPr>
          <w:rFonts w:hint="eastAsia" w:ascii="Times New Roman" w:hAnsi="Times New Roman" w:eastAsia="方正黑体简体" w:cs="Times New Roman"/>
          <w:sz w:val="32"/>
          <w:szCs w:val="32"/>
        </w:rPr>
        <w:t>二、项目申报条件</w:t>
      </w:r>
    </w:p>
    <w:p w14:paraId="5FF5B425">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（一）申报岸电设施建设项目奖补的，应同时具备以下条件：</w:t>
      </w:r>
    </w:p>
    <w:p w14:paraId="20CEC56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1.项目建设场所为2020年2月1日前已建成的沿海、内河港口码头泊位；</w:t>
      </w:r>
    </w:p>
    <w:p w14:paraId="1A41DD5B">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2.项目于2020年2月1日至2025年12月31日期间完成建设验收；</w:t>
      </w:r>
    </w:p>
    <w:p w14:paraId="301AF01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3.项目已通过具备能力的第三方检验机构检验或认证；</w:t>
      </w:r>
    </w:p>
    <w:p w14:paraId="43F7375B">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4.承诺按要求将该岸电使用数据实时接入建成后的岸电服务平台。</w:t>
      </w:r>
    </w:p>
    <w:p w14:paraId="30868A69">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（二）申报低压岸电接插口改造项目奖补的，应同时具备以下条件：</w:t>
      </w:r>
    </w:p>
    <w:p w14:paraId="5F2EA9C9">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改造对象为不满足现行标准和规范要求的低压岸电设施，现行标准和规范是指《工业用插头插座和耦合器第5部分：低压岸电连接系统（LVSC系统）用插头、插座、船用连接器和船用输入插座的尺寸兼容性和互换性要求》（GB/T 11918.5—2020）；</w:t>
      </w:r>
    </w:p>
    <w:p w14:paraId="0815B144">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2.项目于2021年１月１日至2023年12月31日期间完成改造并通过具备能力的第三方检验机构检验或认证；</w:t>
      </w:r>
    </w:p>
    <w:p w14:paraId="276C85D1">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3.承诺按照要求将该项目使用数据实时接入建成后的岸电服务平台。</w:t>
      </w:r>
    </w:p>
    <w:p w14:paraId="46FCDE8B">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（三）申报岸电智能化数据接口改造改造项目奖补的，应同时具备以下条件：</w:t>
      </w:r>
    </w:p>
    <w:p w14:paraId="295AA170">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1.项目改造完成后应符合智能化数据接口技术要求；</w:t>
      </w:r>
    </w:p>
    <w:p w14:paraId="11346C75">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2.项目应在智能化数据接口技术要求发布实施之日起十二个月内完成改造；</w:t>
      </w:r>
    </w:p>
    <w:p w14:paraId="4E3093F8">
      <w:pPr>
        <w:snapToGrid w:val="0"/>
        <w:spacing w:line="570" w:lineRule="exact"/>
        <w:ind w:firstLine="640" w:firstLineChars="200"/>
        <w:rPr>
          <w:rFonts w:hint="eastAsia" w:ascii="Calibri" w:hAnsi="Calibri" w:eastAsia="宋体" w:cs="Times New Roman"/>
        </w:rPr>
      </w:pPr>
      <w:r>
        <w:rPr>
          <w:rFonts w:hint="eastAsia" w:ascii="Times New Roman" w:hAnsi="Times New Roman" w:eastAsia="方正仿宋简体" w:cs="Times New Roman"/>
          <w:sz w:val="32"/>
          <w:szCs w:val="32"/>
        </w:rPr>
        <w:t>3.实现数据实时接入建成后的岸电服务平台。</w:t>
      </w:r>
    </w:p>
    <w:p w14:paraId="48C7CCC8">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（四）申报港口岸电供电服务项目奖补的，应同时具备以下条件：</w:t>
      </w:r>
    </w:p>
    <w:p w14:paraId="6B6BF0FE">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1.岸电设施已通过具备能力的第三方检验机构检验或认证；</w:t>
      </w:r>
    </w:p>
    <w:p w14:paraId="3951AC4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2.承诺按照要求将岸电使用数据实时接入建成后的岸电服务平台；</w:t>
      </w:r>
    </w:p>
    <w:p w14:paraId="288865AA">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3.2023年1月1日至2025年12月31日期间，为靠泊我市港口码头的船舶提供岸电服务，且向船方收取的岸电费用不高于0.3元/千瓦时。</w:t>
      </w:r>
    </w:p>
    <w:p w14:paraId="7CF4AC63">
      <w:pPr>
        <w:snapToGrid w:val="0"/>
        <w:spacing w:line="570" w:lineRule="exact"/>
        <w:ind w:firstLine="623"/>
        <w:rPr>
          <w:rFonts w:hint="eastAsia" w:ascii="Calibri" w:hAnsi="Calibri" w:eastAsia="宋体" w:cs="Times New Roman"/>
        </w:rPr>
      </w:pPr>
      <w:r>
        <w:rPr>
          <w:rFonts w:hint="eastAsia" w:ascii="Times New Roman" w:hAnsi="Times New Roman" w:eastAsia="方正黑体简体" w:cs="Times New Roman"/>
          <w:sz w:val="32"/>
          <w:szCs w:val="32"/>
        </w:rPr>
        <w:t>三、奖补标准</w:t>
      </w:r>
    </w:p>
    <w:p w14:paraId="21A1C692">
      <w:pPr>
        <w:snapToGrid w:val="0"/>
        <w:spacing w:line="570" w:lineRule="exact"/>
        <w:ind w:firstLine="643" w:firstLineChars="200"/>
        <w:rPr>
          <w:rFonts w:hint="eastAsia" w:ascii="Calibri" w:hAnsi="Calibri" w:eastAsia="宋体" w:cs="Times New Roman"/>
        </w:rPr>
      </w:pPr>
      <w:r>
        <w:rPr>
          <w:rFonts w:hint="eastAsia" w:ascii="Times New Roman" w:hAnsi="Times New Roman" w:eastAsia="方正楷体简体" w:cs="Times New Roman"/>
          <w:b/>
          <w:sz w:val="32"/>
          <w:szCs w:val="32"/>
        </w:rPr>
        <w:t>（一）港口岸电设施建设项目</w:t>
      </w:r>
    </w:p>
    <w:p w14:paraId="5DEE6882">
      <w:pPr>
        <w:snapToGrid w:val="0"/>
        <w:spacing w:line="570" w:lineRule="exact"/>
        <w:ind w:firstLine="640" w:firstLineChars="200"/>
        <w:rPr>
          <w:rFonts w:hint="eastAsia" w:ascii="Times New Roman" w:hAnsi="Times New Roman" w:eastAsia="方正仿宋简体" w:cs="Times New Roman"/>
          <w:sz w:val="32"/>
          <w:szCs w:val="32"/>
        </w:rPr>
      </w:pPr>
      <w:r>
        <w:rPr>
          <w:rFonts w:hint="eastAsia" w:ascii="Times New Roman" w:hAnsi="Times New Roman" w:eastAsia="方正仿宋简体" w:cs="Times New Roman"/>
          <w:sz w:val="32"/>
          <w:szCs w:val="32"/>
        </w:rPr>
        <w:t>对于2020年2月1日至 2023年12月31日期间完成建设验收的项目，其发生的设备购置及安装费用在相应的定额基数内（含）据实给予45%的奖励；对于2024年1月1日至2025年12月31日期间完成建设验收的项目，其发生的设备购置及安装费用在相应的定额基数内（含）据实给予30%的奖励。定额基数详见下表：</w:t>
      </w:r>
    </w:p>
    <w:p w14:paraId="09A3A142">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Times New Roman" w:hAnsi="Times New Roman" w:eastAsia="方正小标宋简体" w:cs="方正小标宋简体"/>
          <w:sz w:val="44"/>
          <w:szCs w:val="44"/>
          <w:lang w:eastAsia="zh-CN"/>
        </w:rPr>
      </w:pPr>
      <w:r>
        <w:rPr>
          <w:rFonts w:hint="eastAsia" w:ascii="方正仿宋简体" w:hAnsi="方正仿宋简体" w:eastAsia="方正仿宋简体" w:cs="方正仿宋简体"/>
          <w:sz w:val="32"/>
          <w:szCs w:val="32"/>
          <w:lang w:eastAsia="zh-CN"/>
        </w:rPr>
        <w:pict>
          <v:shape id="_x0000_i1031" o:spt="75" alt="图片1" type="#_x0000_t75" style="height:399.6pt;width:442.1pt;" filled="f" o:preferrelative="t" stroked="f" coordsize="21600,21600">
            <v:path/>
            <v:fill on="f" focussize="0,0"/>
            <v:stroke on="f"/>
            <v:imagedata r:id="rId14" o:title="图片1"/>
            <o:lock v:ext="edit" aspectratio="t"/>
            <w10:wrap type="none"/>
            <w10:anchorlock/>
          </v:shape>
        </w:pict>
      </w:r>
    </w:p>
    <w:p w14:paraId="56A14D96">
      <w:pPr>
        <w:keepNext w:val="0"/>
        <w:keepLines w:val="0"/>
        <w:pageBreakBefore w:val="0"/>
        <w:widowControl w:val="0"/>
        <w:kinsoku/>
        <w:wordWrap/>
        <w:overflowPunct/>
        <w:topLinePunct w:val="0"/>
        <w:autoSpaceDE/>
        <w:autoSpaceDN/>
        <w:bidi w:val="0"/>
        <w:adjustRightInd/>
        <w:snapToGrid w:val="0"/>
        <w:spacing w:line="570" w:lineRule="exact"/>
        <w:jc w:val="center"/>
        <w:textAlignment w:val="auto"/>
        <w:rPr>
          <w:rFonts w:hint="eastAsia" w:ascii="Times New Roman" w:hAnsi="Times New Roman" w:eastAsia="方正小标宋简体" w:cs="方正小标宋简体"/>
          <w:sz w:val="44"/>
          <w:szCs w:val="44"/>
        </w:rPr>
      </w:pPr>
      <w:r>
        <w:rPr>
          <w:rFonts w:hint="eastAsia" w:ascii="Times New Roman" w:hAnsi="Times New Roman" w:eastAsia="方正小标宋简体" w:cs="方正小标宋简体"/>
          <w:sz w:val="44"/>
          <w:szCs w:val="44"/>
        </w:rPr>
        <w:t>《宁波舟山港总体规划（2035年）》</w:t>
      </w:r>
    </w:p>
    <w:p w14:paraId="24330A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方正仿宋简体" w:cs="Times New Roman"/>
          <w:sz w:val="32"/>
          <w:szCs w:val="32"/>
          <w:lang w:eastAsia="zh-CN"/>
        </w:rPr>
      </w:pPr>
      <w:r>
        <w:rPr>
          <w:rFonts w:hint="eastAsia" w:ascii="Times New Roman" w:hAnsi="Times New Roman" w:eastAsia="方正仿宋简体" w:cs="微软雅黑"/>
          <w:i w:val="0"/>
          <w:iCs w:val="0"/>
          <w:caps w:val="0"/>
          <w:color w:val="424242"/>
          <w:spacing w:val="0"/>
          <w:kern w:val="0"/>
          <w:sz w:val="32"/>
          <w:szCs w:val="32"/>
          <w:lang w:val="en-US" w:eastAsia="zh-CN" w:bidi="ar"/>
        </w:rPr>
        <w:t>《宁波舟山港总体规划（修订）》部省联合评审会议在我市举行。经审议，由交通运输部原总工程师蒋千担任组长的专家组一致同意规划修订方案通过评审，获部省联合批复。</w:t>
      </w:r>
    </w:p>
    <w:p w14:paraId="6B362642">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0"/>
        <w:jc w:val="righ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2024-10-16</w:t>
      </w:r>
    </w:p>
    <w:p w14:paraId="776C5A2D">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宁波舟山港总体规划（2035年）》近日已获交通运输部和浙江省人民政府联合批复，标志着我省世界一流强港建设取得重要规划支撑。预测到2035年，宁波舟山港货物吞吐量达18亿吨、集装箱吞吐量达6000万标准箱，将有力支撑大宗商品资源全球配置能力建设、浙江高水平开放融合发展、甬舟共建全球海洋中心城市。这是记者昨天从我市举行的《宁波舟山港总体规划（2035年）》新闻发布会上获悉的。</w:t>
      </w:r>
    </w:p>
    <w:p w14:paraId="48CAA3CB">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宁波舟山港作为全国沿海主要港口之一，是国家综合运输大通道的重要枢纽和国内、国际物流的重要节点。近年来，宁波舟山港建设发展面临的形势发生了深刻变化，一批重大产业、重大能源、重大基础设施项目加快推进，对新时期宁波舟山港规划建设提出了更高要求。</w:t>
      </w:r>
    </w:p>
    <w:p w14:paraId="6FA46631">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自2021年9月总规修订启动以来，我市全力做好港口规划和专题专项研究等基础支撑工作，完成舟山市域港口相关内容编制，共梳理总规修订需求58条并全部纳规，为未来我市涉港涉海项目落地和一流强港建设提供了规划支撑。新版总规对原总规进行了系统性优化调整，部分特色亮点工作涉及舟山。</w:t>
      </w:r>
    </w:p>
    <w:p w14:paraId="35AC0EF8">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在空间格局方面，宁波舟山港规划形成“一港、两核、二十区”的总体空间格局。其中，“一港”即宁波舟山港；“两核”即中部核心区和北部核心区，中部核心区由北仑、大榭、穿山、梅山、金塘、岑港、六横、定海、沈家门港区组成，是宁波舟山港的港口发展起源；北部核心区由衢山、嵊泗、洋山港区组成，是快速发展的新兴核心区；在上一轮规划19个港区基础上，新增了舟山与宁波共建的杭州湾港区，形成“二十区”，其中舟山有11个港区。</w:t>
      </w:r>
    </w:p>
    <w:p w14:paraId="121E0499">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建设杭州湾港区，与舟山息息相关。由于现有水路滚装通道和跨海大桥等陆路通道的运输体量有限，在杭州湾南岸新增港区，开辟水路滚装新通道，将为保障自贸试验区油气全产业链化工辅料和生产助剂安全运输提供支撑。</w:t>
      </w:r>
    </w:p>
    <w:p w14:paraId="1D63F6D8">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航道锚地是支撑世界一流强港建设的关键资源，主要集中在我市管辖水域。本次航道锚地布局规划，总体目标是服务全国、支持上海、保障浙江，着力解决航道通航能力不足和锚地供应不足两大突出矛盾。在航道布局方面，布局“两干、三纵、四横”航道体系，总体上设置主航道15条，支航道60条，航道总里程1635km。相比现状航道，新增航道里程642km，增幅达65%。在锚地布局方面，创新性地调整了锚地功能分类，新增了以海上补给、技术服务、检验检测等作业为主的海事服务类锚地，同时新增了服务沿海过路船舶和周边上海、宁波等港口船舶锚泊的共建共享锚地。此次共设置锚地117个，总面积796平方公里，相比现状，锚地数量增加47个，总面积增加353平方公里。</w:t>
      </w:r>
    </w:p>
    <w:p w14:paraId="7A01859A">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值得一提的是，新版总规提出将建设以集装箱、大宗散货运输为主的国际枢纽海港，打造长三角及长江沿线大宗商品中转储运基地和江海联运服务中心，不断增强港口服务国家战略能力。重点提升集装箱国际枢纽港码头能力，统筹梅山、佛渡、六横、金塘等集装箱岸线资源开发，支撑打造五个千万箱级港区。重点提升大宗散货通过能力，支撑油气、煤炭、矿石等三大亿吨级大宗散货专业化泊位群能力持续增强。</w:t>
      </w:r>
    </w:p>
    <w:p w14:paraId="08D80E83">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据悉，今明两年宁波舟山港佛渡作业区集装箱码头、大榭集装箱码头二期、梅山滚装码头二期、金塘新材料项目码头工程等超30个项目将开工，梅山、衢山、马迹山港口基础设施等重点项目继续加快建设。其中，浙江海港佛渡集装箱码头有限公司将投资约65亿元建设佛渡作业区一期工程，计划2025年10月开工，设计年吞吐量200万标准箱。</w:t>
      </w:r>
    </w:p>
    <w:p w14:paraId="16331302">
      <w:pPr>
        <w:keepNext w:val="0"/>
        <w:keepLines w:val="0"/>
        <w:pageBreakBefore w:val="0"/>
        <w:widowControl/>
        <w:suppressLineNumbers w:val="0"/>
        <w:kinsoku/>
        <w:wordWrap/>
        <w:overflowPunct/>
        <w:topLinePunct w:val="0"/>
        <w:autoSpaceDE/>
        <w:autoSpaceDN/>
        <w:bidi w:val="0"/>
        <w:adjustRightInd/>
        <w:snapToGrid/>
        <w:spacing w:before="0" w:beforeAutospacing="0" w:after="375" w:afterAutospacing="0" w:line="570" w:lineRule="exact"/>
        <w:ind w:left="0" w:right="0" w:firstLine="640" w:firstLineChars="200"/>
        <w:jc w:val="left"/>
        <w:textAlignment w:val="auto"/>
        <w:rPr>
          <w:rFonts w:hint="eastAsia" w:ascii="Times New Roman" w:hAnsi="Times New Roman" w:eastAsia="方正仿宋简体" w:cs="微软雅黑"/>
          <w:i w:val="0"/>
          <w:iCs w:val="0"/>
          <w:caps w:val="0"/>
          <w:color w:val="424242"/>
          <w:spacing w:val="0"/>
          <w:kern w:val="0"/>
          <w:sz w:val="32"/>
          <w:szCs w:val="32"/>
          <w:lang w:val="en-US" w:eastAsia="zh-CN" w:bidi="ar"/>
        </w:rPr>
      </w:pPr>
      <w:r>
        <w:rPr>
          <w:rFonts w:hint="eastAsia" w:ascii="Times New Roman" w:hAnsi="Times New Roman" w:eastAsia="方正仿宋简体" w:cs="微软雅黑"/>
          <w:i w:val="0"/>
          <w:iCs w:val="0"/>
          <w:caps w:val="0"/>
          <w:color w:val="424242"/>
          <w:spacing w:val="0"/>
          <w:kern w:val="0"/>
          <w:sz w:val="32"/>
          <w:szCs w:val="32"/>
          <w:lang w:val="en-US" w:eastAsia="zh-CN" w:bidi="ar"/>
        </w:rPr>
        <w:t>市港航和口岸管理局有关人士表示，总规修订完成后，将有力推动一批国家重大战略项目加快落地舟山。下步将严格落实规划方案，加快重大港口项目审批建设，保障国家重大战略实施，推动绿色智慧安全港口建设，着力提升港口效能，促进港产城融合发展，努力实现宁波舟山港由世界吞吐量第一大港向世界一流强港转型升级，确保宁波舟山港以更完备的基础设施和更强大的联运能力，当好服务国家重大战略的开路先锋，助力长三角乃至全国高水平对外开放。</w:t>
      </w:r>
    </w:p>
    <w:p w14:paraId="7B4CB0AF">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方正仿宋简体" w:hAnsi="方正仿宋简体" w:eastAsia="方正仿宋简体" w:cs="方正仿宋简体"/>
          <w:sz w:val="32"/>
          <w:szCs w:val="32"/>
          <w:lang w:eastAsia="zh-CN"/>
        </w:rPr>
      </w:pPr>
    </w:p>
    <w:p w14:paraId="3A550835">
      <w:pPr>
        <w:keepNext w:val="0"/>
        <w:keepLines w:val="0"/>
        <w:pageBreakBefore w:val="0"/>
        <w:widowControl w:val="0"/>
        <w:kinsoku/>
        <w:wordWrap/>
        <w:overflowPunct/>
        <w:topLinePunct w:val="0"/>
        <w:autoSpaceDE/>
        <w:autoSpaceDN/>
        <w:bidi w:val="0"/>
        <w:adjustRightInd/>
        <w:snapToGrid w:val="0"/>
        <w:spacing w:line="570" w:lineRule="exact"/>
        <w:ind w:firstLine="640" w:firstLineChars="200"/>
        <w:jc w:val="left"/>
        <w:textAlignment w:val="auto"/>
        <w:rPr>
          <w:rFonts w:hint="eastAsia" w:ascii="Times New Roman" w:hAnsi="Times New Roman" w:eastAsia="方正仿宋简体" w:cs="方正仿宋简体"/>
          <w:sz w:val="32"/>
          <w:szCs w:val="32"/>
        </w:rPr>
      </w:pPr>
    </w:p>
    <w:sectPr>
      <w:headerReference r:id="rId7" w:type="default"/>
      <w:footerReference r:id="rId8" w:type="default"/>
      <w:footerReference r:id="rId9" w:type="even"/>
      <w:pgSz w:w="11906" w:h="16838"/>
      <w:pgMar w:top="2098" w:right="1474" w:bottom="1985" w:left="1588" w:header="851" w:footer="1418"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E195C3B-DB5E-4246-B292-449217ED98F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8144915-A0EE-4630-B2F3-BECE9C06289D}"/>
  </w:font>
  <w:font w:name="方正小标宋简体">
    <w:panose1 w:val="02010601030101010101"/>
    <w:charset w:val="86"/>
    <w:family w:val="auto"/>
    <w:pitch w:val="default"/>
    <w:sig w:usb0="00000001" w:usb1="080E0000" w:usb2="00000000" w:usb3="00000000" w:csb0="00040000" w:csb1="00000000"/>
  </w:font>
  <w:font w:name="方正楷体简体">
    <w:panose1 w:val="02000000000000000000"/>
    <w:charset w:val="86"/>
    <w:family w:val="auto"/>
    <w:pitch w:val="default"/>
    <w:sig w:usb0="A00002BF" w:usb1="184F6CFA" w:usb2="00000012" w:usb3="00000000" w:csb0="00040001" w:csb1="00000000"/>
    <w:embedRegular r:id="rId3" w:fontKey="{C313D0DC-EB76-4A35-8DFE-045EB501547F}"/>
  </w:font>
  <w:font w:name="方正仿宋简体">
    <w:panose1 w:val="02000000000000000000"/>
    <w:charset w:val="86"/>
    <w:family w:val="auto"/>
    <w:pitch w:val="default"/>
    <w:sig w:usb0="A00002BF" w:usb1="184F6CFA" w:usb2="00000012" w:usb3="00000000" w:csb0="00040001" w:csb1="00000000"/>
    <w:embedRegular r:id="rId4" w:fontKey="{43ACE4CB-9122-4201-AEF9-D51CBB2040A2}"/>
  </w:font>
  <w:font w:name="方正黑体简体">
    <w:panose1 w:val="02000000000000000000"/>
    <w:charset w:val="86"/>
    <w:family w:val="auto"/>
    <w:pitch w:val="default"/>
    <w:sig w:usb0="00000001" w:usb1="080E0000" w:usb2="00000000" w:usb3="00000000" w:csb0="00040000" w:csb1="00000000"/>
    <w:embedRegular r:id="rId5" w:fontKey="{09B78A20-67E7-4769-8EE0-ECD7CE31092D}"/>
  </w:font>
  <w:font w:name="方正楷体简字">
    <w:altName w:val="宋体"/>
    <w:panose1 w:val="00000000000000000000"/>
    <w:charset w:val="00"/>
    <w:family w:val="auto"/>
    <w:pitch w:val="default"/>
    <w:sig w:usb0="00000000" w:usb1="00000000" w:usb2="00000000" w:usb3="00000000" w:csb0="00040001" w:csb1="00000000"/>
    <w:embedRegular r:id="rId6" w:fontKey="{AD27EA91-3E52-4487-AD26-96246F6373C0}"/>
  </w:font>
  <w:font w:name="微软雅黑">
    <w:panose1 w:val="020B0503020204020204"/>
    <w:charset w:val="86"/>
    <w:family w:val="auto"/>
    <w:pitch w:val="default"/>
    <w:sig w:usb0="80000287" w:usb1="2ACF3C50" w:usb2="00000016" w:usb3="00000000" w:csb0="0004001F" w:csb1="00000000"/>
    <w:embedRegular r:id="rId7" w:fontKey="{8EE59DC1-DC9E-46D4-8F2F-7373DB444908}"/>
  </w:font>
  <w:font w:name="Helvetica">
    <w:altName w:val="Arial"/>
    <w:panose1 w:val="020B0604020202020204"/>
    <w:charset w:val="00"/>
    <w:family w:val="swiss"/>
    <w:pitch w:val="default"/>
    <w:sig w:usb0="00000000" w:usb1="00000000" w:usb2="00000009" w:usb3="00000000" w:csb0="000001FF" w:csb1="00000000"/>
    <w:embedRegular r:id="rId8" w:fontKey="{3E998A25-6267-4DA8-BDD5-3FC9C85BF39D}"/>
  </w:font>
  <w:font w:name="仿宋_GB2312">
    <w:panose1 w:val="02010609030101010101"/>
    <w:charset w:val="86"/>
    <w:family w:val="modern"/>
    <w:pitch w:val="default"/>
    <w:sig w:usb0="00000001" w:usb1="080E0000" w:usb2="00000000" w:usb3="00000000" w:csb0="00040000" w:csb1="00000000"/>
    <w:embedRegular r:id="rId9" w:fontKey="{A061D357-ED99-40AD-8535-A926FEA90207}"/>
  </w:font>
  <w:font w:name="等线 Light">
    <w:panose1 w:val="02010600030101010101"/>
    <w:charset w:val="86"/>
    <w:family w:val="auto"/>
    <w:pitch w:val="default"/>
    <w:sig w:usb0="A00002BF" w:usb1="38CF7CFA" w:usb2="00000016" w:usb3="00000000" w:csb0="0004000F" w:csb1="00000000"/>
  </w:font>
  <w:font w:name="方正仿宋_GB2312">
    <w:altName w:val="仿宋"/>
    <w:panose1 w:val="02000000000000000000"/>
    <w:charset w:val="86"/>
    <w:family w:val="auto"/>
    <w:pitch w:val="default"/>
    <w:sig w:usb0="00000000" w:usb1="00000000" w:usb2="00000012" w:usb3="00000000" w:csb0="00040001" w:csb1="00000000"/>
    <w:embedRegular r:id="rId10" w:fontKey="{37BC1C23-1D22-40BC-9863-A23DB403C30C}"/>
  </w:font>
  <w:font w:name="楷体_GB2312">
    <w:panose1 w:val="02010609030101010101"/>
    <w:charset w:val="86"/>
    <w:family w:val="auto"/>
    <w:pitch w:val="default"/>
    <w:sig w:usb0="00000001" w:usb1="080E0000" w:usb2="00000000" w:usb3="00000000" w:csb0="00040000" w:csb1="00000000"/>
    <w:embedRegular r:id="rId11" w:fontKey="{C1380E18-1BDC-43F0-9950-F787C6BE87FB}"/>
  </w:font>
  <w:font w:name="等线">
    <w:panose1 w:val="02010600030101010101"/>
    <w:charset w:val="86"/>
    <w:family w:val="auto"/>
    <w:pitch w:val="default"/>
    <w:sig w:usb0="A00002BF" w:usb1="38CF7CFA" w:usb2="00000016" w:usb3="00000000" w:csb0="0004000F" w:csb1="00000000"/>
    <w:embedRegular r:id="rId12" w:fontKey="{2F524D60-FCE5-42A1-AFCD-C8D4C54510BB}"/>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embedRegular r:id="rId13" w:fontKey="{D1017667-067B-487F-B14B-5A68D932C318}"/>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embedRegular r:id="rId14" w:fontKey="{4EF74827-9C1F-4954-AB75-3B781E58D4FA}"/>
  </w:font>
  <w:font w:name="方正公文小标宋">
    <w:panose1 w:val="02000500000000000000"/>
    <w:charset w:val="86"/>
    <w:family w:val="auto"/>
    <w:pitch w:val="default"/>
    <w:sig w:usb0="A00002BF" w:usb1="38CF7CFA" w:usb2="00000016" w:usb3="00000000" w:csb0="00040001"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B28AD">
    <w:pPr>
      <w:spacing w:after="160" w:line="334" w:lineRule="exact"/>
      <w:ind w:left="136" w:right="-200"/>
      <w:jc w:val="center"/>
      <w:rPr>
        <w:rFonts w:ascii="Times New Roman" w:hAnsi="Times New Roman" w:eastAsia="Times New Roman" w:cs="Times New Roman"/>
        <w:sz w:val="26"/>
        <w:szCs w:val="26"/>
      </w:rPr>
    </w:pPr>
    <w:r>
      <w:rPr>
        <w:sz w:val="26"/>
      </w:rPr>
      <w:pict>
        <v:shape id="_x0000_s1034" o:spid="_x0000_s1034" o:spt="202" type="#_x0000_t202" style="position:absolute;left:0pt;margin-top:0pt;height:144pt;width:94.75pt;mso-position-horizontal:center;mso-position-horizontal-relative:margin;z-index:251662336;mso-width-relative:page;mso-height-relative:page;" filled="f" stroked="f" coordsize="21600,21600">
          <v:path/>
          <v:fill on="f" focussize="0,0"/>
          <v:stroke on="f"/>
          <v:imagedata o:title=""/>
          <o:lock v:ext="edit" aspectratio="f"/>
          <v:textbox inset="0mm,0mm,0mm,0mm" style="mso-fit-shape-to-text:t;">
            <w:txbxContent>
              <w:p w14:paraId="30B15B24">
                <w:pPr>
                  <w:spacing w:after="160" w:line="334" w:lineRule="exact"/>
                  <w:ind w:left="136" w:right="-200"/>
                  <w:jc w:val="center"/>
                </w:pPr>
                <w:r>
                  <w:t xml:space="preserve">— </w:t>
                </w:r>
                <w:r>
                  <w:fldChar w:fldCharType="begin"/>
                </w:r>
                <w:r>
                  <w:instrText xml:space="preserve"> PAGE  \* MERGEFORMAT </w:instrText>
                </w:r>
                <w:r>
                  <w:fldChar w:fldCharType="separate"/>
                </w:r>
                <w:r>
                  <w:t>1</w:t>
                </w:r>
                <w:r>
                  <w:fldChar w:fldCharType="end"/>
                </w:r>
                <w: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A2C80">
    <w:pPr>
      <w:spacing w:after="160" w:line="334" w:lineRule="exact"/>
      <w:ind w:left="136" w:right="-20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11</w:t>
    </w:r>
    <w:r>
      <w:rPr>
        <w:rFonts w:ascii="Times New Roman" w:hAnsi="Times New Roman" w:eastAsia="Times New Roman" w:cs="Times New Roman"/>
        <w:color w:val="000000"/>
        <w:sz w:val="26"/>
        <w:szCs w:val="26"/>
      </w:rPr>
      <w:fldChar w:fldCharType="end"/>
    </w:r>
    <w:r>
      <w:rPr>
        <w:rFonts w:ascii="Times New Roman" w:hAnsi="Times New Roman" w:eastAsia="Times New Roman" w:cs="Times New Roman"/>
        <w:color w:val="000000"/>
        <w:sz w:val="26"/>
        <w:szCs w:val="26"/>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F74F0">
    <w:pPr>
      <w:tabs>
        <w:tab w:val="center" w:pos="4153"/>
        <w:tab w:val="right" w:pos="8306"/>
      </w:tabs>
      <w:snapToGrid w:val="0"/>
      <w:jc w:val="left"/>
      <w:rPr>
        <w:rFonts w:ascii="Calibri" w:hAnsi="Calibri" w:eastAsia="宋体" w:cs="Times New Roman"/>
        <w:sz w:val="18"/>
        <w:szCs w:val="24"/>
        <w:lang w:val="en-US" w:eastAsia="en-US" w:bidi="ar-SA"/>
      </w:rPr>
    </w:pPr>
    <w:r>
      <w:rPr>
        <w:rFonts w:ascii="Calibri" w:hAnsi="Calibri" w:eastAsia="宋体" w:cs="Times New Roman"/>
        <w:sz w:val="18"/>
        <w:szCs w:val="24"/>
        <w:lang w:val="en-US" w:eastAsia="en-US" w:bidi="ar-SA"/>
      </w:rPr>
      <w:pict>
        <v:shape id="文本框 1" o:spid="_x0000_s102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14:paraId="5D4AA949">
                <w:pPr>
                  <w:tabs>
                    <w:tab w:val="center" w:pos="4153"/>
                    <w:tab w:val="right" w:pos="8306"/>
                  </w:tabs>
                  <w:snapToGrid w:val="0"/>
                  <w:jc w:val="left"/>
                  <w:rPr>
                    <w:rFonts w:ascii="Calibri" w:hAnsi="Calibri" w:eastAsia="宋体" w:cs="Times New Roman"/>
                    <w:sz w:val="18"/>
                    <w:szCs w:val="24"/>
                    <w:lang w:val="en-US" w:eastAsia="en-US" w:bidi="ar-SA"/>
                  </w:rPr>
                </w:pPr>
                <w:r>
                  <w:rPr>
                    <w:rFonts w:ascii="Calibri" w:hAnsi="Calibri" w:eastAsia="宋体" w:cs="Times New Roman"/>
                    <w:sz w:val="18"/>
                    <w:szCs w:val="24"/>
                    <w:lang w:val="en-US" w:eastAsia="en-US" w:bidi="ar-SA"/>
                  </w:rPr>
                  <w:t xml:space="preserve">— </w:t>
                </w:r>
                <w:r>
                  <w:rPr>
                    <w:rFonts w:ascii="Calibri" w:hAnsi="Calibri" w:eastAsia="宋体" w:cs="Times New Roman"/>
                    <w:sz w:val="18"/>
                    <w:szCs w:val="24"/>
                    <w:lang w:val="en-US" w:eastAsia="en-US" w:bidi="ar-SA"/>
                  </w:rPr>
                  <w:fldChar w:fldCharType="begin"/>
                </w:r>
                <w:r>
                  <w:rPr>
                    <w:rFonts w:ascii="Calibri" w:hAnsi="Calibri" w:eastAsia="宋体" w:cs="Times New Roman"/>
                    <w:sz w:val="18"/>
                    <w:szCs w:val="24"/>
                    <w:lang w:val="en-US" w:eastAsia="en-US" w:bidi="ar-SA"/>
                  </w:rPr>
                  <w:instrText xml:space="preserve"> PAGE  \* MERGEFORMAT </w:instrText>
                </w:r>
                <w:r>
                  <w:rPr>
                    <w:rFonts w:ascii="Calibri" w:hAnsi="Calibri" w:eastAsia="宋体" w:cs="Times New Roman"/>
                    <w:sz w:val="18"/>
                    <w:szCs w:val="24"/>
                    <w:lang w:val="en-US" w:eastAsia="en-US" w:bidi="ar-SA"/>
                  </w:rPr>
                  <w:fldChar w:fldCharType="separate"/>
                </w:r>
                <w:r>
                  <w:rPr>
                    <w:rFonts w:ascii="Calibri" w:hAnsi="Calibri" w:eastAsia="宋体" w:cs="Times New Roman"/>
                    <w:sz w:val="18"/>
                    <w:szCs w:val="24"/>
                    <w:lang w:val="en-US" w:eastAsia="en-US" w:bidi="ar-SA"/>
                  </w:rPr>
                  <w:t>129</w:t>
                </w:r>
                <w:r>
                  <w:rPr>
                    <w:rFonts w:ascii="Calibri" w:hAnsi="Calibri" w:eastAsia="宋体" w:cs="Times New Roman"/>
                    <w:sz w:val="18"/>
                    <w:szCs w:val="24"/>
                    <w:lang w:val="en-US" w:eastAsia="en-US" w:bidi="ar-SA"/>
                  </w:rPr>
                  <w:fldChar w:fldCharType="end"/>
                </w:r>
                <w:r>
                  <w:rPr>
                    <w:rFonts w:ascii="Calibri" w:hAnsi="Calibri" w:eastAsia="宋体" w:cs="Times New Roman"/>
                    <w:sz w:val="18"/>
                    <w:szCs w:val="24"/>
                    <w:lang w:val="en-US" w:eastAsia="en-US" w:bidi="ar-SA"/>
                  </w:rPr>
                  <w:t xml:space="preserve"> —</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EE4FD">
    <w:pPr>
      <w:snapToGrid w:val="0"/>
      <w:jc w:val="left"/>
      <w:rPr>
        <w:rFonts w:ascii="Calibri" w:hAnsi="Calibri" w:eastAsia="宋体" w:cs="Times New Roman"/>
        <w:sz w:val="18"/>
        <w:szCs w:val="24"/>
        <w:lang w:val="en-US" w:eastAsia="en-US" w:bidi="ar-SA"/>
      </w:rPr>
    </w:pPr>
    <w:r>
      <w:rPr>
        <w:rFonts w:ascii="Calibri" w:hAnsi="Calibri" w:eastAsia="宋体" w:cs="Times New Roman"/>
        <w:sz w:val="18"/>
        <w:szCs w:val="24"/>
        <w:lang w:val="en-US" w:eastAsia="en-US" w:bidi="ar-SA"/>
      </w:rPr>
      <w:pict>
        <v:shape id="_x0000_s1029" o:spid="_x0000_s1029"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1832E410">
                <w:pPr>
                  <w:snapToGrid w:val="0"/>
                  <w:jc w:val="left"/>
                  <w:rPr>
                    <w:rFonts w:ascii="Calibri" w:hAnsi="Calibri" w:eastAsia="宋体" w:cs="Times New Roman"/>
                    <w:sz w:val="18"/>
                    <w:szCs w:val="24"/>
                    <w:lang w:val="en-US" w:eastAsia="en-US" w:bidi="ar-SA"/>
                  </w:rPr>
                </w:pPr>
                <w:r>
                  <w:rPr>
                    <w:rFonts w:ascii="Calibri" w:hAnsi="Calibri" w:eastAsia="宋体" w:cs="Times New Roman"/>
                    <w:sz w:val="18"/>
                    <w:szCs w:val="24"/>
                    <w:lang w:val="en-US" w:eastAsia="en-US" w:bidi="ar-SA"/>
                  </w:rPr>
                  <w:t xml:space="preserve">— </w:t>
                </w:r>
                <w:r>
                  <w:rPr>
                    <w:rFonts w:ascii="Calibri" w:hAnsi="Calibri" w:eastAsia="宋体" w:cs="Times New Roman"/>
                    <w:sz w:val="18"/>
                    <w:szCs w:val="24"/>
                    <w:lang w:val="en-US" w:eastAsia="en-US" w:bidi="ar-SA"/>
                  </w:rPr>
                  <w:fldChar w:fldCharType="begin"/>
                </w:r>
                <w:r>
                  <w:rPr>
                    <w:rFonts w:ascii="Calibri" w:hAnsi="Calibri" w:eastAsia="宋体" w:cs="Times New Roman"/>
                    <w:sz w:val="18"/>
                    <w:szCs w:val="24"/>
                    <w:lang w:val="en-US" w:eastAsia="en-US" w:bidi="ar-SA"/>
                  </w:rPr>
                  <w:instrText xml:space="preserve"> PAGE  \* MERGEFORMAT </w:instrText>
                </w:r>
                <w:r>
                  <w:rPr>
                    <w:rFonts w:ascii="Calibri" w:hAnsi="Calibri" w:eastAsia="宋体" w:cs="Times New Roman"/>
                    <w:sz w:val="18"/>
                    <w:szCs w:val="24"/>
                    <w:lang w:val="en-US" w:eastAsia="en-US" w:bidi="ar-SA"/>
                  </w:rPr>
                  <w:fldChar w:fldCharType="separate"/>
                </w:r>
                <w:r>
                  <w:rPr>
                    <w:rFonts w:ascii="Calibri" w:hAnsi="Calibri" w:eastAsia="宋体" w:cs="Times New Roman"/>
                    <w:sz w:val="18"/>
                    <w:szCs w:val="24"/>
                    <w:lang w:val="en-US" w:eastAsia="en-US" w:bidi="ar-SA"/>
                  </w:rPr>
                  <w:t>758</w:t>
                </w:r>
                <w:r>
                  <w:rPr>
                    <w:rFonts w:ascii="Calibri" w:hAnsi="Calibri" w:eastAsia="宋体" w:cs="Times New Roman"/>
                    <w:sz w:val="18"/>
                    <w:szCs w:val="24"/>
                    <w:lang w:val="en-US" w:eastAsia="en-US" w:bidi="ar-SA"/>
                  </w:rPr>
                  <w:fldChar w:fldCharType="end"/>
                </w:r>
                <w:r>
                  <w:rPr>
                    <w:rFonts w:ascii="Calibri" w:hAnsi="Calibri" w:eastAsia="宋体" w:cs="Times New Roman"/>
                    <w:sz w:val="18"/>
                    <w:szCs w:val="24"/>
                    <w:lang w:val="en-US" w:eastAsia="en-US" w:bidi="ar-SA"/>
                  </w:rPr>
                  <w:t xml:space="preserve"> —</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EA717">
    <w:pPr>
      <w:pStyle w:val="6"/>
    </w:pPr>
    <w:r>
      <w:rPr>
        <w:sz w:val="18"/>
      </w:rPr>
      <w:pict>
        <v:shape id="_x0000_s1035" o:spid="_x0000_s103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08273B76">
                <w:pPr>
                  <w:pStyle w:val="6"/>
                  <w:rPr>
                    <w:rStyle w:val="14"/>
                    <w:rFonts w:ascii="宋体" w:hAnsi="宋体"/>
                    <w:sz w:val="28"/>
                    <w:szCs w:val="28"/>
                  </w:rPr>
                </w:pPr>
                <w:r>
                  <w:rPr>
                    <w:rStyle w:val="14"/>
                    <w:rFonts w:ascii="宋体" w:hAnsi="宋体"/>
                    <w:sz w:val="28"/>
                    <w:szCs w:val="28"/>
                  </w:rPr>
                  <w:t xml:space="preserve">— </w:t>
                </w:r>
                <w:r>
                  <w:rPr>
                    <w:rStyle w:val="14"/>
                    <w:rFonts w:ascii="宋体" w:hAnsi="宋体"/>
                    <w:sz w:val="28"/>
                    <w:szCs w:val="28"/>
                  </w:rPr>
                  <w:fldChar w:fldCharType="begin"/>
                </w:r>
                <w:r>
                  <w:rPr>
                    <w:rStyle w:val="14"/>
                    <w:rFonts w:ascii="宋体" w:hAnsi="宋体"/>
                    <w:sz w:val="28"/>
                    <w:szCs w:val="28"/>
                  </w:rPr>
                  <w:instrText xml:space="preserve"> PAGE  \* MERGEFORMAT </w:instrText>
                </w:r>
                <w:r>
                  <w:rPr>
                    <w:rStyle w:val="14"/>
                    <w:rFonts w:ascii="宋体" w:hAnsi="宋体"/>
                    <w:sz w:val="28"/>
                    <w:szCs w:val="28"/>
                  </w:rPr>
                  <w:fldChar w:fldCharType="separate"/>
                </w:r>
                <w:r>
                  <w:rPr>
                    <w:rStyle w:val="14"/>
                    <w:rFonts w:ascii="宋体" w:hAnsi="宋体"/>
                    <w:sz w:val="28"/>
                    <w:szCs w:val="28"/>
                  </w:rPr>
                  <w:t>827</w:t>
                </w:r>
                <w:r>
                  <w:rPr>
                    <w:rStyle w:val="14"/>
                    <w:rFonts w:ascii="宋体" w:hAnsi="宋体"/>
                    <w:sz w:val="28"/>
                    <w:szCs w:val="28"/>
                  </w:rPr>
                  <w:fldChar w:fldCharType="end"/>
                </w:r>
                <w:r>
                  <w:rPr>
                    <w:rStyle w:val="14"/>
                    <w:rFonts w:ascii="宋体" w:hAnsi="宋体"/>
                    <w:sz w:val="28"/>
                    <w:szCs w:val="28"/>
                  </w:rPr>
                  <w:t xml:space="preserve"> —</w:t>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DCAB4">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E8865DB">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5EB49">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8EE10"/>
    <w:multiLevelType w:val="singleLevel"/>
    <w:tmpl w:val="0978EE10"/>
    <w:lvl w:ilvl="0" w:tentative="0">
      <w:start w:val="2"/>
      <w:numFmt w:val="chineseCounting"/>
      <w:suff w:val="nothing"/>
      <w:lvlText w:val="（%1）"/>
      <w:lvlJc w:val="left"/>
      <w:rPr>
        <w:rFonts w:hint="eastAsia"/>
      </w:rPr>
    </w:lvl>
  </w:abstractNum>
  <w:abstractNum w:abstractNumId="1">
    <w:nsid w:val="4FD48FC3"/>
    <w:multiLevelType w:val="singleLevel"/>
    <w:tmpl w:val="4FD48FC3"/>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18DC"/>
    <w:rsid w:val="000468BF"/>
    <w:rsid w:val="0014752E"/>
    <w:rsid w:val="001858FB"/>
    <w:rsid w:val="001C6E8B"/>
    <w:rsid w:val="00204CB5"/>
    <w:rsid w:val="002651AA"/>
    <w:rsid w:val="002A7137"/>
    <w:rsid w:val="00345050"/>
    <w:rsid w:val="003D56DD"/>
    <w:rsid w:val="004031D3"/>
    <w:rsid w:val="0041564E"/>
    <w:rsid w:val="00417FD8"/>
    <w:rsid w:val="004218DC"/>
    <w:rsid w:val="004A063E"/>
    <w:rsid w:val="004F7B84"/>
    <w:rsid w:val="005346B2"/>
    <w:rsid w:val="00570C8C"/>
    <w:rsid w:val="005927D5"/>
    <w:rsid w:val="005F1C28"/>
    <w:rsid w:val="005F47AB"/>
    <w:rsid w:val="00624939"/>
    <w:rsid w:val="006623E1"/>
    <w:rsid w:val="00666C9D"/>
    <w:rsid w:val="006C3C87"/>
    <w:rsid w:val="006F0EE8"/>
    <w:rsid w:val="00760B9A"/>
    <w:rsid w:val="007C1F6D"/>
    <w:rsid w:val="00853195"/>
    <w:rsid w:val="00896E63"/>
    <w:rsid w:val="008D4F6B"/>
    <w:rsid w:val="0090549B"/>
    <w:rsid w:val="00907917"/>
    <w:rsid w:val="00975E98"/>
    <w:rsid w:val="00A32EFD"/>
    <w:rsid w:val="00A84493"/>
    <w:rsid w:val="00B05C2D"/>
    <w:rsid w:val="00B214E3"/>
    <w:rsid w:val="00B90450"/>
    <w:rsid w:val="00BA0453"/>
    <w:rsid w:val="00D05CE4"/>
    <w:rsid w:val="00D4687E"/>
    <w:rsid w:val="00DA593E"/>
    <w:rsid w:val="00E2512C"/>
    <w:rsid w:val="00EE0D00"/>
    <w:rsid w:val="00F11458"/>
    <w:rsid w:val="00F21595"/>
    <w:rsid w:val="00F86B25"/>
    <w:rsid w:val="00FE372D"/>
    <w:rsid w:val="1D8A07A1"/>
    <w:rsid w:val="57293A23"/>
    <w:rsid w:val="5B3A5BA2"/>
    <w:rsid w:val="64EF570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18"/>
    <w:qFormat/>
    <w:uiPriority w:val="9"/>
    <w:pPr>
      <w:keepNext/>
      <w:keepLines/>
      <w:spacing w:before="480" w:after="80"/>
      <w:outlineLvl w:val="0"/>
    </w:pPr>
    <w:rPr>
      <w:rFonts w:eastAsia="方正黑体简体" w:cstheme="majorBidi"/>
      <w:szCs w:val="48"/>
    </w:rPr>
  </w:style>
  <w:style w:type="paragraph" w:styleId="3">
    <w:name w:val="heading 2"/>
    <w:basedOn w:val="1"/>
    <w:next w:val="1"/>
    <w:link w:val="20"/>
    <w:unhideWhenUsed/>
    <w:qFormat/>
    <w:uiPriority w:val="9"/>
    <w:pPr>
      <w:keepNext/>
      <w:keepLines/>
      <w:spacing w:before="160" w:after="80"/>
      <w:outlineLvl w:val="1"/>
    </w:pPr>
    <w:rPr>
      <w:rFonts w:eastAsia="方正楷体简体" w:cstheme="majorBidi"/>
      <w:b/>
      <w:szCs w:val="40"/>
    </w:rPr>
  </w:style>
  <w:style w:type="paragraph" w:styleId="4">
    <w:name w:val="heading 3"/>
    <w:basedOn w:val="1"/>
    <w:next w:val="1"/>
    <w:link w:val="19"/>
    <w:unhideWhenUsed/>
    <w:qFormat/>
    <w:uiPriority w:val="9"/>
    <w:pPr>
      <w:ind w:firstLine="880" w:firstLineChars="200"/>
      <w:jc w:val="both"/>
      <w:outlineLvl w:val="2"/>
    </w:pPr>
    <w:rPr>
      <w:rFonts w:ascii="Times New Roman" w:hAnsi="Times New Roman" w:eastAsia="方正仿宋简体"/>
      <w:b/>
      <w:sz w:val="32"/>
      <w:lang w:eastAsia="zh-CN"/>
    </w:rPr>
  </w:style>
  <w:style w:type="character" w:default="1" w:styleId="12">
    <w:name w:val="Default Paragraph Font"/>
    <w:unhideWhenUsed/>
    <w:uiPriority w:val="1"/>
  </w:style>
  <w:style w:type="table" w:default="1" w:styleId="11">
    <w:name w:val="Normal Table"/>
    <w:unhideWhenUsed/>
    <w:qFormat/>
    <w:uiPriority w:val="99"/>
    <w:tblPr>
      <w:tblStyle w:val="11"/>
      <w:tblCellMar>
        <w:top w:w="0" w:type="dxa"/>
        <w:left w:w="108" w:type="dxa"/>
        <w:bottom w:w="0" w:type="dxa"/>
        <w:right w:w="108" w:type="dxa"/>
      </w:tblCellMar>
    </w:tblPr>
  </w:style>
  <w:style w:type="paragraph" w:styleId="5">
    <w:name w:val="Date"/>
    <w:basedOn w:val="1"/>
    <w:next w:val="1"/>
    <w:link w:val="15"/>
    <w:unhideWhenUsed/>
    <w:uiPriority w:val="99"/>
    <w:pPr>
      <w:ind w:left="100" w:leftChars="2500"/>
    </w:pPr>
  </w:style>
  <w:style w:type="paragraph" w:styleId="6">
    <w:name w:val="footer"/>
    <w:basedOn w:val="1"/>
    <w:link w:val="16"/>
    <w:uiPriority w:val="0"/>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qFormat/>
    <w:uiPriority w:val="11"/>
    <w:pPr>
      <w:spacing w:after="160"/>
      <w:ind w:firstLine="200" w:firstLineChars="200"/>
      <w:jc w:val="center"/>
    </w:pPr>
    <w:rPr>
      <w:rFonts w:eastAsia="方正小标宋简体" w:cstheme="majorBidi"/>
      <w:spacing w:val="15"/>
      <w:sz w:val="44"/>
      <w:szCs w:val="28"/>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0">
    <w:name w:val="Title"/>
    <w:basedOn w:val="1"/>
    <w:next w:val="1"/>
    <w:link w:val="21"/>
    <w:qFormat/>
    <w:uiPriority w:val="0"/>
    <w:pPr>
      <w:spacing w:after="80"/>
      <w:contextualSpacing/>
      <w:jc w:val="center"/>
    </w:pPr>
    <w:rPr>
      <w:rFonts w:eastAsia="方正小标宋简体" w:asciiTheme="majorAscii" w:hAnsiTheme="majorAscii" w:cstheme="majorBidi"/>
      <w:spacing w:val="-10"/>
      <w:kern w:val="28"/>
      <w:sz w:val="44"/>
      <w:szCs w:val="56"/>
    </w:rPr>
  </w:style>
  <w:style w:type="character" w:styleId="13">
    <w:name w:val="Strong"/>
    <w:basedOn w:val="12"/>
    <w:qFormat/>
    <w:uiPriority w:val="22"/>
    <w:rPr>
      <w:b/>
    </w:rPr>
  </w:style>
  <w:style w:type="character" w:styleId="14">
    <w:name w:val="page number"/>
    <w:basedOn w:val="12"/>
    <w:uiPriority w:val="0"/>
  </w:style>
  <w:style w:type="character" w:customStyle="1" w:styleId="15">
    <w:name w:val="日期 字符"/>
    <w:link w:val="5"/>
    <w:semiHidden/>
    <w:uiPriority w:val="99"/>
    <w:rPr>
      <w:rFonts w:ascii="Times New Roman" w:hAnsi="Times New Roman"/>
      <w:kern w:val="2"/>
      <w:sz w:val="21"/>
      <w:szCs w:val="24"/>
    </w:rPr>
  </w:style>
  <w:style w:type="character" w:customStyle="1" w:styleId="16">
    <w:name w:val="页脚 Char"/>
    <w:link w:val="6"/>
    <w:uiPriority w:val="0"/>
    <w:rPr>
      <w:rFonts w:ascii="Times New Roman" w:hAnsi="Times New Roman" w:eastAsia="宋体" w:cs="Times New Roman"/>
      <w:sz w:val="18"/>
      <w:szCs w:val="18"/>
    </w:rPr>
  </w:style>
  <w:style w:type="character" w:customStyle="1" w:styleId="17">
    <w:name w:val="页眉 Char"/>
    <w:link w:val="7"/>
    <w:semiHidden/>
    <w:uiPriority w:val="99"/>
    <w:rPr>
      <w:rFonts w:ascii="Times New Roman" w:hAnsi="Times New Roman"/>
      <w:kern w:val="2"/>
      <w:sz w:val="18"/>
      <w:szCs w:val="18"/>
    </w:rPr>
  </w:style>
  <w:style w:type="character" w:customStyle="1" w:styleId="18">
    <w:name w:val="标题 1 字符"/>
    <w:basedOn w:val="12"/>
    <w:link w:val="2"/>
    <w:uiPriority w:val="9"/>
    <w:rPr>
      <w:rFonts w:eastAsia="方正黑体简体" w:cstheme="majorBidi"/>
      <w:szCs w:val="48"/>
    </w:rPr>
  </w:style>
  <w:style w:type="character" w:customStyle="1" w:styleId="19">
    <w:name w:val="标题 3 Char"/>
    <w:link w:val="4"/>
    <w:qFormat/>
    <w:uiPriority w:val="0"/>
    <w:rPr>
      <w:rFonts w:ascii="Times New Roman" w:hAnsi="Times New Roman" w:eastAsia="方正仿宋简体"/>
      <w:b/>
      <w:sz w:val="32"/>
      <w:lang w:eastAsia="zh-CN"/>
    </w:rPr>
  </w:style>
  <w:style w:type="character" w:customStyle="1" w:styleId="20">
    <w:name w:val="标题 2 Char"/>
    <w:link w:val="3"/>
    <w:qFormat/>
    <w:uiPriority w:val="0"/>
    <w:rPr>
      <w:rFonts w:eastAsia="方正楷体简体" w:cstheme="majorBidi"/>
      <w:b/>
      <w:szCs w:val="40"/>
    </w:rPr>
  </w:style>
  <w:style w:type="character" w:customStyle="1" w:styleId="21">
    <w:name w:val="标题 字符"/>
    <w:basedOn w:val="12"/>
    <w:link w:val="10"/>
    <w:qFormat/>
    <w:uiPriority w:val="0"/>
    <w:rPr>
      <w:rFonts w:eastAsia="方正小标宋简体" w:asciiTheme="majorAscii" w:hAnsiTheme="majorAscii" w:cstheme="majorBidi"/>
      <w:spacing w:val="-10"/>
      <w:kern w:val="28"/>
      <w:sz w:val="44"/>
      <w:szCs w:val="56"/>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34" textRotate="1"/>
    <customShpInfo spid="_x0000_s1027" textRotate="1"/>
    <customShpInfo spid="_x0000_s1029" textRotate="1"/>
    <customShpInfo spid="_x0000_s1035"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1063</Pages>
  <Words>26569</Words>
  <Characters>26923</Characters>
  <Lines>1</Lines>
  <Paragraphs>1</Paragraphs>
  <TotalTime>2</TotalTime>
  <ScaleCrop>false</ScaleCrop>
  <LinksUpToDate>false</LinksUpToDate>
  <CharactersWithSpaces>26926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2025-02-10T08:35:00Z</dcterms:created>
  <dc:creator>Administrator</dc:creator>
  <cp:lastModifiedBy>陆稍栈捕旨</cp:lastModifiedBy>
  <cp:lastPrinted>2017-08-24T09:42:00Z</cp:lastPrinted>
  <dcterms:modified xsi:type="dcterms:W3CDTF">2025-03-03T01:13:56Z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eyJoZGlkIjoiYTc2ZGZiNzZiNDVlOGViOWVmM2JhOTY0NGJkNjUyYzgiLCJ1c2VySWQiOiIxNTkwNDA0NzU5In0=</vt:lpwstr>
  </property>
  <property fmtid="{D5CDD505-2E9C-101B-9397-08002B2CF9AE}" pid="3" name="KSOProductBuildVer">
    <vt:lpwstr>2052-12.1.0.19770</vt:lpwstr>
  </property>
  <property fmtid="{D5CDD505-2E9C-101B-9397-08002B2CF9AE}" pid="4" name="ICV">
    <vt:lpwstr>8E4A6C3438EE4D599D2EB1E76C316BDB_13</vt:lpwstr>
  </property>
</Properties>
</file>