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16D3" w14:textId="24E40ADB" w:rsidR="00E94BC5" w:rsidRPr="00A56560" w:rsidRDefault="00A56560">
      <w:pPr>
        <w:rPr>
          <w:b/>
          <w:sz w:val="24"/>
        </w:rPr>
      </w:pPr>
      <w:proofErr w:type="spellStart"/>
      <w:r>
        <w:rPr>
          <w:b/>
          <w:sz w:val="24"/>
        </w:rPr>
        <w:t>ST</w:t>
      </w:r>
      <w:r w:rsidR="00FF08A0" w:rsidRPr="00A56560">
        <w:rPr>
          <w:b/>
          <w:sz w:val="24"/>
        </w:rPr>
        <w:t>ability</w:t>
      </w:r>
      <w:proofErr w:type="spellEnd"/>
      <w:r w:rsidR="00FF08A0" w:rsidRPr="00A56560">
        <w:rPr>
          <w:b/>
          <w:sz w:val="24"/>
        </w:rPr>
        <w:t xml:space="preserve"> Evaluation Tool (STET)</w:t>
      </w:r>
      <w:r w:rsidR="003A3566">
        <w:rPr>
          <w:b/>
          <w:sz w:val="24"/>
        </w:rPr>
        <w:t xml:space="preserve">  </w:t>
      </w:r>
      <w:proofErr w:type="spellStart"/>
      <w:r w:rsidR="003A3566" w:rsidRPr="003A3566">
        <w:rPr>
          <w:rFonts w:hint="eastAsia"/>
          <w:b/>
          <w:sz w:val="24"/>
        </w:rPr>
        <w:t>稳定性评估工具</w:t>
      </w:r>
      <w:proofErr w:type="spellEnd"/>
      <w:r w:rsidR="003A3566" w:rsidRPr="003A3566">
        <w:rPr>
          <w:rFonts w:hint="eastAsia"/>
          <w:b/>
          <w:sz w:val="24"/>
        </w:rPr>
        <w:t xml:space="preserve"> (STET)</w:t>
      </w:r>
    </w:p>
    <w:p w14:paraId="3C10652F" w14:textId="218D2589" w:rsidR="00FF08A0" w:rsidRPr="00A56560" w:rsidRDefault="00FF08A0">
      <w:pPr>
        <w:rPr>
          <w:b/>
        </w:rPr>
      </w:pPr>
      <w:r w:rsidRPr="00A56560">
        <w:rPr>
          <w:b/>
        </w:rPr>
        <w:t>Summary</w:t>
      </w:r>
      <w:r w:rsidR="003A3566">
        <w:rPr>
          <w:b/>
        </w:rPr>
        <w:t xml:space="preserve">  </w:t>
      </w:r>
      <w:proofErr w:type="spellStart"/>
      <w:r w:rsidR="003A3566" w:rsidRPr="003A3566">
        <w:rPr>
          <w:rFonts w:hint="eastAsia"/>
          <w:b/>
        </w:rPr>
        <w:t>摘要</w:t>
      </w:r>
      <w:proofErr w:type="spellEnd"/>
    </w:p>
    <w:p w14:paraId="5C068F51" w14:textId="6A7CB160" w:rsidR="00FF08A0" w:rsidRDefault="00FF08A0">
      <w:r>
        <w:t>The purpose of STET is to allow engineers to evaluate the passive stability of articulated (combination) vehicles using a simple Matlab tool. The basis of the analysis is the eigenstructure of the passive vehicle, when operating in the linear region. The designer can freely set a number of high-level parameters:</w:t>
      </w:r>
    </w:p>
    <w:p w14:paraId="4CAD8E6F" w14:textId="1E9ED7AC" w:rsidR="003A3566" w:rsidRDefault="003A3566">
      <w:r w:rsidRPr="003A3566">
        <w:rPr>
          <w:rFonts w:hint="eastAsia"/>
          <w:lang w:eastAsia="zh-CN"/>
        </w:rPr>
        <w:t xml:space="preserve">STET </w:t>
      </w:r>
      <w:r w:rsidRPr="003A3566">
        <w:rPr>
          <w:rFonts w:hint="eastAsia"/>
          <w:lang w:eastAsia="zh-CN"/>
        </w:rPr>
        <w:t>的目的是让工程师使用简单的</w:t>
      </w:r>
      <w:r w:rsidRPr="003A3566">
        <w:rPr>
          <w:rFonts w:hint="eastAsia"/>
          <w:lang w:eastAsia="zh-CN"/>
        </w:rPr>
        <w:t xml:space="preserve"> </w:t>
      </w:r>
      <w:proofErr w:type="spellStart"/>
      <w:r w:rsidRPr="003A3566">
        <w:rPr>
          <w:rFonts w:hint="eastAsia"/>
          <w:lang w:eastAsia="zh-CN"/>
        </w:rPr>
        <w:t>Matlab</w:t>
      </w:r>
      <w:proofErr w:type="spellEnd"/>
      <w:r w:rsidRPr="003A3566">
        <w:rPr>
          <w:rFonts w:hint="eastAsia"/>
          <w:lang w:eastAsia="zh-CN"/>
        </w:rPr>
        <w:t xml:space="preserve"> </w:t>
      </w:r>
      <w:r w:rsidRPr="003A3566">
        <w:rPr>
          <w:rFonts w:hint="eastAsia"/>
          <w:lang w:eastAsia="zh-CN"/>
        </w:rPr>
        <w:t>工具评估铰接（组合）车辆的被动稳定性。分析的基础是被动车辆在线性区域运行时的特征结构。</w:t>
      </w:r>
      <w:proofErr w:type="spellStart"/>
      <w:r w:rsidRPr="003A3566">
        <w:rPr>
          <w:rFonts w:hint="eastAsia"/>
        </w:rPr>
        <w:t>设计人员可以自由设置一些高级参数</w:t>
      </w:r>
      <w:proofErr w:type="spellEnd"/>
      <w:r w:rsidRPr="003A3566">
        <w:rPr>
          <w:rFonts w:hint="eastAsia"/>
        </w:rPr>
        <w:t>：</w:t>
      </w:r>
    </w:p>
    <w:p w14:paraId="02B50F10" w14:textId="77777777" w:rsidR="00FF08A0" w:rsidRDefault="00FF08A0" w:rsidP="00FF08A0">
      <w:pPr>
        <w:pStyle w:val="a3"/>
        <w:numPr>
          <w:ilvl w:val="0"/>
          <w:numId w:val="1"/>
        </w:numPr>
      </w:pPr>
      <w:r>
        <w:t>number of units</w:t>
      </w:r>
    </w:p>
    <w:p w14:paraId="770F9D38" w14:textId="77777777" w:rsidR="00FF08A0" w:rsidRDefault="00FF08A0" w:rsidP="00FF08A0">
      <w:pPr>
        <w:pStyle w:val="a3"/>
        <w:numPr>
          <w:ilvl w:val="0"/>
          <w:numId w:val="1"/>
        </w:numPr>
      </w:pPr>
      <w:r>
        <w:t>distance between articulation joints</w:t>
      </w:r>
    </w:p>
    <w:p w14:paraId="2D0F6755" w14:textId="77777777" w:rsidR="00FF08A0" w:rsidRDefault="00FF08A0" w:rsidP="00FF08A0">
      <w:pPr>
        <w:pStyle w:val="a3"/>
        <w:numPr>
          <w:ilvl w:val="0"/>
          <w:numId w:val="1"/>
        </w:numPr>
      </w:pPr>
      <w:r>
        <w:t>mass and yaw inertia of each unit</w:t>
      </w:r>
    </w:p>
    <w:p w14:paraId="42FBE758" w14:textId="77777777" w:rsidR="00FF08A0" w:rsidRDefault="00FF08A0" w:rsidP="00FF08A0">
      <w:pPr>
        <w:pStyle w:val="a3"/>
        <w:numPr>
          <w:ilvl w:val="0"/>
          <w:numId w:val="1"/>
        </w:numPr>
      </w:pPr>
      <w:r>
        <w:t>position of CG in each unit</w:t>
      </w:r>
    </w:p>
    <w:p w14:paraId="54E6EF0A" w14:textId="77777777" w:rsidR="00FF08A0" w:rsidRDefault="00FF08A0" w:rsidP="00FF08A0">
      <w:pPr>
        <w:pStyle w:val="a3"/>
        <w:numPr>
          <w:ilvl w:val="0"/>
          <w:numId w:val="1"/>
        </w:numPr>
      </w:pPr>
      <w:r>
        <w:t>number and location of the axles within each unit</w:t>
      </w:r>
    </w:p>
    <w:p w14:paraId="3A6D24D4" w14:textId="77777777" w:rsidR="00FF08A0" w:rsidRDefault="00FF08A0" w:rsidP="00FF08A0">
      <w:pPr>
        <w:pStyle w:val="a3"/>
        <w:numPr>
          <w:ilvl w:val="0"/>
          <w:numId w:val="1"/>
        </w:numPr>
      </w:pPr>
      <w:r>
        <w:t>damping coefficients for each articulation joint</w:t>
      </w:r>
    </w:p>
    <w:p w14:paraId="082ABCD3" w14:textId="10D186B9" w:rsidR="00FF08A0" w:rsidRDefault="00FF08A0" w:rsidP="00FF08A0">
      <w:pPr>
        <w:pStyle w:val="a3"/>
        <w:numPr>
          <w:ilvl w:val="0"/>
          <w:numId w:val="1"/>
        </w:numPr>
      </w:pPr>
      <w:r>
        <w:t>tyre properties – specify each axle cornering stiffness</w:t>
      </w:r>
    </w:p>
    <w:p w14:paraId="7A8E0004" w14:textId="71462A11" w:rsidR="003A3566" w:rsidRDefault="003A3566" w:rsidP="003A3566">
      <w:pPr>
        <w:pStyle w:val="a3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单位数</w:t>
      </w:r>
      <w:proofErr w:type="spellEnd"/>
    </w:p>
    <w:p w14:paraId="34A38DE5" w14:textId="2BC8C71D" w:rsidR="003A3566" w:rsidRDefault="003A3566" w:rsidP="003A3566">
      <w:pPr>
        <w:pStyle w:val="a3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铰接关节之间的距离</w:t>
      </w:r>
      <w:proofErr w:type="spellEnd"/>
    </w:p>
    <w:p w14:paraId="01874829" w14:textId="0D92D462" w:rsidR="003A3566" w:rsidRDefault="003A3566" w:rsidP="003A3566">
      <w:pPr>
        <w:pStyle w:val="a3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每个单元的质量和偏航惯性</w:t>
      </w:r>
    </w:p>
    <w:p w14:paraId="3DE808B0" w14:textId="4294D881" w:rsidR="003A3566" w:rsidRDefault="003A3566" w:rsidP="003A3566">
      <w:pPr>
        <w:pStyle w:val="a3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每个单元中</w:t>
      </w:r>
      <w:r>
        <w:rPr>
          <w:rFonts w:hint="eastAsia"/>
          <w:lang w:eastAsia="zh-CN"/>
        </w:rPr>
        <w:t xml:space="preserve"> CG </w:t>
      </w:r>
      <w:r>
        <w:rPr>
          <w:rFonts w:hint="eastAsia"/>
          <w:lang w:eastAsia="zh-CN"/>
        </w:rPr>
        <w:t>的位置</w:t>
      </w:r>
    </w:p>
    <w:p w14:paraId="09A21FD5" w14:textId="0C72B68D" w:rsidR="003A3566" w:rsidRDefault="003A3566" w:rsidP="003A3566">
      <w:pPr>
        <w:pStyle w:val="a3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每个单元中轴的数量和位置</w:t>
      </w:r>
    </w:p>
    <w:p w14:paraId="2BABEFCB" w14:textId="3F1BAEE3" w:rsidR="003A3566" w:rsidRDefault="003A3566" w:rsidP="003A3566">
      <w:pPr>
        <w:pStyle w:val="a3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每个铰接关节的阻尼系数</w:t>
      </w:r>
    </w:p>
    <w:p w14:paraId="512A0FAB" w14:textId="3BC0E2FA" w:rsidR="003A3566" w:rsidRDefault="003A3566" w:rsidP="003A3566">
      <w:pPr>
        <w:pStyle w:val="a3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轮胎特性</w:t>
      </w:r>
      <w:r>
        <w:rPr>
          <w:rFonts w:hint="eastAsia"/>
          <w:lang w:eastAsia="zh-CN"/>
        </w:rPr>
        <w:t>--</w:t>
      </w:r>
      <w:r>
        <w:rPr>
          <w:rFonts w:hint="eastAsia"/>
          <w:lang w:eastAsia="zh-CN"/>
        </w:rPr>
        <w:t>指定每个车轴的转弯刚度</w:t>
      </w:r>
    </w:p>
    <w:p w14:paraId="4860AD48" w14:textId="2574D1B9" w:rsidR="00A56560" w:rsidRDefault="00A56560" w:rsidP="00FF08A0">
      <w:r>
        <w:t xml:space="preserve">The </w:t>
      </w:r>
      <w:proofErr w:type="spellStart"/>
      <w:r>
        <w:t>eigenstructure</w:t>
      </w:r>
      <w:proofErr w:type="spellEnd"/>
      <w:r>
        <w:t xml:space="preserve"> gives frequency and settling times for each mode, picks out any unstable modes and animates the mode shape for any selected mode.  This allows the designer to have a better intuition of how poor stability will manifest itself.</w:t>
      </w:r>
    </w:p>
    <w:p w14:paraId="0D9E7E2D" w14:textId="0BE39B08" w:rsidR="003A3566" w:rsidRDefault="003A3566" w:rsidP="00FF08A0">
      <w:pPr>
        <w:rPr>
          <w:lang w:eastAsia="zh-CN"/>
        </w:rPr>
      </w:pPr>
      <w:r w:rsidRPr="003A3566">
        <w:rPr>
          <w:rFonts w:hint="eastAsia"/>
          <w:lang w:eastAsia="zh-CN"/>
        </w:rPr>
        <w:t>特征结构可提供每个模式的频率和稳定时间，找出任何不稳定的模式，并对任何选定模式的模式形状进行动画演示。</w:t>
      </w:r>
      <w:r w:rsidRPr="003A3566">
        <w:rPr>
          <w:rFonts w:hint="eastAsia"/>
          <w:lang w:eastAsia="zh-CN"/>
        </w:rPr>
        <w:t xml:space="preserve"> </w:t>
      </w:r>
      <w:r w:rsidRPr="003A3566">
        <w:rPr>
          <w:rFonts w:hint="eastAsia"/>
          <w:lang w:eastAsia="zh-CN"/>
        </w:rPr>
        <w:t>这样，设计人员就能更直观地了解稳定性差的表现形式。</w:t>
      </w:r>
    </w:p>
    <w:p w14:paraId="320EF044" w14:textId="35BF46C4" w:rsidR="00492E42" w:rsidRDefault="00A56560" w:rsidP="00FF08A0">
      <w:r>
        <w:t xml:space="preserve">The tool is intended as a way to explore different vehicle configurations and design concepts. The underlying model is relatively simple and should not be used outside the linear region of the tyres. </w:t>
      </w:r>
    </w:p>
    <w:p w14:paraId="060AA446" w14:textId="51DCFB06" w:rsidR="003A3566" w:rsidRDefault="003A3566" w:rsidP="00FF08A0">
      <w:pPr>
        <w:rPr>
          <w:lang w:eastAsia="zh-CN"/>
        </w:rPr>
      </w:pPr>
      <w:r w:rsidRPr="003A3566">
        <w:rPr>
          <w:rFonts w:hint="eastAsia"/>
          <w:lang w:eastAsia="zh-CN"/>
        </w:rPr>
        <w:t>该工具旨在探索不同的车辆配置和设计理念。基础模型相对简单，不应在轮胎线性区域之外使用。</w:t>
      </w:r>
    </w:p>
    <w:p w14:paraId="0308D5F1" w14:textId="6579E7EF" w:rsidR="00E0289B" w:rsidRDefault="00E0289B" w:rsidP="00FF08A0">
      <w:r>
        <w:t>Input data is in spreadsheet format (</w:t>
      </w:r>
      <w:r w:rsidRPr="00E0289B">
        <w:t>STET input data</w:t>
      </w:r>
      <w:r w:rsidR="00CB7A6A">
        <w:t>2</w:t>
      </w:r>
      <w:r w:rsidRPr="00E0289B">
        <w:t>.xlsx</w:t>
      </w:r>
      <w:r>
        <w:t xml:space="preserve">) with different cases labelled in clearly marked blocks. The blocks can be arranged anyway in the </w:t>
      </w:r>
      <w:r w:rsidR="002A0462">
        <w:t>spreadsheet,</w:t>
      </w:r>
      <w:r>
        <w:t xml:space="preserve"> but the same format should be used. Keywords (in upper case) cannot be changed, but the data can be edited within these blocks.  In the example, a </w:t>
      </w:r>
      <w:r w:rsidR="00CB7A6A">
        <w:t>5</w:t>
      </w:r>
      <w:r>
        <w:t xml:space="preserve">-unit ART comes with baseline data (CASE 1), </w:t>
      </w:r>
      <w:r w:rsidR="00CB7A6A">
        <w:t xml:space="preserve">a 4-unit ART </w:t>
      </w:r>
      <w:r>
        <w:t>joint damping removed (CASE 2)</w:t>
      </w:r>
      <w:r w:rsidR="00CB7A6A">
        <w:t>,</w:t>
      </w:r>
      <w:r>
        <w:t xml:space="preserve"> </w:t>
      </w:r>
      <w:r w:rsidR="00CB7A6A">
        <w:t>a 4-unit ART</w:t>
      </w:r>
      <w:r>
        <w:t xml:space="preserve"> with reduced cornering stiffness at the tyres (CASE 3)</w:t>
      </w:r>
      <w:r w:rsidR="00CB7A6A">
        <w:t>, and a 3-unit ART with increased mass for each unit</w:t>
      </w:r>
      <w:r>
        <w:t>. The changes are highlighted but this is just to improve visibility, STET ignores the highlights.</w:t>
      </w:r>
      <w:r w:rsidR="00DB2E7E">
        <w:t xml:space="preserve"> Unit number for each case can be set from 2 to 5, and cases </w:t>
      </w:r>
      <w:r w:rsidR="00DB2E7E">
        <w:lastRenderedPageBreak/>
        <w:t>with different numbers of units can co-exist in the same simulation.</w:t>
      </w:r>
      <w:r w:rsidR="0075706E">
        <w:t xml:space="preserve"> But CASE 1 should have the most units, for comparison purpose later. And obviously, this includes simulations with all cases of the same numbers of units.</w:t>
      </w:r>
    </w:p>
    <w:p w14:paraId="10C39884" w14:textId="475DDFA0" w:rsidR="003A3566" w:rsidRDefault="003A3566" w:rsidP="00FF08A0">
      <w:pPr>
        <w:rPr>
          <w:lang w:eastAsia="zh-CN"/>
        </w:rPr>
      </w:pPr>
      <w:r w:rsidRPr="003A3566">
        <w:rPr>
          <w:rFonts w:hint="eastAsia"/>
          <w:lang w:eastAsia="zh-CN"/>
        </w:rPr>
        <w:t>输入数据采用电子表格格式（</w:t>
      </w:r>
      <w:r w:rsidRPr="003A3566">
        <w:rPr>
          <w:rFonts w:hint="eastAsia"/>
          <w:lang w:eastAsia="zh-CN"/>
        </w:rPr>
        <w:t>STET input data2.xlsx</w:t>
      </w:r>
      <w:r w:rsidRPr="003A3566">
        <w:rPr>
          <w:rFonts w:hint="eastAsia"/>
          <w:lang w:eastAsia="zh-CN"/>
        </w:rPr>
        <w:t>），不同的情况标注在清晰的块中。电子表格中的区块可以任意排列，但应使用相同的格式。关键字（大写）不能更改，但数据可以在这些区块内编辑。</w:t>
      </w:r>
      <w:r w:rsidRPr="003A3566">
        <w:rPr>
          <w:rFonts w:hint="eastAsia"/>
          <w:lang w:eastAsia="zh-CN"/>
        </w:rPr>
        <w:t xml:space="preserve"> </w:t>
      </w:r>
      <w:proofErr w:type="spellStart"/>
      <w:r w:rsidRPr="003A3566">
        <w:rPr>
          <w:rFonts w:hint="eastAsia"/>
        </w:rPr>
        <w:t>在示例中</w:t>
      </w:r>
      <w:proofErr w:type="spellEnd"/>
      <w:r w:rsidRPr="003A3566">
        <w:rPr>
          <w:rFonts w:hint="eastAsia"/>
        </w:rPr>
        <w:t>，</w:t>
      </w:r>
      <w:r w:rsidRPr="003A3566">
        <w:rPr>
          <w:rFonts w:hint="eastAsia"/>
        </w:rPr>
        <w:t xml:space="preserve">5 </w:t>
      </w:r>
      <w:proofErr w:type="spellStart"/>
      <w:r w:rsidRPr="003A3566">
        <w:rPr>
          <w:rFonts w:hint="eastAsia"/>
        </w:rPr>
        <w:t>单元</w:t>
      </w:r>
      <w:proofErr w:type="spellEnd"/>
      <w:r w:rsidRPr="003A3566">
        <w:rPr>
          <w:rFonts w:hint="eastAsia"/>
        </w:rPr>
        <w:t xml:space="preserve"> ART </w:t>
      </w:r>
      <w:proofErr w:type="spellStart"/>
      <w:r w:rsidRPr="003A3566">
        <w:rPr>
          <w:rFonts w:hint="eastAsia"/>
        </w:rPr>
        <w:t>附带基准数据</w:t>
      </w:r>
      <w:proofErr w:type="spellEnd"/>
      <w:r w:rsidRPr="003A3566">
        <w:rPr>
          <w:rFonts w:hint="eastAsia"/>
        </w:rPr>
        <w:t>（</w:t>
      </w:r>
      <w:r w:rsidRPr="003A3566">
        <w:rPr>
          <w:rFonts w:hint="eastAsia"/>
        </w:rPr>
        <w:t>CASE 1</w:t>
      </w:r>
      <w:r w:rsidRPr="003A3566">
        <w:rPr>
          <w:rFonts w:hint="eastAsia"/>
        </w:rPr>
        <w:t>），</w:t>
      </w:r>
      <w:r w:rsidRPr="003A3566">
        <w:rPr>
          <w:rFonts w:hint="eastAsia"/>
        </w:rPr>
        <w:t xml:space="preserve">4 </w:t>
      </w:r>
      <w:proofErr w:type="spellStart"/>
      <w:r w:rsidRPr="003A3566">
        <w:rPr>
          <w:rFonts w:hint="eastAsia"/>
        </w:rPr>
        <w:t>单元</w:t>
      </w:r>
      <w:proofErr w:type="spellEnd"/>
      <w:r w:rsidRPr="003A3566">
        <w:rPr>
          <w:rFonts w:hint="eastAsia"/>
        </w:rPr>
        <w:t xml:space="preserve"> ART </w:t>
      </w:r>
      <w:proofErr w:type="spellStart"/>
      <w:r w:rsidRPr="003A3566">
        <w:rPr>
          <w:rFonts w:hint="eastAsia"/>
        </w:rPr>
        <w:t>取消了联合阻尼</w:t>
      </w:r>
      <w:proofErr w:type="spellEnd"/>
      <w:r w:rsidRPr="003A3566">
        <w:rPr>
          <w:rFonts w:hint="eastAsia"/>
        </w:rPr>
        <w:t>（</w:t>
      </w:r>
      <w:r w:rsidRPr="003A3566">
        <w:rPr>
          <w:rFonts w:hint="eastAsia"/>
        </w:rPr>
        <w:t>CASE 2</w:t>
      </w:r>
      <w:r w:rsidRPr="003A3566">
        <w:rPr>
          <w:rFonts w:hint="eastAsia"/>
        </w:rPr>
        <w:t>），</w:t>
      </w:r>
      <w:r w:rsidRPr="003A3566">
        <w:rPr>
          <w:rFonts w:hint="eastAsia"/>
        </w:rPr>
        <w:t xml:space="preserve">4 </w:t>
      </w:r>
      <w:proofErr w:type="spellStart"/>
      <w:r w:rsidRPr="003A3566">
        <w:rPr>
          <w:rFonts w:hint="eastAsia"/>
        </w:rPr>
        <w:t>单元</w:t>
      </w:r>
      <w:proofErr w:type="spellEnd"/>
      <w:r w:rsidRPr="003A3566">
        <w:rPr>
          <w:rFonts w:hint="eastAsia"/>
        </w:rPr>
        <w:t xml:space="preserve"> ART </w:t>
      </w:r>
      <w:proofErr w:type="spellStart"/>
      <w:r w:rsidRPr="003A3566">
        <w:rPr>
          <w:rFonts w:hint="eastAsia"/>
        </w:rPr>
        <w:t>降低了轮胎的转弯刚度</w:t>
      </w:r>
      <w:proofErr w:type="spellEnd"/>
      <w:r w:rsidRPr="003A3566">
        <w:rPr>
          <w:rFonts w:hint="eastAsia"/>
        </w:rPr>
        <w:t>（</w:t>
      </w:r>
      <w:r w:rsidRPr="003A3566">
        <w:rPr>
          <w:rFonts w:hint="eastAsia"/>
        </w:rPr>
        <w:t>CASE 3</w:t>
      </w:r>
      <w:r w:rsidRPr="003A3566">
        <w:rPr>
          <w:rFonts w:hint="eastAsia"/>
        </w:rPr>
        <w:t>），</w:t>
      </w:r>
      <w:r w:rsidRPr="003A3566">
        <w:rPr>
          <w:rFonts w:hint="eastAsia"/>
        </w:rPr>
        <w:t xml:space="preserve">3 </w:t>
      </w:r>
      <w:proofErr w:type="spellStart"/>
      <w:r w:rsidRPr="003A3566">
        <w:rPr>
          <w:rFonts w:hint="eastAsia"/>
        </w:rPr>
        <w:t>单元</w:t>
      </w:r>
      <w:proofErr w:type="spellEnd"/>
      <w:r w:rsidRPr="003A3566">
        <w:rPr>
          <w:rFonts w:hint="eastAsia"/>
        </w:rPr>
        <w:t xml:space="preserve"> ART </w:t>
      </w:r>
      <w:proofErr w:type="spellStart"/>
      <w:r w:rsidRPr="003A3566">
        <w:rPr>
          <w:rFonts w:hint="eastAsia"/>
        </w:rPr>
        <w:t>增加了每个单元的质量</w:t>
      </w:r>
      <w:proofErr w:type="spellEnd"/>
      <w:r w:rsidRPr="003A3566">
        <w:rPr>
          <w:rFonts w:hint="eastAsia"/>
        </w:rPr>
        <w:t>。</w:t>
      </w:r>
      <w:r w:rsidRPr="003A3566">
        <w:rPr>
          <w:rFonts w:hint="eastAsia"/>
          <w:lang w:eastAsia="zh-CN"/>
        </w:rPr>
        <w:t>更改会突出显示，但这只是为了提高可视性，</w:t>
      </w:r>
      <w:r w:rsidRPr="003A3566">
        <w:rPr>
          <w:rFonts w:hint="eastAsia"/>
          <w:lang w:eastAsia="zh-CN"/>
        </w:rPr>
        <w:t xml:space="preserve">STET </w:t>
      </w:r>
      <w:r w:rsidRPr="003A3566">
        <w:rPr>
          <w:rFonts w:hint="eastAsia"/>
          <w:lang w:eastAsia="zh-CN"/>
        </w:rPr>
        <w:t>会忽略突出显示。每种情况下的单位数可设置为</w:t>
      </w:r>
      <w:r w:rsidRPr="003A3566">
        <w:rPr>
          <w:rFonts w:hint="eastAsia"/>
          <w:lang w:eastAsia="zh-CN"/>
        </w:rPr>
        <w:t xml:space="preserve"> 2 </w:t>
      </w:r>
      <w:r w:rsidRPr="003A3566">
        <w:rPr>
          <w:rFonts w:hint="eastAsia"/>
          <w:lang w:eastAsia="zh-CN"/>
        </w:rPr>
        <w:t>至</w:t>
      </w:r>
      <w:r w:rsidRPr="003A3566">
        <w:rPr>
          <w:rFonts w:hint="eastAsia"/>
          <w:lang w:eastAsia="zh-CN"/>
        </w:rPr>
        <w:t xml:space="preserve"> 5</w:t>
      </w:r>
      <w:r w:rsidRPr="003A3566">
        <w:rPr>
          <w:rFonts w:hint="eastAsia"/>
          <w:lang w:eastAsia="zh-CN"/>
        </w:rPr>
        <w:t>，不同单位数的情况可在同一模拟中同时存在。但</w:t>
      </w:r>
      <w:r w:rsidRPr="003A3566">
        <w:rPr>
          <w:rFonts w:hint="eastAsia"/>
          <w:lang w:eastAsia="zh-CN"/>
        </w:rPr>
        <w:t xml:space="preserve"> CASE 1 </w:t>
      </w:r>
      <w:r w:rsidRPr="003A3566">
        <w:rPr>
          <w:rFonts w:hint="eastAsia"/>
          <w:lang w:eastAsia="zh-CN"/>
        </w:rPr>
        <w:t>的单位数应该最多，以便以后进行比较。显然，这包括所有单位数相同的情况下的模拟。</w:t>
      </w:r>
    </w:p>
    <w:p w14:paraId="230080A9" w14:textId="25F64E77" w:rsidR="00E0289B" w:rsidRDefault="0038668E" w:rsidP="00FF08A0">
      <w:r w:rsidRPr="0038668E">
        <w:rPr>
          <w:noProof/>
        </w:rPr>
        <w:drawing>
          <wp:inline distT="0" distB="0" distL="0" distR="0" wp14:anchorId="3D3433B5" wp14:editId="42C5DE2A">
            <wp:extent cx="5731510" cy="19685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10B0" w14:textId="487E956E" w:rsidR="00E0289B" w:rsidRDefault="00E0289B" w:rsidP="00FF08A0">
      <w:r>
        <w:t xml:space="preserve">The name of the .xlsx file can be changed in the </w:t>
      </w:r>
      <w:proofErr w:type="spellStart"/>
      <w:r>
        <w:t>Matlab</w:t>
      </w:r>
      <w:proofErr w:type="spellEnd"/>
      <w:r>
        <w:t xml:space="preserve"> file </w:t>
      </w:r>
      <w:proofErr w:type="spellStart"/>
      <w:r>
        <w:t>STET.m</w:t>
      </w:r>
      <w:proofErr w:type="spellEnd"/>
    </w:p>
    <w:p w14:paraId="3B3770A8" w14:textId="187B41CD" w:rsidR="003A3566" w:rsidRDefault="003A3566" w:rsidP="00FF08A0">
      <w:proofErr w:type="spellStart"/>
      <w:r w:rsidRPr="003A3566">
        <w:rPr>
          <w:rFonts w:hint="eastAsia"/>
        </w:rPr>
        <w:t>可在</w:t>
      </w:r>
      <w:proofErr w:type="spellEnd"/>
      <w:r w:rsidRPr="003A3566">
        <w:rPr>
          <w:rFonts w:hint="eastAsia"/>
        </w:rPr>
        <w:t xml:space="preserve"> </w:t>
      </w:r>
      <w:proofErr w:type="spellStart"/>
      <w:r w:rsidRPr="003A3566">
        <w:rPr>
          <w:rFonts w:hint="eastAsia"/>
        </w:rPr>
        <w:t>Matlab</w:t>
      </w:r>
      <w:proofErr w:type="spellEnd"/>
      <w:r w:rsidRPr="003A3566">
        <w:rPr>
          <w:rFonts w:hint="eastAsia"/>
        </w:rPr>
        <w:t xml:space="preserve"> </w:t>
      </w:r>
      <w:proofErr w:type="spellStart"/>
      <w:r w:rsidRPr="003A3566">
        <w:rPr>
          <w:rFonts w:hint="eastAsia"/>
        </w:rPr>
        <w:t>文件</w:t>
      </w:r>
      <w:proofErr w:type="spellEnd"/>
      <w:r w:rsidRPr="003A3566">
        <w:rPr>
          <w:rFonts w:hint="eastAsia"/>
        </w:rPr>
        <w:t xml:space="preserve"> </w:t>
      </w:r>
      <w:proofErr w:type="spellStart"/>
      <w:r w:rsidRPr="003A3566">
        <w:rPr>
          <w:rFonts w:hint="eastAsia"/>
        </w:rPr>
        <w:t>STET.m</w:t>
      </w:r>
      <w:proofErr w:type="spellEnd"/>
      <w:r w:rsidRPr="003A3566">
        <w:rPr>
          <w:rFonts w:hint="eastAsia"/>
        </w:rPr>
        <w:t xml:space="preserve"> </w:t>
      </w:r>
      <w:proofErr w:type="spellStart"/>
      <w:r w:rsidRPr="003A3566">
        <w:rPr>
          <w:rFonts w:hint="eastAsia"/>
        </w:rPr>
        <w:t>中更改</w:t>
      </w:r>
      <w:proofErr w:type="spellEnd"/>
      <w:r w:rsidRPr="003A3566">
        <w:rPr>
          <w:rFonts w:hint="eastAsia"/>
        </w:rPr>
        <w:t xml:space="preserve"> .xlsx </w:t>
      </w:r>
      <w:proofErr w:type="spellStart"/>
      <w:r w:rsidRPr="003A3566">
        <w:rPr>
          <w:rFonts w:hint="eastAsia"/>
        </w:rPr>
        <w:t>文件的名称</w:t>
      </w:r>
      <w:proofErr w:type="spellEnd"/>
      <w:r w:rsidRPr="003A3566">
        <w:rPr>
          <w:rFonts w:hint="eastAsia"/>
        </w:rPr>
        <w:t>。</w:t>
      </w:r>
    </w:p>
    <w:p w14:paraId="3EB68868" w14:textId="4B9804FA" w:rsidR="00492E42" w:rsidRDefault="00492E42" w:rsidP="00E0289B">
      <w:r>
        <w:t xml:space="preserve">Run the file </w:t>
      </w:r>
      <w:proofErr w:type="spellStart"/>
      <w:r>
        <w:t>STET.m</w:t>
      </w:r>
      <w:proofErr w:type="spellEnd"/>
      <w:r>
        <w:t xml:space="preserve"> to check the stability performance and animate the least stable (including unstable) mode. </w:t>
      </w:r>
      <w:r w:rsidR="00E0289B">
        <w:t>For the example data the following results are obtained:</w:t>
      </w:r>
    </w:p>
    <w:p w14:paraId="2203CACE" w14:textId="03A0CB88" w:rsidR="003A3566" w:rsidRDefault="003A3566" w:rsidP="00E0289B">
      <w:r w:rsidRPr="003A3566">
        <w:rPr>
          <w:rFonts w:hint="eastAsia"/>
          <w:lang w:eastAsia="zh-CN"/>
        </w:rPr>
        <w:t>运行</w:t>
      </w:r>
      <w:r w:rsidRPr="003A3566">
        <w:rPr>
          <w:rFonts w:hint="eastAsia"/>
          <w:lang w:eastAsia="zh-CN"/>
        </w:rPr>
        <w:t xml:space="preserve"> </w:t>
      </w:r>
      <w:proofErr w:type="spellStart"/>
      <w:r w:rsidRPr="003A3566">
        <w:rPr>
          <w:rFonts w:hint="eastAsia"/>
          <w:lang w:eastAsia="zh-CN"/>
        </w:rPr>
        <w:t>STET.m</w:t>
      </w:r>
      <w:proofErr w:type="spellEnd"/>
      <w:r w:rsidRPr="003A3566">
        <w:rPr>
          <w:rFonts w:hint="eastAsia"/>
          <w:lang w:eastAsia="zh-CN"/>
        </w:rPr>
        <w:t xml:space="preserve"> </w:t>
      </w:r>
      <w:r w:rsidRPr="003A3566">
        <w:rPr>
          <w:rFonts w:hint="eastAsia"/>
          <w:lang w:eastAsia="zh-CN"/>
        </w:rPr>
        <w:t>文件检查稳定性能，并将最不稳定（包括不稳定）模式制成动画。</w:t>
      </w:r>
      <w:proofErr w:type="spellStart"/>
      <w:r w:rsidRPr="003A3566">
        <w:rPr>
          <w:rFonts w:hint="eastAsia"/>
        </w:rPr>
        <w:t>示例数据的结果如下</w:t>
      </w:r>
      <w:proofErr w:type="spellEnd"/>
      <w:r w:rsidRPr="003A3566">
        <w:rPr>
          <w:rFonts w:hint="eastAsia"/>
        </w:rPr>
        <w:t>：</w:t>
      </w:r>
    </w:p>
    <w:p w14:paraId="4BDE9D62" w14:textId="0403C99C" w:rsidR="006C0AAF" w:rsidRDefault="0038668E" w:rsidP="006C0AAF">
      <w:pPr>
        <w:spacing w:after="0" w:line="240" w:lineRule="auto"/>
      </w:pPr>
      <w:r w:rsidRPr="0038668E">
        <w:rPr>
          <w:noProof/>
        </w:rPr>
        <w:drawing>
          <wp:inline distT="0" distB="0" distL="0" distR="0" wp14:anchorId="3FD69706" wp14:editId="761AE694">
            <wp:extent cx="2468880" cy="1007689"/>
            <wp:effectExtent l="0" t="0" r="762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0112"/>
                    <a:stretch/>
                  </pic:blipFill>
                  <pic:spPr bwMode="auto">
                    <a:xfrm>
                      <a:off x="0" y="0"/>
                      <a:ext cx="2499038" cy="1019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A3566" w:rsidRPr="0038668E">
        <w:rPr>
          <w:noProof/>
        </w:rPr>
        <w:drawing>
          <wp:inline distT="0" distB="0" distL="0" distR="0" wp14:anchorId="5C0ECCF0" wp14:editId="47E2F12B">
            <wp:extent cx="2264359" cy="1057523"/>
            <wp:effectExtent l="0" t="0" r="3175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1255" b="34545"/>
                    <a:stretch/>
                  </pic:blipFill>
                  <pic:spPr bwMode="auto">
                    <a:xfrm>
                      <a:off x="0" y="0"/>
                      <a:ext cx="2306156" cy="1077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A3566" w:rsidRPr="0038668E">
        <w:rPr>
          <w:noProof/>
        </w:rPr>
        <w:drawing>
          <wp:inline distT="0" distB="0" distL="0" distR="0" wp14:anchorId="205A12C8" wp14:editId="11411D7B">
            <wp:extent cx="2576223" cy="1181465"/>
            <wp:effectExtent l="0" t="0" r="0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6418"/>
                    <a:stretch/>
                  </pic:blipFill>
                  <pic:spPr bwMode="auto">
                    <a:xfrm>
                      <a:off x="0" y="0"/>
                      <a:ext cx="2625544" cy="1204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2EFF9" w14:textId="77777777" w:rsidR="00C11F5A" w:rsidRDefault="00C11F5A" w:rsidP="006C0AAF">
      <w:pPr>
        <w:spacing w:after="0" w:line="240" w:lineRule="auto"/>
      </w:pPr>
    </w:p>
    <w:p w14:paraId="7C3D0E2A" w14:textId="6867248C" w:rsidR="006C0AAF" w:rsidRDefault="0075706E" w:rsidP="006C0AAF">
      <w:r>
        <w:lastRenderedPageBreak/>
        <w:t>Since CASE 1 has the most units, then the most modes correspondingly. The mode index for the remaining cases are set according to CASE 1. For CASE 1, t</w:t>
      </w:r>
      <w:r w:rsidR="006C0AAF">
        <w:t>he mode numbers are assigned by Matlab in order of decreasing stability</w:t>
      </w:r>
      <w:r>
        <w:t>, with d</w:t>
      </w:r>
      <w:r w:rsidR="006C0AAF">
        <w:t>uplicated (complex conjugate) modes are removed as they carry no additional information (they correspond to negative frequencies and are physically the same as the positive frequencies).</w:t>
      </w:r>
      <w:r>
        <w:t xml:space="preserve"> Then the mode index of the remaining </w:t>
      </w:r>
      <w:r w:rsidR="002C4CC1">
        <w:t>CASES are re-assigned according the distance between its eigenvalues and CASE 1’s. For example, for mode 2 in CASE 1, if the 4</w:t>
      </w:r>
      <w:r w:rsidR="002C4CC1" w:rsidRPr="002C4CC1">
        <w:rPr>
          <w:vertAlign w:val="superscript"/>
        </w:rPr>
        <w:t>th</w:t>
      </w:r>
      <w:r w:rsidR="002C4CC1">
        <w:t xml:space="preserve"> eigen value of CASE 2 is the closest one to 2</w:t>
      </w:r>
      <w:r w:rsidR="002C4CC1" w:rsidRPr="002C4CC1">
        <w:rPr>
          <w:vertAlign w:val="superscript"/>
        </w:rPr>
        <w:t>nd</w:t>
      </w:r>
      <w:r w:rsidR="002C4CC1">
        <w:t xml:space="preserve"> of CASE 1, then mode 4 of CASE 2 will be re-assigned as mode 2. And </w:t>
      </w:r>
      <w:r w:rsidR="00AB7E58">
        <w:t xml:space="preserve">if CASE 2 has less units, there should be some missing mode when all modes in CASE 2 has been re-assigned. Eigenvalues, eigenvectors, frequencies, damping ratios, and settling times are set to be </w:t>
      </w:r>
      <w:proofErr w:type="spellStart"/>
      <w:r w:rsidR="00AB7E58">
        <w:t>NaNs</w:t>
      </w:r>
      <w:proofErr w:type="spellEnd"/>
      <w:r w:rsidR="00AB7E58">
        <w:t xml:space="preserve"> for the table, or zeros for the trend plotting.</w:t>
      </w:r>
    </w:p>
    <w:p w14:paraId="57F1EADF" w14:textId="1AE0B521" w:rsidR="003B4B04" w:rsidRDefault="003B4B04" w:rsidP="006C0AAF">
      <w:pPr>
        <w:rPr>
          <w:lang w:eastAsia="zh-CN"/>
        </w:rPr>
      </w:pPr>
      <w:r w:rsidRPr="003B4B04">
        <w:rPr>
          <w:rFonts w:hint="eastAsia"/>
          <w:lang w:eastAsia="zh-CN"/>
        </w:rPr>
        <w:t>由于</w:t>
      </w:r>
      <w:r w:rsidRPr="003B4B04">
        <w:rPr>
          <w:rFonts w:hint="eastAsia"/>
          <w:lang w:eastAsia="zh-CN"/>
        </w:rPr>
        <w:t xml:space="preserve"> CASE 1 </w:t>
      </w:r>
      <w:r w:rsidRPr="003B4B04">
        <w:rPr>
          <w:rFonts w:hint="eastAsia"/>
          <w:lang w:eastAsia="zh-CN"/>
        </w:rPr>
        <w:t>的单元数最多，因此模式数也相应最多。对于</w:t>
      </w:r>
      <w:r w:rsidRPr="003B4B04">
        <w:rPr>
          <w:rFonts w:hint="eastAsia"/>
          <w:lang w:eastAsia="zh-CN"/>
        </w:rPr>
        <w:t xml:space="preserve"> CASE 1</w:t>
      </w:r>
      <w:r w:rsidRPr="003B4B04">
        <w:rPr>
          <w:rFonts w:hint="eastAsia"/>
          <w:lang w:eastAsia="zh-CN"/>
        </w:rPr>
        <w:t>，</w:t>
      </w:r>
      <w:proofErr w:type="spellStart"/>
      <w:r w:rsidRPr="003B4B04">
        <w:rPr>
          <w:rFonts w:hint="eastAsia"/>
          <w:lang w:eastAsia="zh-CN"/>
        </w:rPr>
        <w:t>Matlab</w:t>
      </w:r>
      <w:proofErr w:type="spellEnd"/>
      <w:r w:rsidRPr="003B4B04">
        <w:rPr>
          <w:rFonts w:hint="eastAsia"/>
          <w:lang w:eastAsia="zh-CN"/>
        </w:rPr>
        <w:t xml:space="preserve"> </w:t>
      </w:r>
      <w:r w:rsidRPr="003B4B04">
        <w:rPr>
          <w:rFonts w:hint="eastAsia"/>
          <w:lang w:eastAsia="zh-CN"/>
        </w:rPr>
        <w:t>将按照稳定性递减的顺序为其分配模式编号，其中重复的（复共轭）模式将被删除，因为它们不包含额外的信息（它们对应负频率，在物理上与正频率相同）。然后根据其特征值与</w:t>
      </w:r>
      <w:r w:rsidRPr="003B4B04">
        <w:rPr>
          <w:rFonts w:hint="eastAsia"/>
          <w:lang w:eastAsia="zh-CN"/>
        </w:rPr>
        <w:t xml:space="preserve"> CASE 1 </w:t>
      </w:r>
      <w:r w:rsidRPr="003B4B04">
        <w:rPr>
          <w:rFonts w:hint="eastAsia"/>
          <w:lang w:eastAsia="zh-CN"/>
        </w:rPr>
        <w:t>的特征值之间的距离重新分配其余</w:t>
      </w:r>
      <w:r w:rsidRPr="003B4B04">
        <w:rPr>
          <w:rFonts w:hint="eastAsia"/>
          <w:lang w:eastAsia="zh-CN"/>
        </w:rPr>
        <w:t xml:space="preserve"> CASE </w:t>
      </w:r>
      <w:r w:rsidRPr="003B4B04">
        <w:rPr>
          <w:rFonts w:hint="eastAsia"/>
          <w:lang w:eastAsia="zh-CN"/>
        </w:rPr>
        <w:t>的模式索引。例如，对于</w:t>
      </w:r>
      <w:r w:rsidRPr="003B4B04">
        <w:rPr>
          <w:rFonts w:hint="eastAsia"/>
          <w:lang w:eastAsia="zh-CN"/>
        </w:rPr>
        <w:t xml:space="preserve"> CASE 1 </w:t>
      </w:r>
      <w:r w:rsidRPr="003B4B04">
        <w:rPr>
          <w:rFonts w:hint="eastAsia"/>
          <w:lang w:eastAsia="zh-CN"/>
        </w:rPr>
        <w:t>中的模式</w:t>
      </w:r>
      <w:r w:rsidRPr="003B4B04">
        <w:rPr>
          <w:rFonts w:hint="eastAsia"/>
          <w:lang w:eastAsia="zh-CN"/>
        </w:rPr>
        <w:t xml:space="preserve"> 2</w:t>
      </w:r>
      <w:r w:rsidRPr="003B4B04">
        <w:rPr>
          <w:rFonts w:hint="eastAsia"/>
          <w:lang w:eastAsia="zh-CN"/>
        </w:rPr>
        <w:t>，如果</w:t>
      </w:r>
      <w:r w:rsidRPr="003B4B04">
        <w:rPr>
          <w:rFonts w:hint="eastAsia"/>
          <w:lang w:eastAsia="zh-CN"/>
        </w:rPr>
        <w:t xml:space="preserve"> CASE 2 </w:t>
      </w:r>
      <w:r w:rsidRPr="003B4B04">
        <w:rPr>
          <w:rFonts w:hint="eastAsia"/>
          <w:lang w:eastAsia="zh-CN"/>
        </w:rPr>
        <w:t>的第</w:t>
      </w:r>
      <w:r w:rsidRPr="003B4B04">
        <w:rPr>
          <w:rFonts w:hint="eastAsia"/>
          <w:lang w:eastAsia="zh-CN"/>
        </w:rPr>
        <w:t xml:space="preserve"> 4 </w:t>
      </w:r>
      <w:r w:rsidRPr="003B4B04">
        <w:rPr>
          <w:rFonts w:hint="eastAsia"/>
          <w:lang w:eastAsia="zh-CN"/>
        </w:rPr>
        <w:t>个特征值最接近</w:t>
      </w:r>
      <w:r w:rsidRPr="003B4B04">
        <w:rPr>
          <w:rFonts w:hint="eastAsia"/>
          <w:lang w:eastAsia="zh-CN"/>
        </w:rPr>
        <w:t xml:space="preserve"> CASE 1 </w:t>
      </w:r>
      <w:r w:rsidRPr="003B4B04">
        <w:rPr>
          <w:rFonts w:hint="eastAsia"/>
          <w:lang w:eastAsia="zh-CN"/>
        </w:rPr>
        <w:t>的第</w:t>
      </w:r>
      <w:r w:rsidRPr="003B4B04">
        <w:rPr>
          <w:rFonts w:hint="eastAsia"/>
          <w:lang w:eastAsia="zh-CN"/>
        </w:rPr>
        <w:t xml:space="preserve"> 2 </w:t>
      </w:r>
      <w:r w:rsidRPr="003B4B04">
        <w:rPr>
          <w:rFonts w:hint="eastAsia"/>
          <w:lang w:eastAsia="zh-CN"/>
        </w:rPr>
        <w:t>个特征值，那么</w:t>
      </w:r>
      <w:r w:rsidRPr="003B4B04">
        <w:rPr>
          <w:rFonts w:hint="eastAsia"/>
          <w:lang w:eastAsia="zh-CN"/>
        </w:rPr>
        <w:t xml:space="preserve"> CASE 2 </w:t>
      </w:r>
      <w:r w:rsidRPr="003B4B04">
        <w:rPr>
          <w:rFonts w:hint="eastAsia"/>
          <w:lang w:eastAsia="zh-CN"/>
        </w:rPr>
        <w:t>的模式</w:t>
      </w:r>
      <w:r w:rsidRPr="003B4B04">
        <w:rPr>
          <w:rFonts w:hint="eastAsia"/>
          <w:lang w:eastAsia="zh-CN"/>
        </w:rPr>
        <w:t xml:space="preserve"> 4 </w:t>
      </w:r>
      <w:r w:rsidRPr="003B4B04">
        <w:rPr>
          <w:rFonts w:hint="eastAsia"/>
          <w:lang w:eastAsia="zh-CN"/>
        </w:rPr>
        <w:t>将被重新分配为模式</w:t>
      </w:r>
      <w:r w:rsidRPr="003B4B04">
        <w:rPr>
          <w:rFonts w:hint="eastAsia"/>
          <w:lang w:eastAsia="zh-CN"/>
        </w:rPr>
        <w:t xml:space="preserve"> 2</w:t>
      </w:r>
      <w:r w:rsidRPr="003B4B04">
        <w:rPr>
          <w:rFonts w:hint="eastAsia"/>
          <w:lang w:eastAsia="zh-CN"/>
        </w:rPr>
        <w:t>。如果</w:t>
      </w:r>
      <w:r w:rsidRPr="003B4B04">
        <w:rPr>
          <w:rFonts w:hint="eastAsia"/>
          <w:lang w:eastAsia="zh-CN"/>
        </w:rPr>
        <w:t xml:space="preserve"> CASE 2 </w:t>
      </w:r>
      <w:r w:rsidRPr="003B4B04">
        <w:rPr>
          <w:rFonts w:hint="eastAsia"/>
          <w:lang w:eastAsia="zh-CN"/>
        </w:rPr>
        <w:t>的单元数较少，那么当</w:t>
      </w:r>
      <w:r w:rsidRPr="003B4B04">
        <w:rPr>
          <w:rFonts w:hint="eastAsia"/>
          <w:lang w:eastAsia="zh-CN"/>
        </w:rPr>
        <w:t xml:space="preserve"> CASE 2 </w:t>
      </w:r>
      <w:r w:rsidRPr="003B4B04">
        <w:rPr>
          <w:rFonts w:hint="eastAsia"/>
          <w:lang w:eastAsia="zh-CN"/>
        </w:rPr>
        <w:t>中的所有模式都被重新分配后，应该会有一些缺失的模式。在表格中，特征值、特征向量、频率、阻尼比和稳定时间均设置为</w:t>
      </w:r>
      <w:r w:rsidRPr="003B4B04">
        <w:rPr>
          <w:rFonts w:hint="eastAsia"/>
          <w:lang w:eastAsia="zh-CN"/>
        </w:rPr>
        <w:t xml:space="preserve"> </w:t>
      </w:r>
      <w:proofErr w:type="spellStart"/>
      <w:r w:rsidRPr="003B4B04">
        <w:rPr>
          <w:rFonts w:hint="eastAsia"/>
          <w:lang w:eastAsia="zh-CN"/>
        </w:rPr>
        <w:t>NaNs</w:t>
      </w:r>
      <w:proofErr w:type="spellEnd"/>
      <w:r w:rsidRPr="003B4B04">
        <w:rPr>
          <w:rFonts w:hint="eastAsia"/>
          <w:lang w:eastAsia="zh-CN"/>
        </w:rPr>
        <w:t>，在趋势图中则设置为</w:t>
      </w:r>
      <w:r w:rsidRPr="003B4B04">
        <w:rPr>
          <w:rFonts w:hint="eastAsia"/>
          <w:lang w:eastAsia="zh-CN"/>
        </w:rPr>
        <w:t xml:space="preserve"> 0</w:t>
      </w:r>
      <w:r w:rsidRPr="003B4B04">
        <w:rPr>
          <w:rFonts w:hint="eastAsia"/>
          <w:lang w:eastAsia="zh-CN"/>
        </w:rPr>
        <w:t>。</w:t>
      </w:r>
    </w:p>
    <w:p w14:paraId="59E5146F" w14:textId="5075969C" w:rsidR="006C0AAF" w:rsidRDefault="006C0AAF" w:rsidP="006C0AAF">
      <w:r>
        <w:t>Here</w:t>
      </w:r>
      <w:r w:rsidR="009C252E">
        <w:t xml:space="preserve"> for CASE 2</w:t>
      </w:r>
      <w:r>
        <w:t xml:space="preserve"> it is Mode </w:t>
      </w:r>
      <w:r w:rsidR="009C252E">
        <w:t>6</w:t>
      </w:r>
      <w:r>
        <w:t xml:space="preserve"> that shows the worst stability. Normally the (5%) settling time is the time it takes for </w:t>
      </w:r>
      <w:r w:rsidR="007A3A81">
        <w:t>it</w:t>
      </w:r>
      <w:r>
        <w:t xml:space="preserve"> to settle </w:t>
      </w:r>
      <w:r w:rsidR="00C11F5A">
        <w:t xml:space="preserve">from 100% to 5% amplitude (amplitude to reduce by a factor of 20). The negative settling time for unstable Mode </w:t>
      </w:r>
      <w:r w:rsidR="009C252E">
        <w:t>6</w:t>
      </w:r>
      <w:r w:rsidR="00C11F5A">
        <w:t xml:space="preserve"> indicates that in Case </w:t>
      </w:r>
      <w:r w:rsidR="009C252E">
        <w:t>2</w:t>
      </w:r>
      <w:r w:rsidR="00C11F5A">
        <w:t xml:space="preserve"> the instability is quite slow, it takes </w:t>
      </w:r>
      <w:r w:rsidR="009C252E">
        <w:t>1554.8</w:t>
      </w:r>
      <w:r w:rsidR="00C11F5A">
        <w:t xml:space="preserve"> seconds for the amplitude to grow by a factor of 20. </w:t>
      </w:r>
      <w:r w:rsidR="00011DEB">
        <w:t>Similarly,</w:t>
      </w:r>
      <w:r w:rsidR="00C11F5A">
        <w:t xml:space="preserve"> a damping ratio close to zero indicated borderline instability, while larger negative damping ratio for Mode </w:t>
      </w:r>
      <w:r w:rsidR="009C252E">
        <w:t>6</w:t>
      </w:r>
      <w:r w:rsidR="00C11F5A">
        <w:t xml:space="preserve"> in Case 2 shows that the instability is more serious. </w:t>
      </w:r>
    </w:p>
    <w:p w14:paraId="4A1FC699" w14:textId="2867E62D" w:rsidR="003B4B04" w:rsidRDefault="003B4B04" w:rsidP="006C0AAF">
      <w:pPr>
        <w:rPr>
          <w:lang w:eastAsia="zh-CN"/>
        </w:rPr>
      </w:pPr>
      <w:r w:rsidRPr="003B4B04">
        <w:rPr>
          <w:rFonts w:hint="eastAsia"/>
          <w:lang w:eastAsia="zh-CN"/>
        </w:rPr>
        <w:t>在案例</w:t>
      </w:r>
      <w:r w:rsidRPr="003B4B04">
        <w:rPr>
          <w:rFonts w:hint="eastAsia"/>
          <w:lang w:eastAsia="zh-CN"/>
        </w:rPr>
        <w:t xml:space="preserve"> 2 </w:t>
      </w:r>
      <w:r w:rsidRPr="003B4B04">
        <w:rPr>
          <w:rFonts w:hint="eastAsia"/>
          <w:lang w:eastAsia="zh-CN"/>
        </w:rPr>
        <w:t>中，模式</w:t>
      </w:r>
      <w:r w:rsidRPr="003B4B04">
        <w:rPr>
          <w:rFonts w:hint="eastAsia"/>
          <w:lang w:eastAsia="zh-CN"/>
        </w:rPr>
        <w:t xml:space="preserve"> 6 </w:t>
      </w:r>
      <w:r w:rsidRPr="003B4B04">
        <w:rPr>
          <w:rFonts w:hint="eastAsia"/>
          <w:lang w:eastAsia="zh-CN"/>
        </w:rPr>
        <w:t>的稳定性最差。通常，（</w:t>
      </w:r>
      <w:r w:rsidRPr="003B4B04">
        <w:rPr>
          <w:rFonts w:hint="eastAsia"/>
          <w:lang w:eastAsia="zh-CN"/>
        </w:rPr>
        <w:t>5%</w:t>
      </w:r>
      <w:r w:rsidRPr="003B4B04">
        <w:rPr>
          <w:rFonts w:hint="eastAsia"/>
          <w:lang w:eastAsia="zh-CN"/>
        </w:rPr>
        <w:t>）稳定时间是指振幅从</w:t>
      </w:r>
      <w:r w:rsidRPr="003B4B04">
        <w:rPr>
          <w:rFonts w:hint="eastAsia"/>
          <w:lang w:eastAsia="zh-CN"/>
        </w:rPr>
        <w:t xml:space="preserve"> 100%</w:t>
      </w:r>
      <w:r w:rsidRPr="003B4B04">
        <w:rPr>
          <w:rFonts w:hint="eastAsia"/>
          <w:lang w:eastAsia="zh-CN"/>
        </w:rPr>
        <w:t>稳定到</w:t>
      </w:r>
      <w:r w:rsidRPr="003B4B04">
        <w:rPr>
          <w:rFonts w:hint="eastAsia"/>
          <w:lang w:eastAsia="zh-CN"/>
        </w:rPr>
        <w:t xml:space="preserve"> 5%</w:t>
      </w:r>
      <w:r w:rsidRPr="003B4B04">
        <w:rPr>
          <w:rFonts w:hint="eastAsia"/>
          <w:lang w:eastAsia="zh-CN"/>
        </w:rPr>
        <w:t>（振幅减小</w:t>
      </w:r>
      <w:r w:rsidRPr="003B4B04">
        <w:rPr>
          <w:rFonts w:hint="eastAsia"/>
          <w:lang w:eastAsia="zh-CN"/>
        </w:rPr>
        <w:t xml:space="preserve"> 20 </w:t>
      </w:r>
      <w:r w:rsidRPr="003B4B04">
        <w:rPr>
          <w:rFonts w:hint="eastAsia"/>
          <w:lang w:eastAsia="zh-CN"/>
        </w:rPr>
        <w:t>倍）所需的时间。不稳定模式</w:t>
      </w:r>
      <w:r w:rsidRPr="003B4B04">
        <w:rPr>
          <w:rFonts w:hint="eastAsia"/>
          <w:lang w:eastAsia="zh-CN"/>
        </w:rPr>
        <w:t xml:space="preserve"> 6 </w:t>
      </w:r>
      <w:r w:rsidRPr="003B4B04">
        <w:rPr>
          <w:rFonts w:hint="eastAsia"/>
          <w:lang w:eastAsia="zh-CN"/>
        </w:rPr>
        <w:t>的负沉降时间表明，在情况</w:t>
      </w:r>
      <w:r w:rsidRPr="003B4B04">
        <w:rPr>
          <w:rFonts w:hint="eastAsia"/>
          <w:lang w:eastAsia="zh-CN"/>
        </w:rPr>
        <w:t xml:space="preserve"> 2 </w:t>
      </w:r>
      <w:r w:rsidRPr="003B4B04">
        <w:rPr>
          <w:rFonts w:hint="eastAsia"/>
          <w:lang w:eastAsia="zh-CN"/>
        </w:rPr>
        <w:t>中，不稳定性相当缓慢，振幅增长</w:t>
      </w:r>
      <w:r w:rsidRPr="003B4B04">
        <w:rPr>
          <w:rFonts w:hint="eastAsia"/>
          <w:lang w:eastAsia="zh-CN"/>
        </w:rPr>
        <w:t xml:space="preserve"> 20 </w:t>
      </w:r>
      <w:r w:rsidRPr="003B4B04">
        <w:rPr>
          <w:rFonts w:hint="eastAsia"/>
          <w:lang w:eastAsia="zh-CN"/>
        </w:rPr>
        <w:t>倍需要</w:t>
      </w:r>
      <w:r w:rsidRPr="003B4B04">
        <w:rPr>
          <w:rFonts w:hint="eastAsia"/>
          <w:lang w:eastAsia="zh-CN"/>
        </w:rPr>
        <w:t xml:space="preserve"> 1554.8 </w:t>
      </w:r>
      <w:r w:rsidRPr="003B4B04">
        <w:rPr>
          <w:rFonts w:hint="eastAsia"/>
          <w:lang w:eastAsia="zh-CN"/>
        </w:rPr>
        <w:t>秒。同样，阻尼比接近于零表明不稳定性处于边缘状态，而情况</w:t>
      </w:r>
      <w:r w:rsidRPr="003B4B04">
        <w:rPr>
          <w:rFonts w:hint="eastAsia"/>
          <w:lang w:eastAsia="zh-CN"/>
        </w:rPr>
        <w:t xml:space="preserve"> 2 </w:t>
      </w:r>
      <w:r w:rsidRPr="003B4B04">
        <w:rPr>
          <w:rFonts w:hint="eastAsia"/>
          <w:lang w:eastAsia="zh-CN"/>
        </w:rPr>
        <w:t>中模式</w:t>
      </w:r>
      <w:r w:rsidRPr="003B4B04">
        <w:rPr>
          <w:rFonts w:hint="eastAsia"/>
          <w:lang w:eastAsia="zh-CN"/>
        </w:rPr>
        <w:t xml:space="preserve"> 6 </w:t>
      </w:r>
      <w:r w:rsidRPr="003B4B04">
        <w:rPr>
          <w:rFonts w:hint="eastAsia"/>
          <w:lang w:eastAsia="zh-CN"/>
        </w:rPr>
        <w:t>的负阻尼比较大，表明不稳定性更为严重。</w:t>
      </w:r>
    </w:p>
    <w:p w14:paraId="4E5764F3" w14:textId="1F5D1CB2" w:rsidR="00AB7E58" w:rsidRDefault="00C11F5A" w:rsidP="00AB7E58">
      <w:r>
        <w:t xml:space="preserve">The mode shapes are displayed in figure windows, e.g.  for Case </w:t>
      </w:r>
      <w:r w:rsidR="00011DEB">
        <w:t>2</w:t>
      </w:r>
      <w:r>
        <w:t xml:space="preserve">. The green figure shows the starting mode shape, while the black shape is the new position after 2 seconds. Clearly modes </w:t>
      </w:r>
      <w:r w:rsidR="00011DEB">
        <w:t>2</w:t>
      </w:r>
      <w:r>
        <w:t xml:space="preserve">, </w:t>
      </w:r>
      <w:r w:rsidR="00011DEB">
        <w:t>3</w:t>
      </w:r>
      <w:r>
        <w:t xml:space="preserve">, 4 are </w:t>
      </w:r>
      <w:r w:rsidR="00011DEB">
        <w:t>more</w:t>
      </w:r>
      <w:r>
        <w:t xml:space="preserve"> stable, but </w:t>
      </w:r>
      <w:r w:rsidR="00011DEB">
        <w:t>m</w:t>
      </w:r>
      <w:r>
        <w:t>ode 5</w:t>
      </w:r>
      <w:r w:rsidR="00011DEB">
        <w:t>, 6</w:t>
      </w:r>
      <w:r>
        <w:t xml:space="preserve"> grow in amplitude.</w:t>
      </w:r>
    </w:p>
    <w:p w14:paraId="52229A13" w14:textId="367018CE" w:rsidR="003B4B04" w:rsidRDefault="003B4B04" w:rsidP="00AB7E58">
      <w:pPr>
        <w:rPr>
          <w:lang w:eastAsia="zh-CN"/>
        </w:rPr>
      </w:pPr>
      <w:r w:rsidRPr="003B4B04">
        <w:rPr>
          <w:rFonts w:hint="eastAsia"/>
          <w:lang w:eastAsia="zh-CN"/>
        </w:rPr>
        <w:t>模式形状显示在图示窗口中，例如案例</w:t>
      </w:r>
      <w:r w:rsidRPr="003B4B04">
        <w:rPr>
          <w:rFonts w:hint="eastAsia"/>
          <w:lang w:eastAsia="zh-CN"/>
        </w:rPr>
        <w:t xml:space="preserve"> 2</w:t>
      </w:r>
      <w:r w:rsidRPr="003B4B04">
        <w:rPr>
          <w:rFonts w:hint="eastAsia"/>
          <w:lang w:eastAsia="zh-CN"/>
        </w:rPr>
        <w:t>。绿色显示的是起始模式形状，黑色显示的是</w:t>
      </w:r>
      <w:r w:rsidRPr="003B4B04">
        <w:rPr>
          <w:rFonts w:hint="eastAsia"/>
          <w:lang w:eastAsia="zh-CN"/>
        </w:rPr>
        <w:t xml:space="preserve"> 2 </w:t>
      </w:r>
      <w:r w:rsidRPr="003B4B04">
        <w:rPr>
          <w:rFonts w:hint="eastAsia"/>
          <w:lang w:eastAsia="zh-CN"/>
        </w:rPr>
        <w:t>秒钟后的新位置。很明显，模式</w:t>
      </w:r>
      <w:r w:rsidRPr="003B4B04">
        <w:rPr>
          <w:rFonts w:hint="eastAsia"/>
          <w:lang w:eastAsia="zh-CN"/>
        </w:rPr>
        <w:t xml:space="preserve"> 2</w:t>
      </w:r>
      <w:r w:rsidRPr="003B4B04">
        <w:rPr>
          <w:rFonts w:hint="eastAsia"/>
          <w:lang w:eastAsia="zh-CN"/>
        </w:rPr>
        <w:t>、</w:t>
      </w:r>
      <w:r w:rsidRPr="003B4B04">
        <w:rPr>
          <w:rFonts w:hint="eastAsia"/>
          <w:lang w:eastAsia="zh-CN"/>
        </w:rPr>
        <w:t>3</w:t>
      </w:r>
      <w:r w:rsidRPr="003B4B04">
        <w:rPr>
          <w:rFonts w:hint="eastAsia"/>
          <w:lang w:eastAsia="zh-CN"/>
        </w:rPr>
        <w:t>、</w:t>
      </w:r>
      <w:r w:rsidRPr="003B4B04">
        <w:rPr>
          <w:rFonts w:hint="eastAsia"/>
          <w:lang w:eastAsia="zh-CN"/>
        </w:rPr>
        <w:t xml:space="preserve">4 </w:t>
      </w:r>
      <w:r w:rsidRPr="003B4B04">
        <w:rPr>
          <w:rFonts w:hint="eastAsia"/>
          <w:lang w:eastAsia="zh-CN"/>
        </w:rPr>
        <w:t>更加稳定，但模式</w:t>
      </w:r>
      <w:r w:rsidRPr="003B4B04">
        <w:rPr>
          <w:rFonts w:hint="eastAsia"/>
          <w:lang w:eastAsia="zh-CN"/>
        </w:rPr>
        <w:t xml:space="preserve"> 5</w:t>
      </w:r>
      <w:r w:rsidRPr="003B4B04">
        <w:rPr>
          <w:rFonts w:hint="eastAsia"/>
          <w:lang w:eastAsia="zh-CN"/>
        </w:rPr>
        <w:t>、</w:t>
      </w:r>
      <w:r w:rsidRPr="003B4B04">
        <w:rPr>
          <w:rFonts w:hint="eastAsia"/>
          <w:lang w:eastAsia="zh-CN"/>
        </w:rPr>
        <w:t xml:space="preserve">6 </w:t>
      </w:r>
      <w:r w:rsidRPr="003B4B04">
        <w:rPr>
          <w:rFonts w:hint="eastAsia"/>
          <w:lang w:eastAsia="zh-CN"/>
        </w:rPr>
        <w:t>的振幅有所增大。</w:t>
      </w:r>
    </w:p>
    <w:p w14:paraId="2BA83343" w14:textId="005B6C53" w:rsidR="00AB7E58" w:rsidRDefault="00AB7E58" w:rsidP="00AB7E58">
      <w:pPr>
        <w:jc w:val="center"/>
      </w:pPr>
      <w:r w:rsidRPr="00AB7E58">
        <w:rPr>
          <w:noProof/>
        </w:rPr>
        <w:lastRenderedPageBreak/>
        <w:drawing>
          <wp:inline distT="0" distB="0" distL="0" distR="0" wp14:anchorId="71FD5AC3" wp14:editId="191C4E7A">
            <wp:extent cx="4452851" cy="4612694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649" cy="467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9AF6" w14:textId="5567A3D5" w:rsidR="00C11F5A" w:rsidRDefault="00C11F5A" w:rsidP="006C0AAF"/>
    <w:p w14:paraId="072DB1F9" w14:textId="4506BEEE" w:rsidR="001F4470" w:rsidRDefault="001F4470" w:rsidP="006C0AAF">
      <w:r>
        <w:t>A final plot shows the trend between cases.</w:t>
      </w:r>
      <w:r w:rsidR="00015AEB">
        <w:t xml:space="preserve"> For variables close to zero or one, zoom is needed to check the details.</w:t>
      </w:r>
      <w:r>
        <w:t xml:space="preserve"> </w:t>
      </w:r>
    </w:p>
    <w:p w14:paraId="2ED7947E" w14:textId="04063D77" w:rsidR="003B4B04" w:rsidRDefault="003B4B04" w:rsidP="006C0AAF">
      <w:pPr>
        <w:rPr>
          <w:lang w:eastAsia="zh-CN"/>
        </w:rPr>
      </w:pPr>
      <w:r w:rsidRPr="003B4B04">
        <w:rPr>
          <w:rFonts w:hint="eastAsia"/>
          <w:lang w:eastAsia="zh-CN"/>
        </w:rPr>
        <w:t>最后一幅图显示了不同情况下的趋势。对于接近零或一的变量，需要放大以检查细节。</w:t>
      </w:r>
    </w:p>
    <w:p w14:paraId="7A6E5DA6" w14:textId="1ADEAD23" w:rsidR="001F4470" w:rsidRDefault="00011DEB" w:rsidP="00015AEB">
      <w:pPr>
        <w:jc w:val="center"/>
      </w:pPr>
      <w:r w:rsidRPr="00011DEB">
        <w:rPr>
          <w:noProof/>
        </w:rPr>
        <w:drawing>
          <wp:inline distT="0" distB="0" distL="0" distR="0" wp14:anchorId="6BA4CEB6" wp14:editId="561172FD">
            <wp:extent cx="3288807" cy="2470068"/>
            <wp:effectExtent l="0" t="0" r="698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8385" cy="247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B473C"/>
    <w:multiLevelType w:val="hybridMultilevel"/>
    <w:tmpl w:val="F5C2A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01079"/>
    <w:multiLevelType w:val="hybridMultilevel"/>
    <w:tmpl w:val="2744A10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194459955">
    <w:abstractNumId w:val="1"/>
  </w:num>
  <w:num w:numId="2" w16cid:durableId="1208224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2B78"/>
    <w:rsid w:val="00011DEB"/>
    <w:rsid w:val="00015AEB"/>
    <w:rsid w:val="001F4470"/>
    <w:rsid w:val="00205931"/>
    <w:rsid w:val="002A0462"/>
    <w:rsid w:val="002C4CC1"/>
    <w:rsid w:val="0038668E"/>
    <w:rsid w:val="003A3566"/>
    <w:rsid w:val="003B4B04"/>
    <w:rsid w:val="00465AC4"/>
    <w:rsid w:val="004719DD"/>
    <w:rsid w:val="00492E42"/>
    <w:rsid w:val="004B7F7E"/>
    <w:rsid w:val="004F1EB2"/>
    <w:rsid w:val="006C0AAF"/>
    <w:rsid w:val="0075706E"/>
    <w:rsid w:val="007A3A81"/>
    <w:rsid w:val="007E2B78"/>
    <w:rsid w:val="009C252E"/>
    <w:rsid w:val="00A56560"/>
    <w:rsid w:val="00AB7E58"/>
    <w:rsid w:val="00C11F5A"/>
    <w:rsid w:val="00CB3C56"/>
    <w:rsid w:val="00CB7A6A"/>
    <w:rsid w:val="00DB2E7E"/>
    <w:rsid w:val="00E0289B"/>
    <w:rsid w:val="00E94BC5"/>
    <w:rsid w:val="00FF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204F"/>
  <w15:docId w15:val="{0D336C39-FDD8-4EDF-9836-D70C711D8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4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Gordon</dc:creator>
  <cp:keywords/>
  <dc:description/>
  <cp:lastModifiedBy>超 梁</cp:lastModifiedBy>
  <cp:revision>14</cp:revision>
  <dcterms:created xsi:type="dcterms:W3CDTF">2020-09-14T19:36:00Z</dcterms:created>
  <dcterms:modified xsi:type="dcterms:W3CDTF">2023-11-06T01:42:00Z</dcterms:modified>
</cp:coreProperties>
</file>