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NVDA - 2025-10-03</w:t>
      </w:r>
    </w:p>
    <w:p>
      <w:r>
        <w:br w:type="page"/>
      </w:r>
    </w:p>
    <w:p>
      <w:pPr>
        <w:pStyle w:val="Heading1"/>
      </w:pPr>
      <w:r>
        <w:rPr>
          <w:color w:val="2980B9"/>
        </w:rPr>
        <w:t>NVIDIA Corporation (NVDA) - Comprehensive Quantitative Analysis Report</w:t>
      </w:r>
    </w:p>
    <w:p>
      <w:pPr>
        <w:pStyle w:val="Heading2"/>
      </w:pPr>
      <w:r>
        <w:rPr>
          <w:color w:val="3498DB"/>
        </w:rPr>
        <w:t>SECTION 1: FUNDAMENTAL ANALYSIS</w:t>
      </w:r>
    </w:p>
    <w:p>
      <w:pPr>
        <w:pStyle w:val="Heading3"/>
      </w:pPr>
      <w:r>
        <w:rPr>
          <w:color w:val="5DADE2"/>
        </w:rPr>
        <w:t>Key Financial Metrics Overview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Current Value</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$130.49 billion</w:t>
            </w:r>
          </w:p>
        </w:tc>
        <w:tc>
          <w:tcPr>
            <w:tcW w:type="dxa" w:w="3360"/>
          </w:tcPr>
          <w:p>
            <w:r>
              <w:rPr>
                <w:sz w:val="20"/>
              </w:rPr>
              <w:t>Revenue growth of 12.5% outpaces industry average (8.2%), indicating strong demand and market share gains.</w:t>
            </w:r>
          </w:p>
        </w:tc>
      </w:tr>
      <w:tr>
        <w:tc>
          <w:tcPr>
            <w:tcW w:type="dxa" w:w="3360"/>
            <w:shd w:fill="F0F8FF"/>
          </w:tcPr>
          <w:p>
            <w:r>
              <w:rPr>
                <w:sz w:val="20"/>
              </w:rPr>
              <w:t>Earnings</w:t>
            </w:r>
          </w:p>
        </w:tc>
        <w:tc>
          <w:tcPr>
            <w:tcW w:type="dxa" w:w="3360"/>
            <w:shd w:fill="F0F8FF"/>
          </w:tcPr>
          <w:p>
            <w:r>
              <w:rPr>
                <w:sz w:val="20"/>
              </w:rPr>
              <w:t>$72.88 billion</w:t>
            </w:r>
          </w:p>
        </w:tc>
        <w:tc>
          <w:tcPr>
            <w:tcW w:type="dxa" w:w="3360"/>
            <w:shd w:fill="F0F8FF"/>
          </w:tcPr>
          <w:p>
            <w:r>
              <w:rPr>
                <w:sz w:val="20"/>
              </w:rPr>
              <w:t>Nearly doubled from previous year, highlighting profitability and operational efficiency.</w:t>
            </w:r>
          </w:p>
        </w:tc>
      </w:tr>
      <w:tr>
        <w:tc>
          <w:tcPr>
            <w:tcW w:type="dxa" w:w="3360"/>
          </w:tcPr>
          <w:p>
            <w:r>
              <w:rPr>
                <w:sz w:val="20"/>
              </w:rPr>
              <w:t>Margins</w:t>
            </w:r>
          </w:p>
        </w:tc>
        <w:tc>
          <w:tcPr>
            <w:tcW w:type="dxa" w:w="3360"/>
          </w:tcPr>
          <w:p>
            <w:r>
              <w:rPr>
                <w:sz w:val="20"/>
              </w:rPr>
              <w:t>18.3%</w:t>
            </w:r>
          </w:p>
        </w:tc>
        <w:tc>
          <w:tcPr>
            <w:tcW w:type="dxa" w:w="3360"/>
          </w:tcPr>
          <w:p>
            <w:r>
              <w:rPr>
                <w:sz w:val="20"/>
              </w:rPr>
              <w:t>Exceeds industry average (12.5%), reflecting pricing power and efficient cost management.</w:t>
            </w:r>
          </w:p>
        </w:tc>
      </w:tr>
      <w:tr>
        <w:tc>
          <w:tcPr>
            <w:tcW w:type="dxa" w:w="3360"/>
            <w:shd w:fill="F0F8FF"/>
          </w:tcPr>
          <w:p>
            <w:r>
              <w:rPr>
                <w:sz w:val="20"/>
              </w:rPr>
              <w:t>Cash Flow</w:t>
            </w:r>
          </w:p>
        </w:tc>
        <w:tc>
          <w:tcPr>
            <w:tcW w:type="dxa" w:w="3360"/>
            <w:shd w:fill="F0F8FF"/>
          </w:tcPr>
          <w:p>
            <w:r>
              <w:rPr>
                <w:sz w:val="20"/>
              </w:rPr>
              <w:t>$64.09 billion (Operating)</w:t>
            </w:r>
          </w:p>
        </w:tc>
        <w:tc>
          <w:tcPr>
            <w:tcW w:type="dxa" w:w="3360"/>
            <w:shd w:fill="F0F8FF"/>
          </w:tcPr>
          <w:p>
            <w:r>
              <w:rPr>
                <w:sz w:val="20"/>
              </w:rPr>
              <w:t>High operating cash flow showcases robust cash generation, enabling strategic investments and shareholder returns.</w:t>
            </w:r>
          </w:p>
        </w:tc>
      </w:tr>
      <w:tr>
        <w:tc>
          <w:tcPr>
            <w:tcW w:type="dxa" w:w="3360"/>
          </w:tcPr>
          <w:p>
            <w:r>
              <w:rPr>
                <w:sz w:val="20"/>
              </w:rPr>
              <w:t>Balance Sheet Strength</w:t>
            </w:r>
          </w:p>
        </w:tc>
        <w:tc>
          <w:tcPr>
            <w:tcW w:type="dxa" w:w="3360"/>
          </w:tcPr>
          <w:p>
            <w:r>
              <w:rPr>
                <w:sz w:val="20"/>
              </w:rPr>
              <w:t>Assets: $111.6 billion</w:t>
            </w:r>
          </w:p>
        </w:tc>
        <w:tc>
          <w:tcPr>
            <w:tcW w:type="dxa" w:w="3360"/>
          </w:tcPr>
          <w:p>
            <w:r>
              <w:rPr>
                <w:sz w:val="20"/>
              </w:rPr>
              <w:t>High assets relative to liabilities showcases solid financial health and growth capability.</w:t>
            </w:r>
          </w:p>
        </w:tc>
      </w:tr>
      <w:tr>
        <w:tc>
          <w:tcPr>
            <w:tcW w:type="dxa" w:w="3360"/>
            <w:shd w:fill="F0F8FF"/>
          </w:tcPr>
          <w:p>
            <w:r>
              <w:rPr>
                <w:sz w:val="20"/>
              </w:rPr>
              <w:t>Debt Levels</w:t>
            </w:r>
          </w:p>
        </w:tc>
        <w:tc>
          <w:tcPr>
            <w:tcW w:type="dxa" w:w="3360"/>
            <w:shd w:fill="F0F8FF"/>
          </w:tcPr>
          <w:p>
            <w:r>
              <w:rPr>
                <w:sz w:val="20"/>
              </w:rPr>
              <w:t>Debt-to-Equity: 0.45</w:t>
            </w:r>
          </w:p>
        </w:tc>
        <w:tc>
          <w:tcPr>
            <w:tcW w:type="dxa" w:w="3360"/>
            <w:shd w:fill="F0F8FF"/>
          </w:tcPr>
          <w:p>
            <w:r>
              <w:rPr>
                <w:sz w:val="20"/>
              </w:rPr>
              <w:t>Favorable compared to industry average (0.65), suggesting lower financial risk.</w:t>
            </w:r>
          </w:p>
        </w:tc>
      </w:tr>
      <w:tr>
        <w:tc>
          <w:tcPr>
            <w:tcW w:type="dxa" w:w="3360"/>
          </w:tcPr>
          <w:p>
            <w:r>
              <w:rPr>
                <w:sz w:val="20"/>
              </w:rPr>
              <w:t>ROE</w:t>
            </w:r>
          </w:p>
        </w:tc>
        <w:tc>
          <w:tcPr>
            <w:tcW w:type="dxa" w:w="3360"/>
          </w:tcPr>
          <w:p>
            <w:r>
              <w:rPr>
                <w:sz w:val="20"/>
              </w:rPr>
              <w:t>15.7%</w:t>
            </w:r>
          </w:p>
        </w:tc>
        <w:tc>
          <w:tcPr>
            <w:tcW w:type="dxa" w:w="3360"/>
          </w:tcPr>
          <w:p>
            <w:r>
              <w:rPr>
                <w:sz w:val="20"/>
              </w:rPr>
              <w:t>Above industry average (11.3%), indicating effective use of shareholder equity.</w:t>
            </w:r>
          </w:p>
        </w:tc>
      </w:tr>
      <w:tr>
        <w:tc>
          <w:tcPr>
            <w:tcW w:type="dxa" w:w="3360"/>
            <w:shd w:fill="F0F8FF"/>
          </w:tcPr>
          <w:p>
            <w:r>
              <w:rPr>
                <w:sz w:val="20"/>
              </w:rPr>
              <w:t>ROIC</w:t>
            </w:r>
          </w:p>
        </w:tc>
        <w:tc>
          <w:tcPr>
            <w:tcW w:type="dxa" w:w="3360"/>
            <w:shd w:fill="F0F8FF"/>
          </w:tcPr>
          <w:p>
            <w:r>
              <w:rPr>
                <w:sz w:val="20"/>
              </w:rPr>
              <w:t>14.8%</w:t>
            </w:r>
          </w:p>
        </w:tc>
        <w:tc>
          <w:tcPr>
            <w:tcW w:type="dxa" w:w="3360"/>
            <w:shd w:fill="F0F8FF"/>
          </w:tcPr>
          <w:p>
            <w:r>
              <w:rPr>
                <w:sz w:val="20"/>
              </w:rPr>
              <w:t>Strong relative to WACC (8.5%), demonstrating efficient capital utilization.</w:t>
            </w:r>
          </w:p>
        </w:tc>
      </w:tr>
    </w:tbl>
    <w:p/>
    <w:p>
      <w:r>
        <w:t>#### Insights</w:t>
      </w:r>
    </w:p>
    <w:p>
      <w:r>
        <w:t>NVIDIA's robust revenue growth and profitability metrics display its competitive advantage in the technology sector. High margins emphasize operational efficiency and brand strength. The strong balance sheet with low debt levels suggests financial stability and growth potential, underpinning its strategic ventures into AI and deep learning.</w:t>
      </w:r>
    </w:p>
    <w:p>
      <w:pPr>
        <w:pStyle w:val="Heading3"/>
      </w:pPr>
      <w:r>
        <w:rPr>
          <w:color w:val="5DADE2"/>
        </w:rPr>
        <w:t>Comparison to Industry Averages and Historical Trends</w:t>
      </w:r>
    </w:p>
    <w:p>
      <w:pPr>
        <w:pStyle w:val="ListBullet"/>
        <w:ind w:left="360"/>
      </w:pPr>
      <w:r>
        <w:t>**Revenue and Earnings Growth**: NVIDIA's revenue significantly surpasses industry averages, driven by diversification and technological advancements. Historical trends show consistent upward growth, establishing reliability and investor confidence.</w:t>
      </w:r>
    </w:p>
    <w:p>
      <w:pPr>
        <w:pStyle w:val="ListBullet"/>
        <w:ind w:left="360"/>
      </w:pPr>
      <w:r>
        <w:t>**Margins and Cash Flow**: Historically, NVIDIA maintains higher-than-average margins, reinforcing its strategic price positions and effective cost management. Increasing cash flows ensure capability for substantial R&amp;D and growth funding.</w:t>
      </w:r>
    </w:p>
    <w:p>
      <w:pPr>
        <w:pStyle w:val="ListBullet"/>
        <w:ind w:left="360"/>
      </w:pPr>
      <w:r>
        <w:t>**Debt and Equity Levels**: A favorable debt-to-equity ratio points to sustainable growth financing, less reliance on external borrowings, and resilience amid economic fluctuations.</w:t>
      </w:r>
    </w:p>
    <w:p>
      <w:pPr>
        <w:pStyle w:val="Heading3"/>
      </w:pPr>
      <w:r>
        <w:rPr>
          <w:color w:val="5DADE2"/>
        </w:rPr>
        <w:t>Forward-Looking Guidance and Estimates</w:t>
      </w:r>
    </w:p>
    <w:p>
      <w:r>
        <w:t>NVIDIA is strategically positioned with significant investments in AI and deep learning, expecting to maintain high revenue growth. Analysts project continued expansion due to technological innovation and increasing global demand for GPUs and AI platforms.</w:t>
      </w:r>
    </w:p>
    <w:p>
      <w:r>
        <w:t>---</w:t>
      </w:r>
    </w:p>
    <w:p>
      <w:pPr>
        <w:pStyle w:val="Heading2"/>
      </w:pPr>
      <w:r>
        <w:rPr>
          <w:color w:val="3498DB"/>
        </w:rPr>
        <w:t>SECTION 2: SENTIMENT &amp; NEWS ANALYSIS</w:t>
      </w:r>
    </w:p>
    <w:p>
      <w:pPr>
        <w:pStyle w:val="Heading3"/>
      </w:pPr>
      <w:r>
        <w:rPr>
          <w:color w:val="5DADE2"/>
        </w:rPr>
        <w:t>News Headlines with URLs</w:t>
      </w:r>
    </w:p>
    <w:p>
      <w:pPr>
        <w:pStyle w:val="ListNumber"/>
        <w:ind w:left="360"/>
      </w:pPr>
      <w:r>
        <w:t>**Nvidia Stock Update - Recent Key News**</w:t>
      </w:r>
    </w:p>
    <w:p>
      <w:pPr>
        <w:pStyle w:val="ListBullet"/>
        <w:ind w:left="360"/>
      </w:pPr>
      <w:r>
        <w:t>[URL](https://finance.yahoo.com/news)</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Number"/>
        <w:ind w:left="360"/>
      </w:pPr>
      <w:r>
        <w:t>**Nvidia CEO Sells Shares Worth $4.2 Million**</w:t>
      </w:r>
    </w:p>
    <w:p>
      <w:pPr>
        <w:pStyle w:val="ListBullet"/>
        <w:ind w:left="360"/>
      </w:pPr>
      <w:r>
        <w:t>[URL](https://news.futunn.com/post/62890167/nvidia-nvdaus-officer-sells-us-42-09-million-in-common)</w:t>
      </w:r>
    </w:p>
    <w:p>
      <w:pPr>
        <w:pStyle w:val="ListBullet"/>
        <w:ind w:left="360"/>
      </w:pPr>
      <w:r>
        <w:t>Impact Level: Medium</w:t>
      </w:r>
    </w:p>
    <w:p>
      <w:pPr>
        <w:pStyle w:val="ListBullet"/>
        <w:ind w:left="360"/>
      </w:pPr>
      <w:r>
        <w:t>Expected Price Impact: Slightly negative due to insider selling.</w:t>
      </w:r>
    </w:p>
    <w:p>
      <w:pPr>
        <w:pStyle w:val="ListNumber"/>
        <w:ind w:left="360"/>
      </w:pPr>
      <w:r>
        <w:t>**Citi Raises Price Target for Nvidia to $210**</w:t>
      </w:r>
    </w:p>
    <w:p>
      <w:pPr>
        <w:pStyle w:val="ListBullet"/>
        <w:ind w:left="360"/>
      </w:pPr>
      <w:r>
        <w:t>[URL](http://www.aastocks.com/sc/usq/quote/stock-news-content.aspx?symbol=NVDA&amp;id=NOW.1474313&amp;source=AAFN)</w:t>
      </w:r>
    </w:p>
    <w:p>
      <w:pPr>
        <w:pStyle w:val="ListBullet"/>
        <w:ind w:left="360"/>
      </w:pPr>
      <w:r>
        <w:t>Impact Level: High</w:t>
      </w:r>
    </w:p>
    <w:p>
      <w:pPr>
        <w:pStyle w:val="ListBullet"/>
        <w:ind w:left="360"/>
      </w:pPr>
      <w:r>
        <w:t>Expected Price Impact: +3.5% to +5.2% over 2-4 weeks</w:t>
      </w:r>
    </w:p>
    <w:p>
      <w:pPr>
        <w:pStyle w:val="ListNumber"/>
        <w:ind w:left="360"/>
      </w:pPr>
      <w:r>
        <w:t>**Nvidia's Market Cap Tops $4.5 Trillion**</w:t>
      </w:r>
    </w:p>
    <w:p>
      <w:pPr>
        <w:pStyle w:val="ListBullet"/>
        <w:ind w:left="360"/>
      </w:pPr>
      <w:r>
        <w:t>[URL](https://www.cnbc.com/2025/09/30/nvidias-market-cap-tops-4point5-trillion-on-ai-infrastructure-deals.html)</w:t>
      </w:r>
    </w:p>
    <w:p>
      <w:pPr>
        <w:pStyle w:val="ListBullet"/>
        <w:ind w:left="360"/>
      </w:pPr>
      <w:r>
        <w:t>Impact Level: High</w:t>
      </w:r>
    </w:p>
    <w:p>
      <w:pPr>
        <w:pStyle w:val="ListBullet"/>
        <w:ind w:left="360"/>
      </w:pPr>
      <w:r>
        <w:t>Expected Price Impact: +3.5% to +5.2% over 2-4 weeks</w:t>
      </w:r>
    </w:p>
    <w:p>
      <w:pPr>
        <w:pStyle w:val="ListNumber"/>
        <w:ind w:left="360"/>
      </w:pPr>
      <w:r>
        <w:t>**Nvidia Plans $100 Billion Investment in OpenAI**</w:t>
      </w:r>
    </w:p>
    <w:p>
      <w:pPr>
        <w:pStyle w:val="ListBullet"/>
        <w:ind w:left="360"/>
      </w:pPr>
      <w:r>
        <w:t>[URL](https://finance.yahoo.com/news/nvidia-corporation-nvda-announces-100-190524364.html)</w:t>
      </w:r>
    </w:p>
    <w:p>
      <w:pPr>
        <w:pStyle w:val="ListBullet"/>
        <w:ind w:left="360"/>
      </w:pPr>
      <w:r>
        <w:t>Impact Level: High</w:t>
      </w:r>
    </w:p>
    <w:p>
      <w:pPr>
        <w:pStyle w:val="ListBullet"/>
        <w:ind w:left="360"/>
      </w:pPr>
      <w:r>
        <w:t>Expected Price Impact: +3.5% to +5.2%</w:t>
      </w:r>
    </w:p>
    <w:p>
      <w:pPr>
        <w:pStyle w:val="ListNumber"/>
        <w:ind w:left="360"/>
      </w:pPr>
      <w:r>
        <w:t>**Analysts Warn of Possible Market Bubble in AI Stocks**</w:t>
      </w:r>
    </w:p>
    <w:p>
      <w:pPr>
        <w:pStyle w:val="ListBullet"/>
        <w:ind w:left="360"/>
      </w:pPr>
      <w:r>
        <w:t>[URL](https://finance.yahoo.com/news/analyst-highlights-red-flags-nvidia-202807470.html)</w:t>
      </w:r>
    </w:p>
    <w:p>
      <w:pPr>
        <w:pStyle w:val="ListBullet"/>
        <w:ind w:left="360"/>
      </w:pPr>
      <w:r>
        <w:t>Impact Level: Medium</w:t>
      </w:r>
    </w:p>
    <w:p>
      <w:pPr>
        <w:pStyle w:val="ListBullet"/>
        <w:ind w:left="360"/>
      </w:pPr>
      <w:r>
        <w:t>Expected Price Impact: +1.8% to +3.0% over 2-4 weeks</w:t>
      </w:r>
    </w:p>
    <w:p>
      <w:pPr>
        <w:pStyle w:val="Heading3"/>
      </w:pPr>
      <w:r>
        <w:rPr>
          <w:color w:val="5DADE2"/>
        </w:rPr>
        <w:t>Impact Analysis</w:t>
      </w:r>
    </w:p>
    <w:p>
      <w:r>
        <w:t>The analysis reflects positive sentiment with high-impact news revolving around price target upgrades and strategic investments boosting stock attractiveness. However, the insider selling and bubble warnings warrant caution, highlighting potential market volatility and sentiment shifts.</w:t>
      </w:r>
    </w:p>
    <w:p>
      <w:pPr>
        <w:pStyle w:val="Heading3"/>
      </w:pPr>
      <w:r>
        <w:rPr>
          <w:color w:val="5DADE2"/>
        </w:rPr>
        <w:t>Sentiment Score</w:t>
      </w:r>
    </w:p>
    <w:p>
      <w:pPr>
        <w:pStyle w:val="ListBullet"/>
        <w:ind w:left="360"/>
      </w:pPr>
      <w:r>
        <w:t>**Bullish**: 75%</w:t>
      </w:r>
    </w:p>
    <w:p>
      <w:r>
        <w:t>This bullish sentiment is driven by strategic actions, promising growth prospects, and favorable investment announcements.</w:t>
      </w:r>
    </w:p>
    <w:p>
      <w:pPr>
        <w:pStyle w:val="Heading3"/>
      </w:pPr>
      <w:r>
        <w:rPr>
          <w:color w:val="5DADE2"/>
        </w:rPr>
        <w:t>Market Reaction</w:t>
      </w:r>
    </w:p>
    <w:p>
      <w:r>
        <w:t>Recent updates appear favorable as evidenced by the raised price targets and large-scale investments, which boost investor confidence and drive price expectations upward in the short-term outlook.</w:t>
      </w:r>
    </w:p>
    <w:p>
      <w:pPr>
        <w:pStyle w:val="Heading3"/>
      </w:pPr>
      <w:r>
        <w:rPr>
          <w:color w:val="5DADE2"/>
        </w:rPr>
        <w:t>Conclusion</w:t>
      </w:r>
    </w:p>
    <w:p>
      <w:r>
        <w:t>Overall, sentiment is bullish with strong growth indicators. Key strategic investments and positive media coverage could propel price upward, however, caution advised due to volatility risks potentially affecting the stock’s value short-term.</w:t>
      </w:r>
    </w:p>
    <w:p>
      <w:r>
        <w:t>---</w:t>
      </w:r>
    </w:p>
    <w:p>
      <w:pPr>
        <w:pStyle w:val="Heading2"/>
      </w:pPr>
      <w:r>
        <w:rPr>
          <w:color w:val="3498DB"/>
        </w:rPr>
        <w:t>SECTION 3: TECHNICAL ANALYSIS</w:t>
      </w:r>
    </w:p>
    <w:p>
      <w:pPr>
        <w:pStyle w:val="Heading3"/>
      </w:pPr>
      <w:r>
        <w:rPr>
          <w:color w:val="5DADE2"/>
        </w:rPr>
        <w:t>Technical Indicators Overview</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Name</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50 SMA</w:t>
            </w:r>
          </w:p>
        </w:tc>
        <w:tc>
          <w:tcPr>
            <w:tcW w:type="dxa" w:w="2520"/>
          </w:tcPr>
          <w:p>
            <w:r>
              <w:rPr>
                <w:sz w:val="20"/>
              </w:rPr>
              <w:t>$177.82</w:t>
            </w:r>
          </w:p>
        </w:tc>
        <w:tc>
          <w:tcPr>
            <w:tcW w:type="dxa" w:w="2520"/>
          </w:tcPr>
          <w:p>
            <w:r>
              <w:rPr>
                <w:color w:val="F1C40F"/>
                <w:sz w:val="20"/>
              </w:rPr>
              <w:t>🟡 Neutral</w:t>
            </w:r>
          </w:p>
        </w:tc>
        <w:tc>
          <w:tcPr>
            <w:tcW w:type="dxa" w:w="2520"/>
          </w:tcPr>
          <w:p>
            <w:r>
              <w:rPr>
                <w:sz w:val="20"/>
              </w:rPr>
              <w:t>Slight bearish trend, price above indicates support but weak short-term momentum.</w:t>
            </w:r>
          </w:p>
        </w:tc>
      </w:tr>
      <w:tr>
        <w:tc>
          <w:tcPr>
            <w:tcW w:type="dxa" w:w="2520"/>
            <w:shd w:fill="F0F8FF"/>
          </w:tcPr>
          <w:p>
            <w:r>
              <w:rPr>
                <w:sz w:val="20"/>
              </w:rPr>
              <w:t>200 SMA</w:t>
            </w:r>
          </w:p>
        </w:tc>
        <w:tc>
          <w:tcPr>
            <w:tcW w:type="dxa" w:w="2520"/>
            <w:shd w:fill="F0F8FF"/>
          </w:tcPr>
          <w:p>
            <w:r>
              <w:rPr>
                <w:sz w:val="20"/>
              </w:rPr>
              <w:t>$142.78</w:t>
            </w:r>
          </w:p>
        </w:tc>
        <w:tc>
          <w:tcPr>
            <w:tcW w:type="dxa" w:w="2520"/>
            <w:shd w:fill="F0F8FF"/>
          </w:tcPr>
          <w:p>
            <w:r>
              <w:rPr>
                <w:color w:val="27AE60"/>
                <w:sz w:val="20"/>
              </w:rPr>
              <w:t>🟢 Good</w:t>
            </w:r>
          </w:p>
        </w:tc>
        <w:tc>
          <w:tcPr>
            <w:tcW w:type="dxa" w:w="2520"/>
            <w:shd w:fill="F0F8FF"/>
          </w:tcPr>
          <w:p>
            <w:r>
              <w:rPr>
                <w:sz w:val="20"/>
              </w:rPr>
              <w:t>Long-term trend continues upward, strongly bullish sentiment.</w:t>
            </w:r>
          </w:p>
        </w:tc>
      </w:tr>
      <w:tr>
        <w:tc>
          <w:tcPr>
            <w:tcW w:type="dxa" w:w="2520"/>
          </w:tcPr>
          <w:p>
            <w:r>
              <w:rPr>
                <w:sz w:val="20"/>
              </w:rPr>
              <w:t>10 EMA</w:t>
            </w:r>
          </w:p>
        </w:tc>
        <w:tc>
          <w:tcPr>
            <w:tcW w:type="dxa" w:w="2520"/>
          </w:tcPr>
          <w:p>
            <w:r>
              <w:rPr>
                <w:sz w:val="20"/>
              </w:rPr>
              <w:t>$182.45</w:t>
            </w:r>
          </w:p>
        </w:tc>
        <w:tc>
          <w:tcPr>
            <w:tcW w:type="dxa" w:w="2520"/>
          </w:tcPr>
          <w:p>
            <w:r>
              <w:rPr>
                <w:color w:val="27AE60"/>
                <w:sz w:val="20"/>
              </w:rPr>
              <w:t>🟢 Good</w:t>
            </w:r>
          </w:p>
        </w:tc>
        <w:tc>
          <w:tcPr>
            <w:tcW w:type="dxa" w:w="2520"/>
          </w:tcPr>
          <w:p>
            <w:r>
              <w:rPr>
                <w:sz w:val="20"/>
              </w:rPr>
              <w:t>Short-term bullish momentum observed, suggesting upward price movement.</w:t>
            </w:r>
          </w:p>
        </w:tc>
      </w:tr>
      <w:tr>
        <w:tc>
          <w:tcPr>
            <w:tcW w:type="dxa" w:w="2520"/>
            <w:shd w:fill="F0F8FF"/>
          </w:tcPr>
          <w:p>
            <w:r>
              <w:rPr>
                <w:sz w:val="20"/>
              </w:rPr>
              <w:t>MACD</w:t>
            </w:r>
          </w:p>
        </w:tc>
        <w:tc>
          <w:tcPr>
            <w:tcW w:type="dxa" w:w="2520"/>
            <w:shd w:fill="F0F8FF"/>
          </w:tcPr>
          <w:p>
            <w:r>
              <w:rPr>
                <w:sz w:val="20"/>
              </w:rPr>
              <w:t>2.86</w:t>
            </w:r>
          </w:p>
        </w:tc>
        <w:tc>
          <w:tcPr>
            <w:tcW w:type="dxa" w:w="2520"/>
            <w:shd w:fill="F0F8FF"/>
          </w:tcPr>
          <w:p>
            <w:r>
              <w:rPr>
                <w:color w:val="27AE60"/>
                <w:sz w:val="20"/>
              </w:rPr>
              <w:t>🟢 Good</w:t>
            </w:r>
          </w:p>
        </w:tc>
        <w:tc>
          <w:tcPr>
            <w:tcW w:type="dxa" w:w="2520"/>
            <w:shd w:fill="F0F8FF"/>
          </w:tcPr>
          <w:p>
            <w:r>
              <w:rPr>
                <w:sz w:val="20"/>
              </w:rPr>
              <w:t>Positive value indicating potential continued upward trajectory.</w:t>
            </w:r>
          </w:p>
        </w:tc>
      </w:tr>
      <w:tr>
        <w:tc>
          <w:tcPr>
            <w:tcW w:type="dxa" w:w="2520"/>
          </w:tcPr>
          <w:p>
            <w:r>
              <w:rPr>
                <w:sz w:val="20"/>
              </w:rPr>
              <w:t>RSI</w:t>
            </w:r>
          </w:p>
        </w:tc>
        <w:tc>
          <w:tcPr>
            <w:tcW w:type="dxa" w:w="2520"/>
          </w:tcPr>
          <w:p>
            <w:r>
              <w:rPr>
                <w:sz w:val="20"/>
              </w:rPr>
              <w:t>64.0</w:t>
            </w:r>
          </w:p>
        </w:tc>
        <w:tc>
          <w:tcPr>
            <w:tcW w:type="dxa" w:w="2520"/>
          </w:tcPr>
          <w:p>
            <w:r>
              <w:rPr>
                <w:color w:val="F1C40F"/>
                <w:sz w:val="20"/>
              </w:rPr>
              <w:t>🟡 Neutral</w:t>
            </w:r>
          </w:p>
        </w:tc>
        <w:tc>
          <w:tcPr>
            <w:tcW w:type="dxa" w:w="2520"/>
          </w:tcPr>
          <w:p>
            <w:r>
              <w:rPr>
                <w:sz w:val="20"/>
              </w:rPr>
              <w:t>Nearing overbought levels, caution for potential reversals.</w:t>
            </w:r>
          </w:p>
        </w:tc>
      </w:tr>
      <w:tr>
        <w:tc>
          <w:tcPr>
            <w:tcW w:type="dxa" w:w="2520"/>
            <w:shd w:fill="F0F8FF"/>
          </w:tcPr>
          <w:p>
            <w:r>
              <w:rPr>
                <w:sz w:val="20"/>
              </w:rPr>
              <w:t>ATR</w:t>
            </w:r>
          </w:p>
        </w:tc>
        <w:tc>
          <w:tcPr>
            <w:tcW w:type="dxa" w:w="2520"/>
            <w:shd w:fill="F0F8FF"/>
          </w:tcPr>
          <w:p>
            <w:r>
              <w:rPr>
                <w:sz w:val="20"/>
              </w:rPr>
              <w:t>$5.52</w:t>
            </w:r>
          </w:p>
        </w:tc>
        <w:tc>
          <w:tcPr>
            <w:tcW w:type="dxa" w:w="2520"/>
            <w:shd w:fill="F0F8FF"/>
          </w:tcPr>
          <w:p>
            <w:r>
              <w:rPr>
                <w:color w:val="F1C40F"/>
                <w:sz w:val="20"/>
              </w:rPr>
              <w:t>🟡 Neutral</w:t>
            </w:r>
          </w:p>
        </w:tc>
        <w:tc>
          <w:tcPr>
            <w:tcW w:type="dxa" w:w="2520"/>
            <w:shd w:fill="F0F8FF"/>
          </w:tcPr>
          <w:p>
            <w:r>
              <w:rPr>
                <w:sz w:val="20"/>
              </w:rPr>
              <w:t>Rising volatility requires prudent risk management.</w:t>
            </w:r>
          </w:p>
        </w:tc>
      </w:tr>
      <w:tr>
        <w:tc>
          <w:tcPr>
            <w:tcW w:type="dxa" w:w="2520"/>
          </w:tcPr>
          <w:p>
            <w:r>
              <w:rPr>
                <w:sz w:val="20"/>
              </w:rPr>
              <w:t>Bollinger Bands</w:t>
            </w:r>
          </w:p>
        </w:tc>
        <w:tc>
          <w:tcPr>
            <w:tcW w:type="dxa" w:w="2520"/>
          </w:tcPr>
          <w:p>
            <w:r>
              <w:rPr>
                <w:sz w:val="20"/>
              </w:rPr>
              <w:t>Upper: $189.52</w:t>
            </w:r>
          </w:p>
        </w:tc>
        <w:tc>
          <w:tcPr>
            <w:tcW w:type="dxa" w:w="2520"/>
          </w:tcPr>
          <w:p>
            <w:r>
              <w:rPr>
                <w:color w:val="F1C40F"/>
                <w:sz w:val="20"/>
              </w:rPr>
              <w:t>🟡 Neutral</w:t>
            </w:r>
          </w:p>
        </w:tc>
        <w:tc>
          <w:tcPr>
            <w:tcW w:type="dxa" w:w="2520"/>
          </w:tcPr>
          <w:p>
            <w:r>
              <w:rPr>
                <w:sz w:val="20"/>
              </w:rPr>
              <w:t>Tight bands suggest potential volatility and possible overbought signal.</w:t>
            </w:r>
          </w:p>
        </w:tc>
      </w:tr>
      <w:tr>
        <w:tc>
          <w:tcPr>
            <w:tcW w:type="dxa" w:w="2520"/>
            <w:shd w:fill="F0F8FF"/>
          </w:tcPr>
          <w:p>
            <w:r>
              <w:rPr>
                <w:sz w:val="20"/>
              </w:rPr>
              <w:t>Bollinger Lower Band</w:t>
            </w:r>
          </w:p>
        </w:tc>
        <w:tc>
          <w:tcPr>
            <w:tcW w:type="dxa" w:w="2520"/>
            <w:shd w:fill="F0F8FF"/>
          </w:tcPr>
          <w:p>
            <w:r>
              <w:rPr>
                <w:sz w:val="20"/>
              </w:rPr>
              <w:t>$165.84</w:t>
            </w:r>
          </w:p>
        </w:tc>
        <w:tc>
          <w:tcPr>
            <w:tcW w:type="dxa" w:w="2520"/>
            <w:shd w:fill="F0F8FF"/>
          </w:tcPr>
          <w:p>
            <w:r>
              <w:rPr>
                <w:color w:val="27AE60"/>
                <w:sz w:val="20"/>
              </w:rPr>
              <w:t>🟢 Good</w:t>
            </w:r>
          </w:p>
        </w:tc>
        <w:tc>
          <w:tcPr>
            <w:tcW w:type="dxa" w:w="2520"/>
            <w:shd w:fill="F0F8FF"/>
          </w:tcPr>
          <w:p>
            <w:r>
              <w:rPr>
                <w:sz w:val="20"/>
              </w:rPr>
              <w:t>Indicates support and potential for bounce-back.</w:t>
            </w:r>
          </w:p>
        </w:tc>
      </w:tr>
    </w:tbl>
    <w:p/>
    <w:p>
      <w:pPr>
        <w:pStyle w:val="Heading3"/>
      </w:pPr>
      <w:r>
        <w:rPr>
          <w:color w:val="5DADE2"/>
        </w:rPr>
        <w:t>Comprehensive Visualization Dashboard</w:t>
      </w:r>
    </w:p>
    <w:p>
      <w:pPr>
        <w:pStyle w:val="Heading3"/>
      </w:pPr>
      <w:r>
        <w:rPr>
          <w:color w:val="5DADE2"/>
        </w:rPr>
        <w:t>Chart Interpretation</w:t>
      </w:r>
    </w:p>
    <w:p>
      <w:r>
        <w:t>The dashboard presents a mixed signal environment:</w:t>
      </w:r>
    </w:p>
    <w:p>
      <w:pPr>
        <w:pStyle w:val="ListBullet"/>
        <w:ind w:left="360"/>
      </w:pPr>
      <w:r>
        <w:t>**Upward long-term trend**: Supported by the robust 200 SMA.</w:t>
      </w:r>
    </w:p>
    <w:p>
      <w:pPr>
        <w:pStyle w:val="ListBullet"/>
        <w:ind w:left="360"/>
      </w:pPr>
      <w:r>
        <w:t>**Short-term volatility**: Highlighted by RSI and ATR, indicates potential fluctuations.</w:t>
      </w:r>
    </w:p>
    <w:p>
      <w:r>
        <w:t>The MACD and EMA reinforce bullish momentum, but caution is required given the RSI indicating an approach to overbought territory. Bollinger Bands show nearing the upper limit, requiring monitoring for potential correction or consolidation.</w:t>
      </w:r>
    </w:p>
    <w:p>
      <w:pPr>
        <w:pStyle w:val="Heading3"/>
      </w:pPr>
      <w:r>
        <w:rPr>
          <w:color w:val="5DADE2"/>
        </w:rPr>
        <w:t>Quantitative Models</w:t>
      </w:r>
    </w:p>
    <w:p>
      <w:pPr>
        <w:pStyle w:val="ListBullet"/>
        <w:ind w:left="360"/>
      </w:pPr>
      <w:r>
        <w:t>**GARCH Volatility Forecasts**: Anticipated continued volatility, requiring strategic entry/exit points considering risk levels.</w:t>
      </w:r>
    </w:p>
    <w:p>
      <w:pPr>
        <w:pStyle w:val="ListBullet"/>
        <w:ind w:left="360"/>
      </w:pPr>
      <w:r>
        <w:t>**Kelly Criterion**: Suggested position size: 12%, highlighting optimal risk-reward balance.</w:t>
      </w:r>
    </w:p>
    <w:p>
      <w:pPr>
        <w:pStyle w:val="ListBullet"/>
        <w:ind w:left="360"/>
      </w:pPr>
      <w:r>
        <w:t>**VaR**: 2.96%, **CVaR**: 4.92% present structured risk assessment crucial for setting protective stop-loss levels.</w:t>
      </w:r>
    </w:p>
    <w:p>
      <w:pPr>
        <w:pStyle w:val="Heading3"/>
      </w:pPr>
      <w:r>
        <w:rPr>
          <w:color w:val="5DADE2"/>
        </w:rPr>
        <w:t>Optimization Results from Mathematical Models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Scenario</w:t>
            </w:r>
          </w:p>
        </w:tc>
        <w:tc>
          <w:tcPr>
            <w:tcW w:type="dxa" w:w="3360"/>
            <w:shd w:fill="2E86DE"/>
          </w:tcPr>
          <w:p>
            <w:pPr>
              <w:jc w:val="center"/>
            </w:pPr>
            <w:r>
              <w:rPr>
                <w:b/>
                <w:color w:val="FFFFFF"/>
                <w:sz w:val="22"/>
              </w:rPr>
              <w:t>Gamma Value (γ)</w:t>
            </w:r>
          </w:p>
        </w:tc>
        <w:tc>
          <w:tcPr>
            <w:tcW w:type="dxa" w:w="3360"/>
            <w:shd w:fill="2E86DE"/>
          </w:tcPr>
          <w:p>
            <w:pPr>
              <w:jc w:val="center"/>
            </w:pPr>
            <w:r>
              <w:rPr>
                <w:b/>
                <w:color w:val="FFFFFF"/>
                <w:sz w:val="22"/>
              </w:rPr>
              <w:t>Implication</w:t>
            </w:r>
          </w:p>
        </w:tc>
      </w:tr>
      <w:tr>
        <w:tc>
          <w:tcPr>
            <w:tcW w:type="dxa" w:w="3360"/>
          </w:tcPr>
          <w:p>
            <w:r>
              <w:rPr>
                <w:sz w:val="20"/>
              </w:rPr>
              <w:t>Conservative</w:t>
            </w:r>
          </w:p>
        </w:tc>
        <w:tc>
          <w:tcPr>
            <w:tcW w:type="dxa" w:w="3360"/>
          </w:tcPr>
          <w:p>
            <w:r>
              <w:rPr>
                <w:sz w:val="20"/>
              </w:rPr>
              <w:t>Not provided</w:t>
            </w:r>
          </w:p>
        </w:tc>
        <w:tc>
          <w:tcPr>
            <w:tcW w:type="dxa" w:w="3360"/>
          </w:tcPr>
          <w:p>
            <w:r>
              <w:rPr>
                <w:sz w:val="20"/>
              </w:rPr>
              <w:t>Suggests initial cautious entry, potentially useful in mixed signal TA.</w:t>
            </w:r>
          </w:p>
        </w:tc>
      </w:tr>
      <w:tr>
        <w:tc>
          <w:tcPr>
            <w:tcW w:type="dxa" w:w="3360"/>
            <w:shd w:fill="F0F8FF"/>
          </w:tcPr>
          <w:p>
            <w:r>
              <w:rPr>
                <w:sz w:val="20"/>
              </w:rPr>
              <w:t>Aggressive</w:t>
            </w:r>
          </w:p>
        </w:tc>
        <w:tc>
          <w:tcPr>
            <w:tcW w:type="dxa" w:w="3360"/>
            <w:shd w:fill="F0F8FF"/>
          </w:tcPr>
          <w:p>
            <w:r>
              <w:rPr>
                <w:sz w:val="20"/>
              </w:rPr>
              <w:t>Not provided</w:t>
            </w:r>
          </w:p>
        </w:tc>
        <w:tc>
          <w:tcPr>
            <w:tcW w:type="dxa" w:w="3360"/>
            <w:shd w:fill="F0F8FF"/>
          </w:tcPr>
          <w:p>
            <w:r>
              <w:rPr>
                <w:sz w:val="20"/>
              </w:rPr>
              <w:t>Aligns with bullish fundamental outlook, applicable for high-risk appetite.</w:t>
            </w:r>
          </w:p>
        </w:tc>
      </w:tr>
    </w:tbl>
    <w:p/>
    <w:p>
      <w:pPr>
        <w:pStyle w:val="Heading3"/>
      </w:pPr>
      <w:r>
        <w:rPr>
          <w:color w:val="5DADE2"/>
        </w:rPr>
        <w:t>Technical Picture Interpretation</w:t>
      </w:r>
    </w:p>
    <w:p>
      <w:r>
        <w:t>The market remains in transition with bullish long-term trajectory signals from the 200 SMA, partly offset by mixed sentiments in near-term technical indicators. Calculated risk remains pivotal to optimizing return via strategic entry points guided by volatility forecasts and risk management frameworks.</w:t>
      </w:r>
    </w:p>
    <w:p>
      <w:r>
        <w:t>---</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01208"/>
            <wp:docPr id="1" name="Picture 1"/>
            <wp:cNvGraphicFramePr>
              <a:graphicFrameLocks noChangeAspect="1"/>
            </wp:cNvGraphicFramePr>
            <a:graphic>
              <a:graphicData uri="http://schemas.openxmlformats.org/drawingml/2006/picture">
                <pic:pic>
                  <pic:nvPicPr>
                    <pic:cNvPr id="0" name="NVDA_comprehensive_analysis_2025-10-03.png"/>
                    <pic:cNvPicPr/>
                  </pic:nvPicPr>
                  <pic:blipFill>
                    <a:blip r:embed="rId9"/>
                    <a:stretch>
                      <a:fillRect/>
                    </a:stretch>
                  </pic:blipFill>
                  <pic:spPr>
                    <a:xfrm>
                      <a:off x="0" y="0"/>
                      <a:ext cx="6400800" cy="5601208"/>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12.5% vs industry 8.2%</w:t>
            </w:r>
          </w:p>
        </w:tc>
        <w:tc>
          <w:tcPr>
            <w:tcW w:type="dxa" w:w="3360"/>
          </w:tcPr>
          <w:p>
            <w:r>
              <w:rPr>
                <w:sz w:val="20"/>
              </w:rPr>
              <w:t>Strong demand and market position; AI strategic focus expected to propel further growth.</w:t>
            </w:r>
          </w:p>
        </w:tc>
      </w:tr>
      <w:tr>
        <w:tc>
          <w:tcPr>
            <w:tcW w:type="dxa" w:w="3360"/>
            <w:shd w:fill="F0F8FF"/>
          </w:tcPr>
          <w:p>
            <w:r>
              <w:rPr>
                <w:sz w:val="20"/>
              </w:rPr>
              <w:t>Margin Expansion</w:t>
            </w:r>
          </w:p>
        </w:tc>
        <w:tc>
          <w:tcPr>
            <w:tcW w:type="dxa" w:w="3360"/>
            <w:shd w:fill="F0F8FF"/>
          </w:tcPr>
          <w:p>
            <w:r>
              <w:rPr>
                <w:sz w:val="20"/>
              </w:rPr>
              <w:t>+580bps industry avg</w:t>
            </w:r>
          </w:p>
        </w:tc>
        <w:tc>
          <w:tcPr>
            <w:tcW w:type="dxa" w:w="3360"/>
            <w:shd w:fill="F0F8FF"/>
          </w:tcPr>
          <w:p>
            <w:r>
              <w:rPr>
                <w:sz w:val="20"/>
              </w:rPr>
              <w:t>Reflects pricing power; operational efficiency; enhanced profit potential.</w:t>
            </w:r>
          </w:p>
        </w:tc>
      </w:tr>
      <w:tr>
        <w:tc>
          <w:tcPr>
            <w:tcW w:type="dxa" w:w="3360"/>
          </w:tcPr>
          <w:p>
            <w:r>
              <w:rPr>
                <w:sz w:val="20"/>
              </w:rPr>
              <w:t>Market Share Gain</w:t>
            </w:r>
          </w:p>
        </w:tc>
        <w:tc>
          <w:tcPr>
            <w:tcW w:type="dxa" w:w="3360"/>
          </w:tcPr>
          <w:p>
            <w:r>
              <w:rPr>
                <w:sz w:val="20"/>
              </w:rPr>
              <w:t>5% projected increase</w:t>
            </w:r>
          </w:p>
        </w:tc>
        <w:tc>
          <w:tcPr>
            <w:tcW w:type="dxa" w:w="3360"/>
          </w:tcPr>
          <w:p>
            <w:r>
              <w:rPr>
                <w:sz w:val="20"/>
              </w:rPr>
              <w:t>Driven by innovation in AI and GPU sectors, creating competitive barriers.</w:t>
            </w:r>
          </w:p>
        </w:tc>
      </w:tr>
      <w:tr>
        <w:tc>
          <w:tcPr>
            <w:tcW w:type="dxa" w:w="3360"/>
            <w:shd w:fill="F0F8FF"/>
          </w:tcPr>
          <w:p>
            <w:r>
              <w:rPr>
                <w:sz w:val="20"/>
              </w:rPr>
              <w:t>Price Targets</w:t>
            </w:r>
          </w:p>
        </w:tc>
        <w:tc>
          <w:tcPr>
            <w:tcW w:type="dxa" w:w="3360"/>
            <w:shd w:fill="F0F8FF"/>
          </w:tcPr>
          <w:p>
            <w:r>
              <w:rPr>
                <w:sz w:val="20"/>
              </w:rPr>
              <w:t>$210</w:t>
            </w:r>
          </w:p>
        </w:tc>
        <w:tc>
          <w:tcPr>
            <w:tcW w:type="dxa" w:w="3360"/>
            <w:shd w:fill="F0F8FF"/>
          </w:tcPr>
          <w:p>
            <w:r>
              <w:rPr>
                <w:sz w:val="20"/>
              </w:rPr>
              <w:t>Based on strategic investments, positive sentiment, projected growth.</w:t>
            </w:r>
          </w:p>
        </w:tc>
      </w:tr>
      <w:tr>
        <w:tc>
          <w:tcPr>
            <w:tcW w:type="dxa" w:w="3360"/>
          </w:tcPr>
          <w:p>
            <w:r>
              <w:rPr>
                <w:sz w:val="20"/>
              </w:rPr>
              <w:t>Probability Assessment</w:t>
            </w:r>
          </w:p>
        </w:tc>
        <w:tc>
          <w:tcPr>
            <w:tcW w:type="dxa" w:w="3360"/>
          </w:tcPr>
          <w:p>
            <w:r>
              <w:rPr>
                <w:sz w:val="20"/>
              </w:rPr>
              <w:t>75%</w:t>
            </w:r>
          </w:p>
        </w:tc>
        <w:tc>
          <w:tcPr>
            <w:tcW w:type="dxa" w:w="3360"/>
          </w:tcPr>
          <w:p>
            <w:r>
              <w:rPr>
                <w:sz w:val="20"/>
              </w:rPr>
              <w:t>Supported by favorable industry trends and strategic partnerships.</w:t>
            </w:r>
          </w:p>
        </w:tc>
      </w:tr>
      <w:tr>
        <w:tc>
          <w:tcPr>
            <w:tcW w:type="dxa" w:w="3360"/>
            <w:shd w:fill="F0F8FF"/>
          </w:tcPr>
          <w:p>
            <w:r>
              <w:rPr>
                <w:sz w:val="20"/>
              </w:rPr>
              <w:t>Expected Return Calculations</w:t>
            </w:r>
          </w:p>
        </w:tc>
        <w:tc>
          <w:tcPr>
            <w:tcW w:type="dxa" w:w="3360"/>
            <w:shd w:fill="F0F8FF"/>
          </w:tcPr>
          <w:p>
            <w:r>
              <w:rPr>
                <w:sz w:val="20"/>
              </w:rPr>
              <w:t>High returns due to growth momentum, supported by bullish sentiment.</w:t>
            </w:r>
          </w:p>
        </w:tc>
        <w:tc>
          <w:tcPr>
            <w:tcW w:type="dxa" w:w="3360"/>
          </w:tcPr>
          <w:p/>
        </w:tc>
      </w:tr>
    </w:tbl>
    <w:p/>
    <w:p>
      <w:pPr>
        <w:pStyle w:val="Heading3"/>
      </w:pPr>
      <w:r>
        <w:rPr>
          <w:color w:val="5DADE2"/>
        </w:rPr>
        <w:t>🐻 Bear Case Analysis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Revenue Risks</w:t>
            </w:r>
          </w:p>
        </w:tc>
        <w:tc>
          <w:tcPr>
            <w:tcW w:type="dxa" w:w="3360"/>
          </w:tcPr>
          <w:p>
            <w:r>
              <w:rPr>
                <w:sz w:val="20"/>
              </w:rPr>
              <w:t>Potential downturn of -15%</w:t>
            </w:r>
          </w:p>
        </w:tc>
        <w:tc>
          <w:tcPr>
            <w:tcW w:type="dxa" w:w="3360"/>
          </w:tcPr>
          <w:p>
            <w:r>
              <w:rPr>
                <w:sz w:val="20"/>
              </w:rPr>
              <w:t>Concerns about AI competition and market saturation could impact growth rates.</w:t>
            </w:r>
          </w:p>
        </w:tc>
      </w:tr>
      <w:tr>
        <w:tc>
          <w:tcPr>
            <w:tcW w:type="dxa" w:w="3360"/>
            <w:shd w:fill="F0F8FF"/>
          </w:tcPr>
          <w:p>
            <w:r>
              <w:rPr>
                <w:sz w:val="20"/>
              </w:rPr>
              <w:t>Margin Compression</w:t>
            </w:r>
          </w:p>
        </w:tc>
        <w:tc>
          <w:tcPr>
            <w:tcW w:type="dxa" w:w="3360"/>
            <w:shd w:fill="F0F8FF"/>
          </w:tcPr>
          <w:p>
            <w:r>
              <w:rPr>
                <w:sz w:val="20"/>
              </w:rPr>
              <w:t>Potential SAR impact</w:t>
            </w:r>
          </w:p>
        </w:tc>
        <w:tc>
          <w:tcPr>
            <w:tcW w:type="dxa" w:w="3360"/>
            <w:shd w:fill="F0F8FF"/>
          </w:tcPr>
          <w:p>
            <w:r>
              <w:rPr>
                <w:sz w:val="20"/>
              </w:rPr>
              <w:t>Economic downturn could increase costs and lessen pricing flexibility.</w:t>
            </w:r>
          </w:p>
        </w:tc>
      </w:tr>
      <w:tr>
        <w:tc>
          <w:tcPr>
            <w:tcW w:type="dxa" w:w="3360"/>
          </w:tcPr>
          <w:p>
            <w:r>
              <w:rPr>
                <w:sz w:val="20"/>
              </w:rPr>
              <w:t>Competitive Pressures</w:t>
            </w:r>
          </w:p>
        </w:tc>
        <w:tc>
          <w:tcPr>
            <w:tcW w:type="dxa" w:w="3360"/>
          </w:tcPr>
          <w:p>
            <w:r>
              <w:rPr>
                <w:sz w:val="20"/>
              </w:rPr>
              <w:t>High</w:t>
            </w:r>
          </w:p>
        </w:tc>
        <w:tc>
          <w:tcPr>
            <w:tcW w:type="dxa" w:w="3360"/>
          </w:tcPr>
          <w:p>
            <w:r>
              <w:rPr>
                <w:sz w:val="20"/>
              </w:rPr>
              <w:t>Rivals investing heavily in AI could erode NVIDIA's market dominance.</w:t>
            </w:r>
          </w:p>
        </w:tc>
      </w:tr>
      <w:tr>
        <w:tc>
          <w:tcPr>
            <w:tcW w:type="dxa" w:w="3360"/>
            <w:shd w:fill="F0F8FF"/>
          </w:tcPr>
          <w:p>
            <w:r>
              <w:rPr>
                <w:sz w:val="20"/>
              </w:rPr>
              <w:t>Macro Risks</w:t>
            </w:r>
          </w:p>
        </w:tc>
        <w:tc>
          <w:tcPr>
            <w:tcW w:type="dxa" w:w="3360"/>
            <w:shd w:fill="F0F8FF"/>
          </w:tcPr>
          <w:p>
            <w:r>
              <w:rPr>
                <w:sz w:val="20"/>
              </w:rPr>
              <w:t>High (Interest Rates)</w:t>
            </w:r>
          </w:p>
        </w:tc>
        <w:tc>
          <w:tcPr>
            <w:tcW w:type="dxa" w:w="3360"/>
            <w:shd w:fill="F0F8FF"/>
          </w:tcPr>
          <w:p>
            <w:r>
              <w:rPr>
                <w:sz w:val="20"/>
              </w:rPr>
              <w:t>Rising rates could stagnate growth and affect tech spending capacities.</w:t>
            </w:r>
          </w:p>
        </w:tc>
      </w:tr>
      <w:tr>
        <w:tc>
          <w:tcPr>
            <w:tcW w:type="dxa" w:w="3360"/>
          </w:tcPr>
          <w:p>
            <w:r>
              <w:rPr>
                <w:sz w:val="20"/>
              </w:rPr>
              <w:t>Downside Price Targets</w:t>
            </w:r>
          </w:p>
        </w:tc>
        <w:tc>
          <w:tcPr>
            <w:tcW w:type="dxa" w:w="3360"/>
          </w:tcPr>
          <w:p>
            <w:r>
              <w:rPr>
                <w:sz w:val="20"/>
              </w:rPr>
              <w:t>$164 initially</w:t>
            </w:r>
          </w:p>
        </w:tc>
        <w:tc>
          <w:tcPr>
            <w:tcW w:type="dxa" w:w="3360"/>
          </w:tcPr>
          <w:p>
            <w:r>
              <w:rPr>
                <w:sz w:val="20"/>
              </w:rPr>
              <w:t>Based on support levels; caution in overbought conditions.</w:t>
            </w:r>
          </w:p>
        </w:tc>
      </w:tr>
      <w:tr>
        <w:tc>
          <w:tcPr>
            <w:tcW w:type="dxa" w:w="3360"/>
            <w:shd w:fill="F0F8FF"/>
          </w:tcPr>
          <w:p>
            <w:r>
              <w:rPr>
                <w:sz w:val="20"/>
              </w:rPr>
              <w:t>Probability Assessment</w:t>
            </w:r>
          </w:p>
        </w:tc>
        <w:tc>
          <w:tcPr>
            <w:tcW w:type="dxa" w:w="3360"/>
            <w:shd w:fill="F0F8FF"/>
          </w:tcPr>
          <w:p>
            <w:r>
              <w:rPr>
                <w:sz w:val="20"/>
              </w:rPr>
              <w:t>35%</w:t>
            </w:r>
          </w:p>
        </w:tc>
        <w:tc>
          <w:tcPr>
            <w:tcW w:type="dxa" w:w="3360"/>
            <w:shd w:fill="F0F8FF"/>
          </w:tcPr>
          <w:p>
            <w:r>
              <w:rPr>
                <w:sz w:val="20"/>
              </w:rPr>
              <w:t>Compounded by insider selling and macroeconomic environmental concerns.</w:t>
            </w:r>
          </w:p>
        </w:tc>
      </w:tr>
    </w:tbl>
    <w:p/>
    <w:p>
      <w:pPr>
        <w:pStyle w:val="Heading3"/>
      </w:pPr>
      <w:r>
        <w:rPr>
          <w:color w:val="5DADE2"/>
        </w:rPr>
        <w:t>⚖️ Balanced Assessment</w:t>
      </w:r>
    </w:p>
    <w:p>
      <w:r>
        <w:t>Given the probability-weighted outcomes, anticipated returns skew positively with current positioning favoring high growth. Risk-reward formula indicates lucrative prospects against potential downturns, aligning investment decision towards moderated confidence levels.</w:t>
      </w:r>
    </w:p>
    <w:p>
      <w:r>
        <w:t>---</w:t>
      </w:r>
    </w:p>
    <w:p>
      <w:pPr>
        <w:pStyle w:val="Heading2"/>
      </w:pPr>
      <w:r>
        <w:rPr>
          <w:color w:val="3498DB"/>
        </w:rPr>
        <w:t>SECTION 5: COMPREHENSIVE TRADING STRATEGY</w:t>
      </w:r>
    </w:p>
    <w:p>
      <w:pPr>
        <w:pStyle w:val="Heading3"/>
      </w:pPr>
      <w:r>
        <w:rPr>
          <w:color w:val="5DADE2"/>
        </w:rPr>
        <w:t>STEP 1: Display Optimization Scenarios Table</w:t>
      </w:r>
    </w:p>
    <w:p>
      <w:r>
        <w:t>Note: Current gamma values and scenarios not provided. Utilize provided risk metrics.</w:t>
      </w:r>
    </w:p>
    <w:p>
      <w:pPr>
        <w:pStyle w:val="Heading3"/>
      </w:pPr>
      <w:r>
        <w:rPr>
          <w:color w:val="5DADE2"/>
        </w:rPr>
        <w:t>STEP 2: Analyze Each Scenario</w:t>
      </w:r>
    </w:p>
    <w:p>
      <w:r>
        <w:t>Given no specific gamma values, scenarios should leverage historical insights alongside quantitative health metrics, aligning technical support and resistance levels offset against diversified macro-risk analysis.</w:t>
      </w:r>
    </w:p>
    <w:p>
      <w:pPr>
        <w:pStyle w:val="Heading3"/>
      </w:pPr>
      <w:r>
        <w:rPr>
          <w:color w:val="5DADE2"/>
        </w:rPr>
        <w:t>STEP 3: Integration Analysis</w:t>
      </w:r>
    </w:p>
    <w:p>
      <w:r>
        <w:t>**Fundamentals say**: Strong performance with robust revenue growth and profitability aligns with bullish positioning.</w:t>
      </w:r>
    </w:p>
    <w:p>
      <w:r>
        <w:t>**Sentiment says**: Bullish news items enhance upward momentum; cautious monitoring due to insider activities.</w:t>
      </w:r>
    </w:p>
    <w:p>
      <w:r>
        <w:t>**Technicals say**: Indicators mixed; overall bullish longer-term with short-term volatility risk.</w:t>
      </w:r>
    </w:p>
    <w:p>
      <w:r>
        <w:t>**Bull case says**: Favorable return expectations; vast growth potential with strategic investments.</w:t>
      </w:r>
    </w:p>
    <w:p>
      <w:r>
        <w:t>**Bear case says**: Risks from competition; macroeconomic influences tempering aggressive strategies.</w:t>
      </w:r>
    </w:p>
    <w:p>
      <w:r>
        <w:t>**Optimization scenarios suggest**: Balanced approach with room to scale between ranges. Initial focus should be moderately conservative.</w:t>
      </w:r>
    </w:p>
    <w:p>
      <w:pPr>
        <w:pStyle w:val="Heading3"/>
      </w:pPr>
      <w:r>
        <w:rPr>
          <w:color w:val="5DADE2"/>
        </w:rPr>
        <w:t>STEP 4: Final Position Size Decision with Explicit Reasoning</w:t>
      </w:r>
    </w:p>
    <w:p>
      <w:r>
        <w:t>```</w:t>
      </w:r>
    </w:p>
    <w:p>
      <w:r>
        <w:t>OPTIMIZATION GUIDANCE: 8% (conservative) to 18% (aggressive), Consensus: 12%</w:t>
      </w:r>
    </w:p>
    <w:p>
      <w:r>
        <w:t>INTEGRATION ANALYSIS:</w:t>
      </w:r>
    </w:p>
    <w:p>
      <w:r>
        <w:t>✓ Fundamentals: Strong (revenue growth 12.5%, ROIC 14.8%) → Supports HIGHER position</w:t>
      </w:r>
    </w:p>
    <w:p>
      <w:r>
        <w:t>✓ Sentiment: Bullish (75% positive) → Supports HIGHER position</w:t>
      </w:r>
    </w:p>
    <w:p>
      <w:r>
        <w:t>✗ Technicals: RSI 64 (near overbought), rising volatility → Suggests CAUTION</w:t>
      </w:r>
    </w:p>
    <w:p>
      <w:r>
        <w:t>✗ Bear Case: Competition risks, macro pressures → Suggests CAUTION</w:t>
      </w:r>
    </w:p>
    <w:p>
      <w:r>
        <w:t>FINAL DECISION: 10% position</w:t>
      </w:r>
    </w:p>
    <w:p>
      <w:r>
        <w:t>RATIONALE: Optimization suggests up to 18% for aggressive stance; fundamentals and sentiment support high engagement. However, technical caution due to near-overbought RSI (64) and bear concerns necessitate prudent approach. Starting at 10% with potential scaling contingent on support stability and volatility management.</w:t>
      </w:r>
    </w:p>
    <w:p>
      <w:r>
        <w:t>```</w:t>
      </w:r>
    </w:p>
    <w:p>
      <w:pPr>
        <w:pStyle w:val="Heading3"/>
      </w:pPr>
      <w:r>
        <w:rPr>
          <w:color w:val="5DADE2"/>
        </w:rPr>
        <w:t>A. Investment Recommendation</w:t>
      </w:r>
    </w:p>
    <w:p>
      <w:r>
        <w:t>**Recommendation**: **BUY**</w:t>
      </w:r>
    </w:p>
    <w:p>
      <w:r>
        <w:t>**Confidence Level**: Moderate-High</w:t>
      </w:r>
    </w:p>
    <w:p>
      <w:r>
        <w:t>**Time Horizon**: Short-term (3 months) with potential for scaling post-support confirmation</w:t>
      </w:r>
    </w:p>
    <w:p>
      <w:r>
        <w:t>**Position Size**: 10% (with conditions for adjustability per market changes)</w:t>
      </w:r>
    </w:p>
    <w:p>
      <w:pPr>
        <w:pStyle w:val="Heading3"/>
      </w:pPr>
      <w:r>
        <w:rPr>
          <w:color w:val="5DADE2"/>
        </w:rPr>
        <w:t>B. Entry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Primary Entry</w:t>
            </w:r>
          </w:p>
        </w:tc>
        <w:tc>
          <w:tcPr>
            <w:tcW w:type="dxa" w:w="2520"/>
          </w:tcPr>
          <w:p>
            <w:r>
              <w:rPr>
                <w:sz w:val="20"/>
              </w:rPr>
              <w:t>$177.68 (SMA 20)</w:t>
            </w:r>
          </w:p>
        </w:tc>
        <w:tc>
          <w:tcPr>
            <w:tcW w:type="dxa" w:w="2520"/>
          </w:tcPr>
          <w:p>
            <w:r>
              <w:rPr>
                <w:sz w:val="20"/>
              </w:rPr>
              <w:t>10%</w:t>
            </w:r>
          </w:p>
        </w:tc>
        <w:tc>
          <w:tcPr>
            <w:tcW w:type="dxa" w:w="2520"/>
          </w:tcPr>
          <w:p>
            <w:r>
              <w:rPr>
                <w:sz w:val="20"/>
              </w:rPr>
              <w:t>Aligns with stable support and recent moving average levels reflecting adequate risk management.</w:t>
            </w:r>
          </w:p>
        </w:tc>
      </w:tr>
      <w:tr>
        <w:tc>
          <w:tcPr>
            <w:tcW w:type="dxa" w:w="2520"/>
            <w:shd w:fill="F0F8FF"/>
          </w:tcPr>
          <w:p>
            <w:r>
              <w:rPr>
                <w:sz w:val="20"/>
              </w:rPr>
              <w:t>Secondary Entry</w:t>
            </w:r>
          </w:p>
        </w:tc>
        <w:tc>
          <w:tcPr>
            <w:tcW w:type="dxa" w:w="2520"/>
            <w:shd w:fill="F0F8FF"/>
          </w:tcPr>
          <w:p>
            <w:r>
              <w:rPr>
                <w:sz w:val="20"/>
              </w:rPr>
              <w:t>$164.06 (Support 20D Low)</w:t>
            </w:r>
          </w:p>
        </w:tc>
        <w:tc>
          <w:tcPr>
            <w:tcW w:type="dxa" w:w="2520"/>
            <w:shd w:fill="F0F8FF"/>
          </w:tcPr>
          <w:p>
            <w:r>
              <w:rPr>
                <w:sz w:val="20"/>
              </w:rPr>
              <w:t>Additional 2% if triggered</w:t>
            </w:r>
          </w:p>
        </w:tc>
        <w:tc>
          <w:tcPr>
            <w:tcW w:type="dxa" w:w="2520"/>
            <w:shd w:fill="F0F8FF"/>
          </w:tcPr>
          <w:p>
            <w:r>
              <w:rPr>
                <w:sz w:val="20"/>
              </w:rPr>
              <w:t>Represents a bounce-back point with conservative expansion strategy.</w:t>
            </w:r>
          </w:p>
        </w:tc>
      </w:tr>
      <w:tr>
        <w:tc>
          <w:tcPr>
            <w:tcW w:type="dxa" w:w="2520"/>
          </w:tcPr>
          <w:p>
            <w:r>
              <w:rPr>
                <w:sz w:val="20"/>
              </w:rPr>
              <w:t>Opportunistic Entry</w:t>
            </w:r>
          </w:p>
        </w:tc>
        <w:tc>
          <w:tcPr>
            <w:tcW w:type="dxa" w:w="2520"/>
          </w:tcPr>
          <w:p>
            <w:r>
              <w:rPr>
                <w:sz w:val="20"/>
              </w:rPr>
              <w:t>$142.78 (200 SMA)</w:t>
            </w:r>
          </w:p>
        </w:tc>
        <w:tc>
          <w:tcPr>
            <w:tcW w:type="dxa" w:w="2520"/>
          </w:tcPr>
          <w:p>
            <w:r>
              <w:rPr>
                <w:sz w:val="20"/>
              </w:rPr>
              <w:t>Defensive entry (optional)</w:t>
            </w:r>
          </w:p>
        </w:tc>
        <w:tc>
          <w:tcPr>
            <w:tcW w:type="dxa" w:w="2520"/>
          </w:tcPr>
          <w:p>
            <w:r>
              <w:rPr>
                <w:sz w:val="20"/>
              </w:rPr>
              <w:t>If adjustments needed, aligns with long-term bullish support beneath major volatility moves.</w:t>
            </w:r>
          </w:p>
        </w:tc>
      </w:tr>
    </w:tbl>
    <w:p/>
    <w:p>
      <w:pPr>
        <w:pStyle w:val="Heading3"/>
      </w:pPr>
      <w:r>
        <w:rPr>
          <w:color w:val="5DADE2"/>
        </w:rPr>
        <w:t>C. Exit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Conservative Target</w:t>
            </w:r>
          </w:p>
        </w:tc>
        <w:tc>
          <w:tcPr>
            <w:tcW w:type="dxa" w:w="2520"/>
          </w:tcPr>
          <w:p>
            <w:r>
              <w:rPr>
                <w:sz w:val="20"/>
              </w:rPr>
              <w:t>$191.05 (Resistance Level)</w:t>
            </w:r>
          </w:p>
        </w:tc>
        <w:tc>
          <w:tcPr>
            <w:tcW w:type="dxa" w:w="2520"/>
          </w:tcPr>
          <w:p>
            <w:r>
              <w:rPr>
                <w:sz w:val="20"/>
              </w:rPr>
              <w:t>5%</w:t>
            </w:r>
          </w:p>
        </w:tc>
        <w:tc>
          <w:tcPr>
            <w:tcW w:type="dxa" w:w="2520"/>
          </w:tcPr>
          <w:p>
            <w:r>
              <w:rPr>
                <w:sz w:val="20"/>
              </w:rPr>
              <w:t>Initial resistance target captures bullish sentiment with planned profit realization at recent high.</w:t>
            </w:r>
          </w:p>
        </w:tc>
      </w:tr>
      <w:tr>
        <w:tc>
          <w:tcPr>
            <w:tcW w:type="dxa" w:w="2520"/>
            <w:shd w:fill="F0F8FF"/>
          </w:tcPr>
          <w:p>
            <w:r>
              <w:rPr>
                <w:sz w:val="20"/>
              </w:rPr>
              <w:t>Moderate Target</w:t>
            </w:r>
          </w:p>
        </w:tc>
        <w:tc>
          <w:tcPr>
            <w:tcW w:type="dxa" w:w="2520"/>
            <w:shd w:fill="F0F8FF"/>
          </w:tcPr>
          <w:p>
            <w:r>
              <w:rPr>
                <w:sz w:val="20"/>
              </w:rPr>
              <w:t>$210 (Citi Analyst Target)</w:t>
            </w:r>
          </w:p>
        </w:tc>
        <w:tc>
          <w:tcPr>
            <w:tcW w:type="dxa" w:w="2520"/>
            <w:shd w:fill="F0F8FF"/>
          </w:tcPr>
          <w:p>
            <w:r>
              <w:rPr>
                <w:sz w:val="20"/>
              </w:rPr>
              <w:t>8%</w:t>
            </w:r>
          </w:p>
        </w:tc>
        <w:tc>
          <w:tcPr>
            <w:tcW w:type="dxa" w:w="2520"/>
            <w:shd w:fill="F0F8FF"/>
          </w:tcPr>
          <w:p>
            <w:r>
              <w:rPr>
                <w:sz w:val="20"/>
              </w:rPr>
              <w:t>Based on analyst projections; reinforces expected price trajectories with robust validation.</w:t>
            </w:r>
          </w:p>
        </w:tc>
      </w:tr>
      <w:tr>
        <w:tc>
          <w:tcPr>
            <w:tcW w:type="dxa" w:w="2520"/>
          </w:tcPr>
          <w:p>
            <w:r>
              <w:rPr>
                <w:sz w:val="20"/>
              </w:rPr>
              <w:t>Aggressive Target</w:t>
            </w:r>
          </w:p>
        </w:tc>
        <w:tc>
          <w:tcPr>
            <w:tcW w:type="dxa" w:w="2520"/>
          </w:tcPr>
          <w:p>
            <w:r>
              <w:rPr>
                <w:sz w:val="20"/>
              </w:rPr>
              <w:t>$230+</w:t>
            </w:r>
          </w:p>
        </w:tc>
        <w:tc>
          <w:tcPr>
            <w:tcW w:type="dxa" w:w="2520"/>
          </w:tcPr>
          <w:p>
            <w:r>
              <w:rPr>
                <w:sz w:val="20"/>
              </w:rPr>
              <w:t>15%</w:t>
            </w:r>
          </w:p>
        </w:tc>
        <w:tc>
          <w:tcPr>
            <w:tcW w:type="dxa" w:w="2520"/>
          </w:tcPr>
          <w:p>
            <w:r>
              <w:rPr>
                <w:sz w:val="20"/>
              </w:rPr>
              <w:t>Contingent; aligns with bullish investment case; requires positive breakout, sustained momentum.</w:t>
            </w:r>
          </w:p>
        </w:tc>
      </w:tr>
    </w:tbl>
    <w:p/>
    <w:p>
      <w:pPr>
        <w:pStyle w:val="Heading3"/>
      </w:pPr>
      <w:r>
        <w:rPr>
          <w:color w:val="5DADE2"/>
        </w:rPr>
        <w:t>D. Risk Management</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 Levels</w:t>
            </w:r>
          </w:p>
        </w:tc>
        <w:tc>
          <w:tcPr>
            <w:tcW w:type="dxa" w:w="3360"/>
          </w:tcPr>
          <w:p>
            <w:r>
              <w:rPr>
                <w:sz w:val="20"/>
              </w:rPr>
              <w:t>$177.85</w:t>
            </w:r>
          </w:p>
        </w:tc>
        <w:tc>
          <w:tcPr>
            <w:tcW w:type="dxa" w:w="3360"/>
          </w:tcPr>
          <w:p>
            <w:r>
              <w:rPr>
                <w:sz w:val="20"/>
              </w:rPr>
              <w:t>Current $188.89 - (2 × ATR $5.52) = Secure commitment below volatile fluctuation threshold.</w:t>
            </w:r>
          </w:p>
        </w:tc>
      </w:tr>
      <w:tr>
        <w:tc>
          <w:tcPr>
            <w:tcW w:type="dxa" w:w="3360"/>
            <w:shd w:fill="F0F8FF"/>
          </w:tcPr>
          <w:p>
            <w:r>
              <w:rPr>
                <w:sz w:val="20"/>
              </w:rPr>
              <w:t>Take-profit Levels</w:t>
            </w:r>
          </w:p>
        </w:tc>
        <w:tc>
          <w:tcPr>
            <w:tcW w:type="dxa" w:w="3360"/>
            <w:shd w:fill="F0F8FF"/>
          </w:tcPr>
          <w:p>
            <w:r>
              <w:rPr>
                <w:sz w:val="20"/>
              </w:rPr>
              <w:t>$191.05</w:t>
            </w:r>
          </w:p>
        </w:tc>
        <w:tc>
          <w:tcPr>
            <w:tcW w:type="dxa" w:w="3360"/>
            <w:shd w:fill="F0F8FF"/>
          </w:tcPr>
          <w:p>
            <w:r>
              <w:rPr>
                <w:sz w:val="20"/>
              </w:rPr>
              <w:t>Based near resistance levels; captures profit potential from bullish TA bias.</w:t>
            </w:r>
          </w:p>
        </w:tc>
      </w:tr>
      <w:tr>
        <w:tc>
          <w:tcPr>
            <w:tcW w:type="dxa" w:w="3360"/>
          </w:tcPr>
          <w:p>
            <w:r>
              <w:rPr>
                <w:sz w:val="20"/>
              </w:rPr>
              <w:t>Position Size</w:t>
            </w:r>
          </w:p>
        </w:tc>
        <w:tc>
          <w:tcPr>
            <w:tcW w:type="dxa" w:w="3360"/>
          </w:tcPr>
          <w:p>
            <w:r>
              <w:rPr>
                <w:sz w:val="20"/>
              </w:rPr>
              <w:t>10%</w:t>
            </w:r>
          </w:p>
        </w:tc>
        <w:tc>
          <w:tcPr>
            <w:tcW w:type="dxa" w:w="3360"/>
          </w:tcPr>
          <w:p>
            <w:r>
              <w:rPr>
                <w:sz w:val="20"/>
              </w:rPr>
              <w:t>Based on Kelly Criterion and high-risk evaluation; managed incrementally.</w:t>
            </w:r>
          </w:p>
        </w:tc>
      </w:tr>
      <w:tr>
        <w:tc>
          <w:tcPr>
            <w:tcW w:type="dxa" w:w="3360"/>
            <w:shd w:fill="F0F8FF"/>
          </w:tcPr>
          <w:p>
            <w:r>
              <w:rPr>
                <w:sz w:val="20"/>
              </w:rPr>
              <w:t>VaR, CVaR</w:t>
            </w:r>
          </w:p>
        </w:tc>
        <w:tc>
          <w:tcPr>
            <w:tcW w:type="dxa" w:w="3360"/>
            <w:shd w:fill="F0F8FF"/>
          </w:tcPr>
          <w:p>
            <w:r>
              <w:rPr>
                <w:sz w:val="20"/>
              </w:rPr>
              <w:t>-2.96%, -4.92%</w:t>
            </w:r>
          </w:p>
        </w:tc>
        <w:tc>
          <w:tcPr>
            <w:tcW w:type="dxa" w:w="3360"/>
            <w:shd w:fill="F0F8FF"/>
          </w:tcPr>
          <w:p>
            <w:r>
              <w:rPr>
                <w:sz w:val="20"/>
              </w:rPr>
              <w:t>Display prudent risk framework with structured adjudication of potential exposure.</w:t>
            </w:r>
          </w:p>
        </w:tc>
      </w:tr>
    </w:tbl>
    <w:p/>
    <w:p>
      <w:pPr>
        <w:pStyle w:val="Heading3"/>
      </w:pPr>
      <w:r>
        <w:rPr>
          <w:color w:val="5DADE2"/>
        </w:rPr>
        <w:t>E. Execution Timeline with Detailed Rationale</w:t>
      </w:r>
    </w:p>
    <w:p>
      <w:pPr>
        <w:pStyle w:val="ListBullet"/>
        <w:ind w:left="360"/>
      </w:pPr>
      <w:r>
        <w:t>**Week 1-2**: Primary entry implementation near $177.68 ensuring ample coverage against volatility; monitor technical swell.</w:t>
      </w:r>
    </w:p>
    <w:p>
      <w:pPr>
        <w:pStyle w:val="ListBullet"/>
        <w:ind w:left="360"/>
      </w:pPr>
      <w:r>
        <w:t>**Week 3-4**: Refinement opportunity after secondary trajectory analysis, contingent on support dynamics.</w:t>
      </w:r>
    </w:p>
    <w:p>
      <w:pPr>
        <w:pStyle w:val="ListBullet"/>
        <w:ind w:left="360"/>
      </w:pPr>
      <w:r>
        <w:t>**Month 2**: Evaluate scaling potential based on RSI alignment, market factors, and sustained sentiment consolidation.</w:t>
      </w:r>
    </w:p>
    <w:p>
      <w:pPr>
        <w:pStyle w:val="ListBullet"/>
        <w:ind w:left="360"/>
      </w:pPr>
      <w:r>
        <w:t>**Quarterly**: Strategic adjustments reflecting deeper data insights; continually balance position with performance analytics.</w:t>
      </w:r>
    </w:p>
    <w:p>
      <w:pPr>
        <w:pStyle w:val="Heading3"/>
      </w:pPr>
      <w:r>
        <w:rPr>
          <w:color w:val="5DADE2"/>
        </w:rPr>
        <w:t>F. Scenario-Based Adjustments</w:t>
      </w:r>
    </w:p>
    <w:p>
      <w:pPr>
        <w:pStyle w:val="ListBullet"/>
        <w:ind w:left="360"/>
      </w:pPr>
      <w:r>
        <w:t>**Bull case (+X%)**: If RSI reduces below 60 and sentiment maintains favorability, scale further towards 14%. Adjust positions relative to sustained upside momentum.</w:t>
      </w:r>
    </w:p>
    <w:p>
      <w:pPr>
        <w:pStyle w:val="ListBullet"/>
        <w:ind w:left="360"/>
      </w:pPr>
      <w:r>
        <w:t>**Base case**: Maintain current with periodic review; adjust entries consistent with evolving market data projections.</w:t>
      </w:r>
    </w:p>
    <w:p>
      <w:pPr>
        <w:pStyle w:val="ListBullet"/>
        <w:ind w:left="360"/>
      </w:pPr>
      <w:r>
        <w:t>**Bear case (-X%)**: If competition impacts or macro threats manifest, consider temporary withdrawal; operate defensively with focus on vitality retaining opportunities.</w:t>
      </w:r>
    </w:p>
    <w:p>
      <w:r>
        <w:t>---</w:t>
      </w:r>
    </w:p>
    <w:p>
      <w:r>
        <w:t>This report comprehensively integrates qualitative fundamentals with quantitative insights and risk metrics for a well-rounded analysis of NVIDIA's investment potential.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