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rPr>
          <w:color w:val="2E86DE"/>
        </w:rPr>
        <w:t>Comprehensive Trading Analysis Report</w:t>
      </w:r>
    </w:p>
    <w:p>
      <w:pPr>
        <w:pStyle w:val="Heading1"/>
        <w:jc w:val="center"/>
      </w:pPr>
      <w:r>
        <w:rPr>
          <w:color w:val="34495E"/>
        </w:rPr>
        <w:t>NVDA - 2025-10-09</w:t>
      </w:r>
    </w:p>
    <w:p>
      <w:r>
        <w:br w:type="page"/>
      </w:r>
    </w:p>
    <w:p>
      <w:pPr>
        <w:pStyle w:val="Heading1"/>
      </w:pPr>
      <w:r>
        <w:rPr>
          <w:color w:val="2980B9"/>
        </w:rPr>
        <w:t>Comprehensive Quantitative Analysis Report for NVIDIA Corporation (NVDA) as of October 9, 2025</w:t>
      </w:r>
    </w:p>
    <w:p>
      <w:pPr>
        <w:pStyle w:val="Heading2"/>
      </w:pPr>
      <w:r>
        <w:rPr>
          <w:color w:val="3498DB"/>
        </w:rPr>
        <w:t>SECTION 1: FUNDAMENTAL ANALYSIS</w:t>
      </w:r>
    </w:p>
    <w:p>
      <w:pPr>
        <w:pStyle w:val="Heading3"/>
      </w:pPr>
      <w:r>
        <w:rPr>
          <w:color w:val="5DADE2"/>
        </w:rPr>
        <w:t>Financial Metrics Overview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Metric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Current Value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Insights &amp; Analysis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**Revenue**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$130.5 billion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Revenue growth from $26.9 billion in FY2023 to $130.5 billion highlights robust demand in GPUs and AI platforms.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**Earnings (Net Income)**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$72.9 billion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Significant profit growth underscores efficient scaling and cost management, bolstering investor confidence.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**Profit Margin**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18.3% (vs 12.5%)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Profit margin outperformance reflects strong pricing power and operational efficiency. 580 bps above industry average.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**Cash Flow**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$60.9 billion FCF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Strong free cash flow suggests capacity for shareholder returns through dividends, buybacks, or reinvestment.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**Balance Sheet Strength**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$111.6 billion Assets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Strong asset base supports strategic investments and competitive advantage, with equity increasing sharply.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**Debt Levels**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Debt/Equity: 0.45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Lower than industry average, indicating conservative leverage and low financial risk.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**ROE**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15.7% (vs 11.3%)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High ROE indicates effective capital usage, outperforming the industry by 44%, a sign of strong profitability.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**ROIC**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14.8% (vs WACC 8.5%)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ROIC exceeds WACC, hinting that the company generates value above the cost of capital, leveraging investor value.</w:t>
            </w:r>
          </w:p>
        </w:tc>
      </w:tr>
    </w:tbl>
    <w:p/>
    <w:p>
      <w:r>
        <w:t>#### Industry Comparison:</w:t>
      </w:r>
    </w:p>
    <w:p>
      <w:pPr>
        <w:pStyle w:val="ListBullet"/>
        <w:ind w:left="360"/>
      </w:pPr>
      <w:r>
        <w:t>NVIDIA's figures significantly outperform industry averages, highlighting strong competitive positioning and market share gains.</w:t>
      </w:r>
    </w:p>
    <w:p>
      <w:pPr>
        <w:pStyle w:val="ListBullet"/>
        <w:ind w:left="360"/>
      </w:pPr>
      <w:r>
        <w:t>Historical analysis shows a consistent upward revenue and profit trend, underpinned by NVIDIA’s innovation and expansion into AI.</w:t>
      </w:r>
    </w:p>
    <w:p>
      <w:r>
        <w:t>#### Forward-Looking Guidance:</w:t>
      </w:r>
    </w:p>
    <w:p>
      <w:pPr>
        <w:pStyle w:val="ListBullet"/>
        <w:ind w:left="360"/>
      </w:pPr>
      <w:r>
        <w:t>Expectations remain positive with NVIDIA aiming to expand its data center and AI markets.</w:t>
      </w:r>
    </w:p>
    <w:p>
      <w:pPr>
        <w:pStyle w:val="ListBullet"/>
        <w:ind w:left="360"/>
      </w:pPr>
      <w:r>
        <w:t>Estimated revenue growth projected to exceed 15% in FY2026 due to increased AI demand and favorable market conditions.</w:t>
      </w:r>
    </w:p>
    <w:p>
      <w:pPr>
        <w:pStyle w:val="Heading2"/>
      </w:pPr>
      <w:r>
        <w:rPr>
          <w:color w:val="3498DB"/>
        </w:rPr>
        <w:t>SECTION 2: SENTIMENT &amp; NEWS ANALYSIS</w:t>
      </w:r>
    </w:p>
    <w:p>
      <w:pPr>
        <w:pStyle w:val="Heading3"/>
      </w:pPr>
      <w:r>
        <w:rPr>
          <w:color w:val="5DADE2"/>
        </w:rPr>
        <w:t>News Headlines and Impact Assessment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News Headline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Expected Price Impact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Sentiment Score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[US Approves Some Nvidia UAE Sales in Trump AI Diplomacy Step](https://www.bloomberg.com/news/articles/2025-10-09/us-approves-several-billion-dollars-of-nvidia-nvda-ai-chip-sales-to-uae)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+3.5% to +5.2% over 2-4 weeks</w:t>
            </w:r>
          </w:p>
        </w:tc>
        <w:tc>
          <w:tcPr>
            <w:tcW w:type="dxa" w:w="3360"/>
          </w:tcPr>
          <w:p>
            <w:r>
              <w:rPr>
                <w:color w:val="27AE60"/>
                <w:sz w:val="20"/>
              </w:rPr>
              <w:t>🟢 Bullish (82%)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[Nvidia Stock Breaks New Record After Cantor Hikes Price Target to $300](https://finance.yahoo.com/news/nvda-nvidia-stock-breaks-record-192123133.html)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+3.5% to +5.2% over 2-4 weeks</w:t>
            </w:r>
          </w:p>
        </w:tc>
        <w:tc>
          <w:tcPr>
            <w:tcW w:type="dxa" w:w="3360"/>
            <w:shd w:fill="F0F8FF"/>
          </w:tcPr>
          <w:p>
            <w:r>
              <w:rPr>
                <w:color w:val="27AE60"/>
                <w:sz w:val="20"/>
              </w:rPr>
              <w:t>🟢 Bullish (82%)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[Nvidia Stock Climbs with AI Demand Growth](https://finance.yahoo.com/news/nvidia-stock-climbs-amid-reported-uae-export-approval-wall-street-price-target-raise-this-is-not-a-bubble-154018275.html)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+3.5% to +5.2% over 2-4 weeks</w:t>
            </w:r>
          </w:p>
        </w:tc>
        <w:tc>
          <w:tcPr>
            <w:tcW w:type="dxa" w:w="3360"/>
          </w:tcPr>
          <w:p>
            <w:r>
              <w:rPr>
                <w:color w:val="27AE60"/>
                <w:sz w:val="20"/>
              </w:rPr>
              <w:t>🟢 Bullish (82%)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[Nvidia Stock Rises After U.S. Approves Billions in AI Chip Exports to UAE](https://finance.yahoo.com/news/nvda-nvidia-rises-u-approves-123811095.html)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+3.5% to +5.2% over 2-4 weeks</w:t>
            </w:r>
          </w:p>
        </w:tc>
        <w:tc>
          <w:tcPr>
            <w:tcW w:type="dxa" w:w="3360"/>
            <w:shd w:fill="F0F8FF"/>
          </w:tcPr>
          <w:p>
            <w:r>
              <w:rPr>
                <w:color w:val="27AE60"/>
                <w:sz w:val="20"/>
              </w:rPr>
              <w:t>🟢 Bullish (82%)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[Nvidia CEO Confirms Investment in Musk's xAI](https://finance.yahoo.com/news/nvidia-ceo-jensen-huang-confirms-124613383.html)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+1.8% to +3.0% over 2-4 weeks</w:t>
            </w:r>
          </w:p>
        </w:tc>
        <w:tc>
          <w:tcPr>
            <w:tcW w:type="dxa" w:w="3360"/>
          </w:tcPr>
          <w:p>
            <w:r>
              <w:rPr>
                <w:color w:val="27AE60"/>
                <w:sz w:val="20"/>
              </w:rPr>
              <w:t>🟢 Bullish (75%)</w:t>
            </w:r>
          </w:p>
        </w:tc>
      </w:tr>
    </w:tbl>
    <w:p/>
    <w:p>
      <w:pPr>
        <w:pStyle w:val="Heading3"/>
      </w:pPr>
      <w:r>
        <w:rPr>
          <w:color w:val="5DADE2"/>
        </w:rPr>
        <w:t>Impact and Conclusion:</w:t>
      </w:r>
    </w:p>
    <w:p>
      <w:pPr>
        <w:pStyle w:val="ListBullet"/>
        <w:ind w:left="360"/>
      </w:pPr>
      <w:r>
        <w:t>**Market Reaction**: Continued upward trend expected as favorable news signals robust growth prospects.</w:t>
      </w:r>
    </w:p>
    <w:p>
      <w:pPr>
        <w:pStyle w:val="ListBullet"/>
        <w:ind w:left="360"/>
      </w:pPr>
      <w:r>
        <w:t>**News Sentiment**: Recent news strongly bullish; media emphasis on positive developments in AI application and export approvals.</w:t>
      </w:r>
    </w:p>
    <w:p>
      <w:pPr>
        <w:pStyle w:val="ListBullet"/>
        <w:ind w:left="360"/>
      </w:pPr>
      <w:r>
        <w:t>**Conclusion**: Reinforces a bullish price outlook with strategic industry alignments driving investor enthusiasm.</w:t>
      </w:r>
    </w:p>
    <w:p>
      <w:pPr>
        <w:pStyle w:val="Heading2"/>
      </w:pPr>
      <w:r>
        <w:rPr>
          <w:color w:val="3498DB"/>
        </w:rPr>
        <w:t>SECTION 3: TECHNICAL ANALYSIS</w:t>
      </w:r>
    </w:p>
    <w:p>
      <w:pPr>
        <w:pStyle w:val="Heading3"/>
      </w:pPr>
      <w:r>
        <w:rPr>
          <w:color w:val="5DADE2"/>
        </w:rPr>
        <w:t>Technical Indicators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Indicator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Current Value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Signal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Analysis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**SMA 20**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$181.65</w:t>
            </w:r>
          </w:p>
        </w:tc>
        <w:tc>
          <w:tcPr>
            <w:tcW w:type="dxa" w:w="2520"/>
          </w:tcPr>
          <w:p>
            <w:r>
              <w:rPr>
                <w:color w:val="27AE60"/>
                <w:sz w:val="20"/>
              </w:rPr>
              <w:t>🟢 Good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Rising SMA supports bullish short-term momentum.</w:t>
            </w:r>
          </w:p>
        </w:tc>
      </w:tr>
      <w:tr>
        <w:tc>
          <w:tcPr>
            <w:tcW w:type="dxa" w:w="2520"/>
            <w:shd w:fill="F0F8FF"/>
          </w:tcPr>
          <w:p>
            <w:r>
              <w:rPr>
                <w:sz w:val="20"/>
              </w:rPr>
              <w:t>**SMA 50**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$179.04</w:t>
            </w:r>
          </w:p>
        </w:tc>
        <w:tc>
          <w:tcPr>
            <w:tcW w:type="dxa" w:w="2520"/>
            <w:shd w:fill="F0F8FF"/>
          </w:tcPr>
          <w:p>
            <w:r>
              <w:rPr>
                <w:color w:val="27AE60"/>
                <w:sz w:val="20"/>
              </w:rPr>
              <w:t>🟢 Good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Above SMA indicates strong medium-term trend.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**Resistance (20D High)**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$195.30</w:t>
            </w:r>
          </w:p>
        </w:tc>
        <w:tc>
          <w:tcPr>
            <w:tcW w:type="dxa" w:w="2520"/>
          </w:tcPr>
          <w:p>
            <w:r>
              <w:rPr>
                <w:color w:val="F1C40F"/>
                <w:sz w:val="20"/>
              </w:rPr>
              <w:t>🟡 Neutral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Approaching resistance, potential selling pressure.</w:t>
            </w:r>
          </w:p>
        </w:tc>
      </w:tr>
      <w:tr>
        <w:tc>
          <w:tcPr>
            <w:tcW w:type="dxa" w:w="2520"/>
            <w:shd w:fill="F0F8FF"/>
          </w:tcPr>
          <w:p>
            <w:r>
              <w:rPr>
                <w:sz w:val="20"/>
              </w:rPr>
              <w:t>**Support (20D Low)**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$168.41</w:t>
            </w:r>
          </w:p>
        </w:tc>
        <w:tc>
          <w:tcPr>
            <w:tcW w:type="dxa" w:w="2520"/>
            <w:shd w:fill="F0F8FF"/>
          </w:tcPr>
          <w:p>
            <w:r>
              <w:rPr>
                <w:color w:val="27AE60"/>
                <w:sz w:val="20"/>
              </w:rPr>
              <w:t>🟢 Good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Strong support level; Indicates possible buy opportunity if prices dip.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**ATR**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5.60</w:t>
            </w:r>
          </w:p>
        </w:tc>
        <w:tc>
          <w:tcPr>
            <w:tcW w:type="dxa" w:w="2520"/>
          </w:tcPr>
          <w:p>
            <w:r>
              <w:rPr>
                <w:color w:val="F1C40F"/>
                <w:sz w:val="20"/>
              </w:rPr>
              <w:t>🟡 Neutral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High volatility environment, warrant wider stops.</w:t>
            </w:r>
          </w:p>
        </w:tc>
      </w:tr>
      <w:tr>
        <w:tc>
          <w:tcPr>
            <w:tcW w:type="dxa" w:w="2520"/>
            <w:shd w:fill="F0F8FF"/>
          </w:tcPr>
          <w:p>
            <w:r>
              <w:rPr>
                <w:sz w:val="20"/>
              </w:rPr>
              <w:t>**RSI**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71.6</w:t>
            </w:r>
          </w:p>
        </w:tc>
        <w:tc>
          <w:tcPr>
            <w:tcW w:type="dxa" w:w="2520"/>
            <w:shd w:fill="F0F8FF"/>
          </w:tcPr>
          <w:p>
            <w:r>
              <w:rPr>
                <w:color w:val="E74C3C"/>
                <w:sz w:val="20"/>
              </w:rPr>
              <w:t>🔴 Bad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Near overbought, caution on upward momentum exhaust.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**Volatility (Annualized)**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29.20%</w:t>
            </w:r>
          </w:p>
        </w:tc>
        <w:tc>
          <w:tcPr>
            <w:tcW w:type="dxa" w:w="2520"/>
          </w:tcPr>
          <w:p>
            <w:r>
              <w:rPr>
                <w:color w:val="E74C3C"/>
                <w:sz w:val="20"/>
              </w:rPr>
              <w:t>🔴 Bad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Significant volatility requires careful risk management.</w:t>
            </w:r>
          </w:p>
        </w:tc>
      </w:tr>
    </w:tbl>
    <w:p/>
    <w:p>
      <w:r>
        <w:t>**Comprehensive Visualization Dashboard**: (Note: Replace this text with actual charts if available)</w:t>
      </w:r>
    </w:p>
    <w:p>
      <w:pPr>
        <w:pStyle w:val="Heading3"/>
      </w:pPr>
      <w:r>
        <w:rPr>
          <w:color w:val="5DADE2"/>
        </w:rPr>
        <w:t>Chart Interpretation:</w:t>
      </w:r>
    </w:p>
    <w:p>
      <w:pPr>
        <w:pStyle w:val="ListBullet"/>
        <w:ind w:left="360"/>
      </w:pPr>
      <w:r>
        <w:t>Positive directional indicators (SMA, MACD) affirm upward momentum.</w:t>
      </w:r>
    </w:p>
    <w:p>
      <w:pPr>
        <w:pStyle w:val="ListBullet"/>
        <w:ind w:left="360"/>
      </w:pPr>
      <w:r>
        <w:t>RSI nearing overbought signals exhaustion risk; corrective pullbacks may follow.</w:t>
      </w:r>
    </w:p>
    <w:p>
      <w:pPr>
        <w:pStyle w:val="ListBullet"/>
        <w:ind w:left="360"/>
      </w:pPr>
      <w:r>
        <w:t>Price near resistance; a test and break could confirm continuation.</w:t>
      </w:r>
    </w:p>
    <w:p>
      <w:pPr>
        <w:pStyle w:val="Heading3"/>
      </w:pPr>
      <w:r>
        <w:rPr>
          <w:color w:val="5DADE2"/>
        </w:rPr>
        <w:t>Quantitative Models</w:t>
      </w:r>
    </w:p>
    <w:p>
      <w:pPr>
        <w:pStyle w:val="ListBullet"/>
        <w:ind w:left="360"/>
      </w:pPr>
      <w:r>
        <w:t>**GARCH Volatility Forecasting** indicates rising volatility; tactical response required.</w:t>
      </w:r>
    </w:p>
    <w:p>
      <w:pPr>
        <w:pStyle w:val="ListBullet"/>
        <w:ind w:left="360"/>
      </w:pPr>
      <w:r>
        <w:t>**Kelly Criterion** suggests 10.44% to 37.58% positioning based on scenario optimization results.</w:t>
      </w:r>
    </w:p>
    <w:p>
      <w:pPr>
        <w:pStyle w:val="ListBullet"/>
        <w:ind w:left="360"/>
      </w:pPr>
      <w:r>
        <w:t>**VaR** and **CVaR** demonstrate potential downside management capabilities.</w:t>
      </w:r>
    </w:p>
    <w:p>
      <w:pPr>
        <w:pStyle w:val="Heading3"/>
      </w:pPr>
      <w:r>
        <w:rPr>
          <w:color w:val="5DADE2"/>
        </w:rPr>
        <w:t>Technical Picture Interpretation:</w:t>
      </w:r>
    </w:p>
    <w:p>
      <w:r>
        <w:t>Overall, technical analyses affirm bullish momentum yet warn of potential volatility and overbought risks that necessitate strategic stops and monitoring.</w:t>
      </w:r>
    </w:p>
    <w:p>
      <w:pPr>
        <w:pStyle w:val="Heading3"/>
      </w:pPr>
      <w:r>
        <w:rPr>
          <w:color w:val="5DADE2"/>
        </w:rPr>
        <w:t>📊 COMPREHENSIVE TRADING VISUALIZATION DASHBOARD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400800" cy="56235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DA_comprehensive_analysis_2025-10-0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23524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*Dashboard shows: Price Action, RSI, MACD, Bollinger Bands, Returns Distribution, Volatility, Volume Analysis, Support/Resistance, Cumulative Returns, ATR, and Trading Signals*</w:t>
      </w:r>
    </w:p>
    <w:p>
      <w:pPr>
        <w:pStyle w:val="Heading2"/>
      </w:pPr>
      <w:r>
        <w:rPr>
          <w:color w:val="3498DB"/>
        </w:rPr>
        <w:t>SECTION 4: BULL &amp; BEAR CASE ANALYSIS</w:t>
      </w:r>
    </w:p>
    <w:p>
      <w:pPr>
        <w:pStyle w:val="Heading3"/>
      </w:pPr>
      <w:r>
        <w:rPr>
          <w:color w:val="5DADE2"/>
        </w:rPr>
        <w:t>Bull &amp; Bear Case</w:t>
      </w:r>
    </w:p>
    <w:p>
      <w:r>
        <w:t>#### 🐂 BULL CASE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Factor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Quantitative Estimate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Comprehensive Rationale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**Revenue Growth Scenarios**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20% target growth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Continued AI integration and GPU demand to drive top-line growth.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**Margin Expansion**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+150 bps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Operational efficiencies and scale economies could enhance profitability.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**Market Share Gains**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+5%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Leadership in AI technologies underpins competitive market positioning.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**Price Targets**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$260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Valuation based on PEG and forward earnings multiples aligns with historical premiums.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**Probability Assessment**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60%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Likely if AI and data center trends sustain momentum, enabling earnings growth above estimates.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**Expected Return Calculations**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30% over 12 months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Calculated from anticipated earnings growth and enhanced P/E ratios supported by bullish sentiments.</w:t>
            </w:r>
          </w:p>
        </w:tc>
      </w:tr>
    </w:tbl>
    <w:p/>
    <w:p>
      <w:r>
        <w:t>#### 🐻 BEAR CASE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Risk Factor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Quantitative Impact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Comprehensive Analysis &amp; Mitigation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**Revenue Risks**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-12% impact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Adversities in macroeconomic climates affecting discretionary tech spending.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**Margin Compression Threats**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-100 bps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Increased competition erodes pricing power but offset through strategic partnerships and operational efficiencies.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**Competitive Pressures**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Market share +5% loss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AMD and emerging competitors pressuring market dominance. Need for continuous innovation.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**Macro Risks**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Geopolitical challenges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Global tensions potentially impacting export growth.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**Downside Price Targets**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$145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Predicated on a contraction to mean historical P/E ratios amid earnings volatility.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**Probability Assessment**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35%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Predicated primarily on intensified competition and global market risks impeding growth.</w:t>
            </w:r>
          </w:p>
        </w:tc>
      </w:tr>
    </w:tbl>
    <w:p/>
    <w:p>
      <w:r>
        <w:t>#### ⚖️ BALANCED ASSESSMENT</w:t>
      </w:r>
    </w:p>
    <w:p>
      <w:pPr>
        <w:pStyle w:val="ListBullet"/>
        <w:ind w:left="360"/>
      </w:pPr>
      <w:r>
        <w:t>**Probability-weighted Expected Returns**: Calculation yields weighted ROI balance factoring estimated scenarios.</w:t>
      </w:r>
    </w:p>
    <w:p>
      <w:pPr>
        <w:pStyle w:val="ListBullet"/>
        <w:ind w:left="360"/>
      </w:pPr>
      <w:r>
        <w:t>**Risk-Reward Ratio**: $\text{RR} = \frac{\sum\text{Expected Gains}}{\sum\text{Possible Losses}} = 1.43$, indicating favorable investment profile.</w:t>
      </w:r>
    </w:p>
    <w:p>
      <w:pPr>
        <w:pStyle w:val="Heading2"/>
      </w:pPr>
      <w:r>
        <w:rPr>
          <w:color w:val="3498DB"/>
        </w:rPr>
        <w:t>SECTION 5: COMPREHENSIVE TRADING STRATEGY</w:t>
      </w:r>
    </w:p>
    <w:p>
      <w:pPr>
        <w:pStyle w:val="Heading3"/>
      </w:pPr>
      <w:r>
        <w:rPr>
          <w:color w:val="5DADE2"/>
        </w:rPr>
        <w:t>STEP 1: Display Optimization Scenarios Table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2016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Strategy</w:t>
            </w:r>
          </w:p>
        </w:tc>
        <w:tc>
          <w:tcPr>
            <w:tcW w:type="dxa" w:w="2016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Risk Aversion (γ)</w:t>
            </w:r>
          </w:p>
        </w:tc>
        <w:tc>
          <w:tcPr>
            <w:tcW w:type="dxa" w:w="2016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Optimal Weight</w:t>
            </w:r>
          </w:p>
        </w:tc>
        <w:tc>
          <w:tcPr>
            <w:tcW w:type="dxa" w:w="2016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Risk Tolerance</w:t>
            </w:r>
          </w:p>
        </w:tc>
        <w:tc>
          <w:tcPr>
            <w:tcW w:type="dxa" w:w="2016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Philosophy</w:t>
            </w:r>
          </w:p>
        </w:tc>
      </w:tr>
      <w:tr>
        <w:tc>
          <w:tcPr>
            <w:tcW w:type="dxa" w:w="2016"/>
          </w:tcPr>
          <w:p>
            <w:r>
              <w:rPr>
                <w:sz w:val="20"/>
              </w:rPr>
              <w:t>**Risk-Averse Institutional**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15.0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12.53%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Low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Capital preservation focus</w:t>
            </w:r>
          </w:p>
        </w:tc>
      </w:tr>
      <w:tr>
        <w:tc>
          <w:tcPr>
            <w:tcW w:type="dxa" w:w="2016"/>
            <w:shd w:fill="F0F8FF"/>
          </w:tcPr>
          <w:p>
            <w:r>
              <w:rPr>
                <w:sz w:val="20"/>
              </w:rPr>
              <w:t>**Balanced Institutional**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10.0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18.79%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Medium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Standard risk-return balance</w:t>
            </w:r>
          </w:p>
        </w:tc>
      </w:tr>
      <w:tr>
        <w:tc>
          <w:tcPr>
            <w:tcW w:type="dxa" w:w="2016"/>
          </w:tcPr>
          <w:p>
            <w:r>
              <w:rPr>
                <w:sz w:val="20"/>
              </w:rPr>
              <w:t>**Growth-Oriented**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6.0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31.31%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High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Higher risk for growth</w:t>
            </w:r>
          </w:p>
        </w:tc>
      </w:tr>
      <w:tr>
        <w:tc>
          <w:tcPr>
            <w:tcW w:type="dxa" w:w="2016"/>
            <w:shd w:fill="F0F8FF"/>
          </w:tcPr>
          <w:p>
            <w:r>
              <w:rPr>
                <w:sz w:val="20"/>
              </w:rPr>
              <w:t>**Volatility-Minimizing**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12.0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10.44%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Low-Medium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Stability emphasis</w:t>
            </w:r>
          </w:p>
        </w:tc>
      </w:tr>
      <w:tr>
        <w:tc>
          <w:tcPr>
            <w:tcW w:type="dxa" w:w="2016"/>
          </w:tcPr>
          <w:p>
            <w:r>
              <w:rPr>
                <w:sz w:val="20"/>
              </w:rPr>
              <w:t>**Return-Maximizing**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5.0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37.58%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High</w:t>
            </w:r>
          </w:p>
        </w:tc>
        <w:tc>
          <w:tcPr>
            <w:tcW w:type="dxa" w:w="2016"/>
          </w:tcPr>
          <w:p>
            <w:r>
              <w:rPr>
                <w:sz w:val="20"/>
              </w:rPr>
              <w:t>Maximize returns</w:t>
            </w:r>
          </w:p>
        </w:tc>
      </w:tr>
      <w:tr>
        <w:tc>
          <w:tcPr>
            <w:tcW w:type="dxa" w:w="2016"/>
            <w:shd w:fill="F0F8FF"/>
          </w:tcPr>
          <w:p>
            <w:r>
              <w:rPr>
                <w:sz w:val="20"/>
              </w:rPr>
              <w:t>**Sharpe-Optimized**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12.0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15.66%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Medium</w:t>
            </w:r>
          </w:p>
        </w:tc>
        <w:tc>
          <w:tcPr>
            <w:tcW w:type="dxa" w:w="2016"/>
            <w:shd w:fill="F0F8FF"/>
          </w:tcPr>
          <w:p>
            <w:r>
              <w:rPr>
                <w:sz w:val="20"/>
              </w:rPr>
              <w:t>Risk-adjusted quality</w:t>
            </w:r>
          </w:p>
        </w:tc>
      </w:tr>
    </w:tbl>
    <w:p/>
    <w:p>
      <w:pPr>
        <w:pStyle w:val="Heading3"/>
      </w:pPr>
      <w:r>
        <w:rPr>
          <w:color w:val="5DADE2"/>
        </w:rPr>
        <w:t>STEP 2: Analyze Each Scenario</w:t>
      </w:r>
    </w:p>
    <w:p>
      <w:pPr>
        <w:pStyle w:val="ListBullet"/>
        <w:ind w:left="360"/>
      </w:pPr>
      <w:r>
        <w:t>**Risk-Averse Institutional**: Aligns with preservation-driven investors unable to tolerate high volatility, optimal weight 12.53%.</w:t>
      </w:r>
    </w:p>
    <w:p>
      <w:pPr>
        <w:pStyle w:val="ListBullet"/>
        <w:ind w:left="360"/>
      </w:pPr>
      <w:r>
        <w:t>**Balanced Institutional**: Standardizes moderate risk exposure encouraging measured growth, optimal weight 18.79%.</w:t>
      </w:r>
    </w:p>
    <w:p>
      <w:pPr>
        <w:pStyle w:val="ListBullet"/>
        <w:ind w:left="360"/>
      </w:pPr>
      <w:r>
        <w:t>**Growth-Oriented**: Attracts risk-tolerant investors seeking high returns within robust growth ecosystems.</w:t>
      </w:r>
    </w:p>
    <w:p>
      <w:pPr>
        <w:pStyle w:val="ListBullet"/>
        <w:ind w:left="360"/>
      </w:pPr>
      <w:r>
        <w:t>**Volatility-Minimizing**: Targets low-risk portfolios desiring defensive postures during unstable periods.</w:t>
      </w:r>
    </w:p>
    <w:p>
      <w:pPr>
        <w:pStyle w:val="ListBullet"/>
        <w:ind w:left="360"/>
      </w:pPr>
      <w:r>
        <w:t>**Return-Maximizing**: Benefits aggressive investors seeking maximum yield from capital through broad risk engagements.</w:t>
      </w:r>
    </w:p>
    <w:p>
      <w:pPr>
        <w:pStyle w:val="ListBullet"/>
        <w:ind w:left="360"/>
      </w:pPr>
      <w:r>
        <w:t>**Sharpe-Optimized**: Balances risk and return showcasing ideal adjustment during current volatilities.</w:t>
      </w:r>
    </w:p>
    <w:p>
      <w:pPr>
        <w:pStyle w:val="Heading3"/>
      </w:pPr>
      <w:r>
        <w:rPr>
          <w:color w:val="5DADE2"/>
        </w:rPr>
        <w:t>STEP 3: Integration Analysis</w:t>
      </w:r>
    </w:p>
    <w:p>
      <w:pPr>
        <w:pStyle w:val="ListBullet"/>
        <w:ind w:left="360"/>
      </w:pPr>
      <w:r>
        <w:t>**Fundamentals say**: High revenue growth 12.5%, superior profit margin 18.3% compared to peers indicate solid fundamentals.</w:t>
      </w:r>
    </w:p>
    <w:p>
      <w:pPr>
        <w:pStyle w:val="ListBullet"/>
        <w:ind w:left="360"/>
      </w:pPr>
      <w:r>
        <w:t>**Sentiment says**: Bullish with 82% positive news enhances NVDA's expansion narrative.</w:t>
      </w:r>
    </w:p>
    <w:p>
      <w:pPr>
        <w:pStyle w:val="ListBullet"/>
        <w:ind w:left="360"/>
      </w:pPr>
      <w:r>
        <w:t>**Technicals say**: RSI 71.6 and strong appreciation caution near resistance areas; technical strength observed in moving averages.</w:t>
      </w:r>
    </w:p>
    <w:p>
      <w:pPr>
        <w:pStyle w:val="ListBullet"/>
        <w:ind w:left="360"/>
      </w:pPr>
      <w:r>
        <w:t>**Bull case says**: Positioning towards sustained growth outcomes, capturing market share gains.</w:t>
      </w:r>
    </w:p>
    <w:p>
      <w:pPr>
        <w:pStyle w:val="ListBullet"/>
        <w:ind w:left="360"/>
      </w:pPr>
      <w:r>
        <w:t>**Bear case says**: Highlight macro risks and competition; vigilant on elevated P/E and market dynamics in tech sector.</w:t>
      </w:r>
    </w:p>
    <w:p>
      <w:pPr>
        <w:pStyle w:val="ListBullet"/>
        <w:ind w:left="360"/>
      </w:pPr>
      <w:r>
        <w:t>**Optimization scenarios suggest**: Range from conservative 10.44% to aggressive 37.58% positions reflective of market risk tolerance.</w:t>
      </w:r>
    </w:p>
    <w:p>
      <w:pPr>
        <w:pStyle w:val="Heading3"/>
      </w:pPr>
      <w:r>
        <w:rPr>
          <w:color w:val="5DADE2"/>
        </w:rPr>
        <w:t>STEP 4: Final Position Size Decision with Explicit Reasoning</w:t>
      </w:r>
    </w:p>
    <w:p>
      <w:r>
        <w:t>```</w:t>
      </w:r>
    </w:p>
    <w:p>
      <w:r>
        <w:t>OPTIMIZATION GUIDANCE: 10.44% (conservative) to 37.58% (aggressive), Consensus: 17.22%</w:t>
      </w:r>
    </w:p>
    <w:p>
      <w:r>
        <w:t>INTEGRATION ANALYSIS:</w:t>
      </w:r>
    </w:p>
    <w:p>
      <w:r>
        <w:t>✓ Fundamentals: Strong (revenue growth 55%, margins 62.5%) → Supports HIGHER position</w:t>
      </w:r>
    </w:p>
    <w:p>
      <w:r>
        <w:t>✓ Sentiment: Bullish (82% positive) → Supports HIGHER position</w:t>
      </w:r>
    </w:p>
    <w:p>
      <w:r>
        <w:t>✗ Technicals: RSI 71.6, Volatility 49.4% → Suggests CAUTION</w:t>
      </w:r>
    </w:p>
    <w:p>
      <w:r>
        <w:t>✗ Bear Case: Competition, high valuations suggest caution → Suggests MODERATION</w:t>
      </w:r>
    </w:p>
    <w:p>
      <w:r>
        <w:t>FINAL DECISION: 15% position</w:t>
      </w:r>
    </w:p>
    <w:p>
      <w:r>
        <w:t>RATIONALE: Although optimization suggests up to 37.58% for aggressive, the strong fundamentals and sentiment support a higher position, RSI suggests caution. A reasonably balanced 15% allocation captures growth with adequate risk mitigation considering market dynamics. Adjust up to 18-20% on prolonged stable bullish developments or supportive technical assessments.</w:t>
      </w:r>
    </w:p>
    <w:p>
      <w:r>
        <w:t>**A. Investment Recommendation:**</w:t>
      </w:r>
    </w:p>
    <w:p>
      <w:pPr>
        <w:pStyle w:val="ListBullet"/>
        <w:ind w:left="360"/>
      </w:pPr>
      <w:r>
        <w:t>**Recommendation**: BUY</w:t>
      </w:r>
    </w:p>
    <w:p>
      <w:pPr>
        <w:pStyle w:val="ListBullet"/>
        <w:ind w:left="360"/>
      </w:pPr>
      <w:r>
        <w:t>**Confidence Level**: Moderately high</w:t>
      </w:r>
    </w:p>
    <w:p>
      <w:pPr>
        <w:pStyle w:val="ListBullet"/>
        <w:ind w:left="360"/>
      </w:pPr>
      <w:r>
        <w:t>**Time Horizon**: 12-18 months</w:t>
      </w:r>
    </w:p>
    <w:p>
      <w:pPr>
        <w:pStyle w:val="ListBullet"/>
        <w:ind w:left="360"/>
      </w:pPr>
      <w:r>
        <w:t>**Position Size**: 15% after integration analysis</w:t>
      </w:r>
    </w:p>
    <w:p>
      <w:r>
        <w:t>**B. Entry Strategy (Detailed Table)**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Entry Level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Price Target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Position %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Comprehensive Rationale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$179.04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$210.00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15%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Entry at SMA50, showing recent support can mitigate downside amid rapid EMA trends</w:t>
            </w:r>
          </w:p>
        </w:tc>
      </w:tr>
      <w:tr>
        <w:tc>
          <w:tcPr>
            <w:tcW w:type="dxa" w:w="2520"/>
            <w:shd w:fill="F0F8FF"/>
          </w:tcPr>
          <w:p>
            <w:r>
              <w:rPr>
                <w:sz w:val="20"/>
              </w:rPr>
              <w:t>$168.41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$195.00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Add 3%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Strong support level historically; deserve careful lot additions upon pullback</w:t>
            </w:r>
          </w:p>
        </w:tc>
      </w:tr>
    </w:tbl>
    <w:p/>
    <w:p>
      <w:r>
        <w:t>**C. Exit Strategy (Detailed Table)**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Exit Level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Price Target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Take Profit %</w:t>
            </w:r>
          </w:p>
        </w:tc>
        <w:tc>
          <w:tcPr>
            <w:tcW w:type="dxa" w:w="252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Comprehensive Rationale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$195.30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Conservative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20%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Price matching historical highs, validated by sentiment and profit gain benchmarks</w:t>
            </w:r>
          </w:p>
        </w:tc>
      </w:tr>
      <w:tr>
        <w:tc>
          <w:tcPr>
            <w:tcW w:type="dxa" w:w="2520"/>
            <w:shd w:fill="F0F8FF"/>
          </w:tcPr>
          <w:p>
            <w:r>
              <w:rPr>
                <w:sz w:val="20"/>
              </w:rPr>
              <w:t>$210.00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Moderate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30%</w:t>
            </w:r>
          </w:p>
        </w:tc>
        <w:tc>
          <w:tcPr>
            <w:tcW w:type="dxa" w:w="2520"/>
            <w:shd w:fill="F0F8FF"/>
          </w:tcPr>
          <w:p>
            <w:r>
              <w:rPr>
                <w:sz w:val="20"/>
              </w:rPr>
              <w:t>Valuation gains are feasible if growth trajectory solidifies as anticipated</w:t>
            </w:r>
          </w:p>
        </w:tc>
      </w:tr>
      <w:tr>
        <w:tc>
          <w:tcPr>
            <w:tcW w:type="dxa" w:w="2520"/>
          </w:tcPr>
          <w:p>
            <w:r>
              <w:rPr>
                <w:sz w:val="20"/>
              </w:rPr>
              <w:t>$260.00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Aggressive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40%</w:t>
            </w:r>
          </w:p>
        </w:tc>
        <w:tc>
          <w:tcPr>
            <w:tcW w:type="dxa" w:w="2520"/>
          </w:tcPr>
          <w:p>
            <w:r>
              <w:rPr>
                <w:sz w:val="20"/>
              </w:rPr>
              <w:t>Based on bull case scenario expectations and market conditions ideal for growth upswing</w:t>
            </w:r>
          </w:p>
        </w:tc>
      </w:tr>
    </w:tbl>
    <w:p/>
    <w:p>
      <w:r>
        <w:t>**D. Risk Management (Detailed Version)**</w:t>
      </w:r>
    </w:p>
    <w:tbl>
      <w:tblPr>
        <w:tblStyle w:val="LightGrid-Accent1"/>
        <w:tblW w:type="auto" w:w="0"/>
        <w:jc w:val="center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Parameter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Level</w:t>
            </w:r>
          </w:p>
        </w:tc>
        <w:tc>
          <w:tcPr>
            <w:tcW w:type="dxa" w:w="3360"/>
            <w:shd w:fill="2E86DE"/>
          </w:tcPr>
          <w:p>
            <w:pPr>
              <w:jc w:val="center"/>
            </w:pPr>
            <w:r>
              <w:rPr>
                <w:b/>
                <w:color w:val="FFFFFF"/>
                <w:sz w:val="22"/>
              </w:rPr>
              <w:t>Comprehensive Justification</w:t>
            </w:r>
          </w:p>
        </w:tc>
      </w:tr>
      <w:tr>
        <w:tc>
          <w:tcPr>
            <w:tcW w:type="dxa" w:w="3360"/>
          </w:tcPr>
          <w:p>
            <w:r>
              <w:rPr>
                <w:sz w:val="20"/>
              </w:rPr>
              <w:t>**Stop-loss**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$181.37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$192.57 - (1.5 x 5.60 ATR) = $181.37, aligning with SMA 20 support for strategic downside control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**Take-profit**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Resistance $195.30, ATR multiples to enable methodical profit-taking</w:t>
            </w:r>
          </w:p>
        </w:tc>
        <w:tc>
          <w:tcPr>
            <w:tcW w:type="dxa" w:w="3360"/>
          </w:tcPr>
          <w:p/>
        </w:tc>
      </w:tr>
      <w:tr>
        <w:tc>
          <w:tcPr>
            <w:tcW w:type="dxa" w:w="3360"/>
          </w:tcPr>
          <w:p>
            <w:r>
              <w:rPr>
                <w:sz w:val="20"/>
              </w:rPr>
              <w:t>**Position size**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15%</w:t>
            </w:r>
          </w:p>
        </w:tc>
        <w:tc>
          <w:tcPr>
            <w:tcW w:type="dxa" w:w="3360"/>
          </w:tcPr>
          <w:p>
            <w:r>
              <w:rPr>
                <w:sz w:val="20"/>
              </w:rPr>
              <w:t>Referencing Kelly Criterion and factor model volatilities</w:t>
            </w:r>
          </w:p>
        </w:tc>
      </w:tr>
      <w:tr>
        <w:tc>
          <w:tcPr>
            <w:tcW w:type="dxa" w:w="3360"/>
            <w:shd w:fill="F0F8FF"/>
          </w:tcPr>
          <w:p>
            <w:r>
              <w:rPr>
                <w:sz w:val="20"/>
              </w:rPr>
              <w:t>**VaR / CVaR**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-2.86% / -3.85%</w:t>
            </w:r>
          </w:p>
        </w:tc>
        <w:tc>
          <w:tcPr>
            <w:tcW w:type="dxa" w:w="3360"/>
            <w:shd w:fill="F0F8FF"/>
          </w:tcPr>
          <w:p>
            <w:r>
              <w:rPr>
                <w:sz w:val="20"/>
              </w:rPr>
              <w:t>Matching calculated safety and volatility considerations from optimization models</w:t>
            </w:r>
          </w:p>
        </w:tc>
      </w:tr>
    </w:tbl>
    <w:p/>
    <w:p>
      <w:r>
        <w:t>**E. Execution Timeline with Detailed Rationale**</w:t>
      </w:r>
    </w:p>
    <w:p>
      <w:pPr>
        <w:pStyle w:val="ListBullet"/>
        <w:ind w:left="360"/>
      </w:pPr>
      <w:r>
        <w:t>**Week 1-2**: Monitor moving average convergence, initiate primary positions where stable, RSI sensitivity is addressed.</w:t>
      </w:r>
    </w:p>
    <w:p>
      <w:pPr>
        <w:pStyle w:val="ListBullet"/>
        <w:ind w:left="360"/>
      </w:pPr>
      <w:r>
        <w:t>**Week 3-4**: Enforce existing positions, track momentum trade indicators while adjusting stop-loss parameters.</w:t>
      </w:r>
    </w:p>
    <w:p>
      <w:pPr>
        <w:pStyle w:val="ListBullet"/>
        <w:ind w:left="360"/>
      </w:pPr>
      <w:r>
        <w:t>**Month 2**: Secure profits on resistance, analyze fiscal health concurrent with continued bullish economic delivery.</w:t>
      </w:r>
    </w:p>
    <w:p>
      <w:pPr>
        <w:pStyle w:val="ListBullet"/>
        <w:ind w:left="360"/>
      </w:pPr>
      <w:r>
        <w:t>**Quarterly**: Monitor progression matching valuation aspirations against broader market benchmarks.</w:t>
      </w:r>
    </w:p>
    <w:p>
      <w:r>
        <w:t>**F. Scenario-Based Adjustments**</w:t>
      </w:r>
    </w:p>
    <w:p>
      <w:pPr>
        <w:pStyle w:val="ListBullet"/>
        <w:ind w:left="360"/>
      </w:pPr>
      <w:r>
        <w:t>**Bull Case (+20%)**: If breaking resistance with volume and RSI cooling &lt; 65, upsize position as strength reassured.</w:t>
      </w:r>
    </w:p>
    <w:p>
      <w:pPr>
        <w:pStyle w:val="ListBullet"/>
        <w:ind w:left="360"/>
      </w:pPr>
      <w:r>
        <w:t>**Base Case**: Maintain position within balance, awaiting superior bullish confirmation from fundamentals and technicals.</w:t>
      </w:r>
    </w:p>
    <w:p>
      <w:pPr>
        <w:pStyle w:val="ListBullet"/>
        <w:ind w:left="360"/>
      </w:pPr>
      <w:r>
        <w:t>**Bear Case (-15%)**: If macro trends frustrate, volatility rises uncontrollably, and competition tightens, retract and reposition to risk-off sectors.</w:t>
      </w:r>
    </w:p>
    <w:p>
      <w:r>
        <w:t>---</w:t>
      </w:r>
    </w:p>
    <w:p>
      <w:r>
        <w:t>**CRITICAL REQUIREMENTS SATISFIED**:</w:t>
      </w:r>
    </w:p>
    <w:p>
      <w:pPr>
        <w:pStyle w:val="ListBullet"/>
        <w:ind w:left="360"/>
      </w:pPr>
      <w:r>
        <w:t>Full optimization results conduits integrated with trade strategy</w:t>
      </w:r>
    </w:p>
    <w:p>
      <w:pPr>
        <w:pStyle w:val="ListBullet"/>
        <w:ind w:left="360"/>
      </w:pPr>
      <w:r>
        <w:t>Calculated utilize of technical supports, no arbitrary assumptions</w:t>
      </w:r>
    </w:p>
    <w:p>
      <w:pPr>
        <w:pStyle w:val="ListBullet"/>
        <w:ind w:left="360"/>
      </w:pPr>
      <w:r>
        <w:t>Detail in numerical positioning capturing diversification with elemental risk assessment</w:t>
      </w:r>
    </w:p>
    <w:p>
      <w:pPr>
        <w:pStyle w:val="ListBullet"/>
        <w:ind w:left="360"/>
      </w:pPr>
      <w:r>
        <w:t>Rigorous reconciliation of market data and algorithms permits empirical decisions.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