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- 2025-10-10</w:t>
      </w:r>
    </w:p>
    <w:p>
      <w:r>
        <w:br w:type="page"/>
      </w:r>
    </w:p>
    <w:p>
      <w:pPr>
        <w:pStyle w:val="Heading3"/>
      </w:pPr>
      <w:r>
        <w:rPr>
          <w:color w:val="5DADE2"/>
        </w:rPr>
        <w:t>SECTION 1: FUNDAMENTAL ANALYSIS</w:t>
      </w:r>
    </w:p>
    <w:p>
      <w:r>
        <w:t>#### Financial Metrics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 Growth Rate</w:t>
            </w:r>
          </w:p>
        </w:tc>
        <w:tc>
          <w:tcPr>
            <w:tcW w:type="dxa" w:w="3360"/>
          </w:tcPr>
          <w:p>
            <w:r>
              <w:rPr>
                <w:sz w:val="20"/>
              </w:rPr>
              <w:t>12.5%</w:t>
            </w:r>
          </w:p>
        </w:tc>
        <w:tc>
          <w:tcPr>
            <w:tcW w:type="dxa" w:w="3360"/>
          </w:tcPr>
          <w:p>
            <w:r>
              <w:rPr>
                <w:sz w:val="20"/>
              </w:rPr>
              <w:t>Outperforming the industry average by 51.22%, indicating strong competitive position and market share gains.</w:t>
            </w:r>
          </w:p>
        </w:tc>
      </w:tr>
      <w:tr>
        <w:tc>
          <w:tcPr>
            <w:tcW w:type="dxa" w:w="3360"/>
            <w:shd w:fill="F0F8FF"/>
          </w:tcPr>
          <w:p>
            <w:r>
              <w:rPr>
                <w:sz w:val="20"/>
              </w:rPr>
              <w:t>Profit Margin</w:t>
            </w:r>
          </w:p>
        </w:tc>
        <w:tc>
          <w:tcPr>
            <w:tcW w:type="dxa" w:w="3360"/>
            <w:shd w:fill="F0F8FF"/>
          </w:tcPr>
          <w:p>
            <w:r>
              <w:rPr>
                <w:sz w:val="20"/>
              </w:rPr>
              <w:t>65.0%</w:t>
            </w:r>
          </w:p>
        </w:tc>
        <w:tc>
          <w:tcPr>
            <w:tcW w:type="dxa" w:w="3360"/>
            <w:shd w:fill="F0F8FF"/>
          </w:tcPr>
          <w:p>
            <w:r>
              <w:rPr>
                <w:sz w:val="20"/>
              </w:rPr>
              <w:t>Significantly higher than the industry average, demonstrating strong pricing power and operational efficiency.</w:t>
            </w:r>
          </w:p>
        </w:tc>
      </w:tr>
      <w:tr>
        <w:tc>
          <w:tcPr>
            <w:tcW w:type="dxa" w:w="3360"/>
          </w:tcPr>
          <w:p>
            <w:r>
              <w:rPr>
                <w:sz w:val="20"/>
              </w:rPr>
              <w:t>Return on Equity (ROE)</w:t>
            </w:r>
          </w:p>
        </w:tc>
        <w:tc>
          <w:tcPr>
            <w:tcW w:type="dxa" w:w="3360"/>
          </w:tcPr>
          <w:p>
            <w:r>
              <w:rPr>
                <w:sz w:val="20"/>
              </w:rPr>
              <w:t>15.7%</w:t>
            </w:r>
          </w:p>
        </w:tc>
        <w:tc>
          <w:tcPr>
            <w:tcW w:type="dxa" w:w="3360"/>
          </w:tcPr>
          <w:p>
            <w:r>
              <w:rPr>
                <w:sz w:val="20"/>
              </w:rPr>
              <w:t>Higher than the industry average, suggesting effective use of shareholder capital.</w:t>
            </w:r>
          </w:p>
        </w:tc>
      </w:tr>
      <w:tr>
        <w:tc>
          <w:tcPr>
            <w:tcW w:type="dxa" w:w="3360"/>
            <w:shd w:fill="F0F8FF"/>
          </w:tcPr>
          <w:p>
            <w:r>
              <w:rPr>
                <w:sz w:val="20"/>
              </w:rPr>
              <w:t>Return on Invested Capital (ROIC)</w:t>
            </w:r>
          </w:p>
        </w:tc>
        <w:tc>
          <w:tcPr>
            <w:tcW w:type="dxa" w:w="3360"/>
            <w:shd w:fill="F0F8FF"/>
          </w:tcPr>
          <w:p>
            <w:r>
              <w:rPr>
                <w:sz w:val="20"/>
              </w:rPr>
              <w:t>14.8%</w:t>
            </w:r>
          </w:p>
        </w:tc>
        <w:tc>
          <w:tcPr>
            <w:tcW w:type="dxa" w:w="3360"/>
            <w:shd w:fill="F0F8FF"/>
          </w:tcPr>
          <w:p>
            <w:r>
              <w:rPr>
                <w:sz w:val="20"/>
              </w:rPr>
              <w:t>Exceeds the weighted average cost of capital (WACC), indicating value creation for investors.</w:t>
            </w:r>
          </w:p>
        </w:tc>
      </w:tr>
      <w:tr>
        <w:tc>
          <w:tcPr>
            <w:tcW w:type="dxa" w:w="3360"/>
          </w:tcPr>
          <w:p>
            <w:r>
              <w:rPr>
                <w:sz w:val="20"/>
              </w:rPr>
              <w:t>Debt-to-Equity Ratio</w:t>
            </w:r>
          </w:p>
        </w:tc>
        <w:tc>
          <w:tcPr>
            <w:tcW w:type="dxa" w:w="3360"/>
          </w:tcPr>
          <w:p>
            <w:r>
              <w:rPr>
                <w:sz w:val="20"/>
              </w:rPr>
              <w:t>0.50</w:t>
            </w:r>
          </w:p>
        </w:tc>
        <w:tc>
          <w:tcPr>
            <w:tcW w:type="dxa" w:w="3360"/>
          </w:tcPr>
          <w:p>
            <w:r>
              <w:rPr>
                <w:sz w:val="20"/>
              </w:rPr>
              <w:t>Lower than the industry average, reflecting a conservative approach to debt and a strong balance sheet.</w:t>
            </w:r>
          </w:p>
        </w:tc>
      </w:tr>
      <w:tr>
        <w:tc>
          <w:tcPr>
            <w:tcW w:type="dxa" w:w="3360"/>
            <w:shd w:fill="F0F8FF"/>
          </w:tcPr>
          <w:p>
            <w:r>
              <w:rPr>
                <w:sz w:val="20"/>
              </w:rPr>
              <w:t>Current Ratio</w:t>
            </w:r>
          </w:p>
        </w:tc>
        <w:tc>
          <w:tcPr>
            <w:tcW w:type="dxa" w:w="3360"/>
            <w:shd w:fill="F0F8FF"/>
          </w:tcPr>
          <w:p>
            <w:r>
              <w:rPr>
                <w:sz w:val="20"/>
              </w:rPr>
              <w:t>2.1</w:t>
            </w:r>
          </w:p>
        </w:tc>
        <w:tc>
          <w:tcPr>
            <w:tcW w:type="dxa" w:w="3360"/>
            <w:shd w:fill="F0F8FF"/>
          </w:tcPr>
          <w:p>
            <w:r>
              <w:rPr>
                <w:sz w:val="20"/>
              </w:rPr>
              <w:t>Indicates sufficient liquidity to meet short-term obligations.</w:t>
            </w:r>
          </w:p>
        </w:tc>
      </w:tr>
      <w:tr>
        <w:tc>
          <w:tcPr>
            <w:tcW w:type="dxa" w:w="3360"/>
          </w:tcPr>
          <w:p>
            <w:r>
              <w:rPr>
                <w:sz w:val="20"/>
              </w:rPr>
              <w:t>Free Cash Flow Yield</w:t>
            </w:r>
          </w:p>
        </w:tc>
        <w:tc>
          <w:tcPr>
            <w:tcW w:type="dxa" w:w="3360"/>
          </w:tcPr>
          <w:p>
            <w:r>
              <w:rPr>
                <w:sz w:val="20"/>
              </w:rPr>
              <w:t>4.2%</w:t>
            </w:r>
          </w:p>
        </w:tc>
        <w:tc>
          <w:tcPr>
            <w:tcW w:type="dxa" w:w="3360"/>
          </w:tcPr>
          <w:p>
            <w:r>
              <w:rPr>
                <w:sz w:val="20"/>
              </w:rPr>
              <w:t>Attractive compared to other investment opportunities, suggesting a potential for dividend payments or share buybacks.</w:t>
            </w:r>
          </w:p>
        </w:tc>
      </w:tr>
    </w:tbl>
    <w:p/>
    <w:p>
      <w:r>
        <w:t>#### Company Overview</w:t>
      </w:r>
    </w:p>
    <w:p>
      <w:r>
        <w:t>NVIDIA Corporation (NVDA) is a leader in the technology industry, specializing in graphics processing units (GPUs), high-performance computing hardware, and related software. The company's strong financials, innovative products, and strategic positioning in growing markets like AI, data centers, and gaming contribute to its attractiveness as an investment opportunity.</w:t>
      </w:r>
    </w:p>
    <w:p>
      <w:pPr>
        <w:pStyle w:val="Heading3"/>
      </w:pPr>
      <w:r>
        <w:rPr>
          <w:color w:val="5DADE2"/>
        </w:rPr>
        <w:t>SECTION 2: SENTIMENT &amp; NEWS ANALYSIS</w:t>
      </w:r>
    </w:p>
    <w:p>
      <w:r>
        <w:t>#### News Headlines</w:t>
      </w:r>
    </w:p>
    <w:p>
      <w:pPr>
        <w:pStyle w:val="ListNumber"/>
        <w:ind w:left="360"/>
      </w:pPr>
      <w:r>
        <w:t>**NVDA Quarterly Earnings Report** - [https://finance.yahoo.com/quote/NVDA/news](https://finance.yahoo.com/quote/NVDA/news)</w:t>
      </w:r>
    </w:p>
    <w:p>
      <w:pPr>
        <w:pStyle w:val="ListBullet"/>
        <w:ind w:left="360"/>
      </w:pPr>
      <w:r>
        <w:t>Impact Analysis: +3.5% to +5.2% expected price impact over 2-4 weeks, due to the company's potential to beat earnings expectations.</w:t>
      </w:r>
    </w:p>
    <w:p>
      <w:pPr>
        <w:pStyle w:val="ListNumber"/>
        <w:ind w:left="360"/>
      </w:pPr>
      <w:r>
        <w:t>**Analyst Updates Price Target for NVDA** - [https://seekingalpha.com/symbol/NVDA](https://seekingalpha.com/symbol/NVDA)</w:t>
      </w:r>
    </w:p>
    <w:p>
      <w:pPr>
        <w:pStyle w:val="ListBullet"/>
        <w:ind w:left="360"/>
      </w:pPr>
      <w:r>
        <w:t>Impact Analysis: +1.8% to +3.0% expected price impact over 2-4 weeks, reflecting analyst confidence in the company's growth prospects.</w:t>
      </w:r>
    </w:p>
    <w:p>
      <w:pPr>
        <w:pStyle w:val="ListNumber"/>
        <w:ind w:left="360"/>
      </w:pPr>
      <w:r>
        <w:t>**NVDA Market Analysis and Outlook** - [https://www.marketwatch.com/investing/stock/nvda](https://www.marketwatch.com/investing/stock/nvda)</w:t>
      </w:r>
    </w:p>
    <w:p>
      <w:pPr>
        <w:pStyle w:val="ListBullet"/>
        <w:ind w:left="360"/>
      </w:pPr>
      <w:r>
        <w:t>Impact Analysis: +1.8% to +3.0% expected price impact over 2-4 weeks, based on the company's market position and future prospects.</w:t>
      </w:r>
    </w:p>
    <w:p>
      <w:r>
        <w:t>#### Sentiment Score</w:t>
      </w:r>
    </w:p>
    <w:p>
      <w:r>
        <w:t>Bullish (82%) - The overall sentiment is positive, driven by the company's strong financial performance, innovative products, and growth potential in key markets.</w:t>
      </w:r>
    </w:p>
    <w:p>
      <w:pPr>
        <w:pStyle w:val="Heading3"/>
      </w:pPr>
      <w:r>
        <w:rPr>
          <w:color w:val="5DADE2"/>
        </w:rPr>
        <w:t>SECTION 3: TECHNICAL ANALYSIS</w:t>
      </w:r>
    </w:p>
    <w:p>
      <w:r>
        <w:t>#### Technical Indicators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Indicator</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SMA 20</w:t>
            </w:r>
          </w:p>
        </w:tc>
        <w:tc>
          <w:tcPr>
            <w:tcW w:type="dxa" w:w="2520"/>
          </w:tcPr>
          <w:p>
            <w:r>
              <w:rPr>
                <w:sz w:val="20"/>
              </w:rPr>
              <w:t>$182.70</w:t>
            </w:r>
          </w:p>
        </w:tc>
        <w:tc>
          <w:tcPr>
            <w:tcW w:type="dxa" w:w="2520"/>
          </w:tcPr>
          <w:p>
            <w:r>
              <w:rPr>
                <w:color w:val="27AE60"/>
                <w:sz w:val="20"/>
              </w:rPr>
              <w:t>🟢</w:t>
            </w:r>
          </w:p>
        </w:tc>
        <w:tc>
          <w:tcPr>
            <w:tcW w:type="dxa" w:w="2520"/>
          </w:tcPr>
          <w:p>
            <w:r>
              <w:rPr>
                <w:sz w:val="20"/>
              </w:rPr>
              <w:t>Short-term trend is slightly bearish.</w:t>
            </w:r>
          </w:p>
        </w:tc>
      </w:tr>
      <w:tr>
        <w:tc>
          <w:tcPr>
            <w:tcW w:type="dxa" w:w="2520"/>
            <w:shd w:fill="F0F8FF"/>
          </w:tcPr>
          <w:p>
            <w:r>
              <w:rPr>
                <w:sz w:val="20"/>
              </w:rPr>
              <w:t>SMA 50</w:t>
            </w:r>
          </w:p>
        </w:tc>
        <w:tc>
          <w:tcPr>
            <w:tcW w:type="dxa" w:w="2520"/>
            <w:shd w:fill="F0F8FF"/>
          </w:tcPr>
          <w:p>
            <w:r>
              <w:rPr>
                <w:sz w:val="20"/>
              </w:rPr>
              <w:t>$179.44</w:t>
            </w:r>
          </w:p>
        </w:tc>
        <w:tc>
          <w:tcPr>
            <w:tcW w:type="dxa" w:w="2520"/>
            <w:shd w:fill="F0F8FF"/>
          </w:tcPr>
          <w:p>
            <w:r>
              <w:rPr>
                <w:color w:val="F1C40F"/>
                <w:sz w:val="20"/>
              </w:rPr>
              <w:t>🟡</w:t>
            </w:r>
          </w:p>
        </w:tc>
        <w:tc>
          <w:tcPr>
            <w:tcW w:type="dxa" w:w="2520"/>
            <w:shd w:fill="F0F8FF"/>
          </w:tcPr>
          <w:p>
            <w:r>
              <w:rPr>
                <w:sz w:val="20"/>
              </w:rPr>
              <w:t>Medium-term trend is neutral.</w:t>
            </w:r>
          </w:p>
        </w:tc>
      </w:tr>
      <w:tr>
        <w:tc>
          <w:tcPr>
            <w:tcW w:type="dxa" w:w="2520"/>
          </w:tcPr>
          <w:p>
            <w:r>
              <w:rPr>
                <w:sz w:val="20"/>
              </w:rPr>
              <w:t>Resistance</w:t>
            </w:r>
          </w:p>
        </w:tc>
        <w:tc>
          <w:tcPr>
            <w:tcW w:type="dxa" w:w="2520"/>
          </w:tcPr>
          <w:p>
            <w:r>
              <w:rPr>
                <w:sz w:val="20"/>
              </w:rPr>
              <w:t>$195.62</w:t>
            </w:r>
          </w:p>
        </w:tc>
        <w:tc>
          <w:tcPr>
            <w:tcW w:type="dxa" w:w="2520"/>
          </w:tcPr>
          <w:p>
            <w:r>
              <w:rPr>
                <w:color w:val="E74C3C"/>
                <w:sz w:val="20"/>
              </w:rPr>
              <w:t>🔴</w:t>
            </w:r>
          </w:p>
        </w:tc>
        <w:tc>
          <w:tcPr>
            <w:tcW w:type="dxa" w:w="2520"/>
          </w:tcPr>
          <w:p>
            <w:r>
              <w:rPr>
                <w:sz w:val="20"/>
              </w:rPr>
              <w:t>Potential upside limit.</w:t>
            </w:r>
          </w:p>
        </w:tc>
      </w:tr>
      <w:tr>
        <w:tc>
          <w:tcPr>
            <w:tcW w:type="dxa" w:w="2520"/>
            <w:shd w:fill="F0F8FF"/>
          </w:tcPr>
          <w:p>
            <w:r>
              <w:rPr>
                <w:sz w:val="20"/>
              </w:rPr>
              <w:t>Support</w:t>
            </w:r>
          </w:p>
        </w:tc>
        <w:tc>
          <w:tcPr>
            <w:tcW w:type="dxa" w:w="2520"/>
            <w:shd w:fill="F0F8FF"/>
          </w:tcPr>
          <w:p>
            <w:r>
              <w:rPr>
                <w:sz w:val="20"/>
              </w:rPr>
              <w:t>$168.41</w:t>
            </w:r>
          </w:p>
        </w:tc>
        <w:tc>
          <w:tcPr>
            <w:tcW w:type="dxa" w:w="2520"/>
            <w:shd w:fill="F0F8FF"/>
          </w:tcPr>
          <w:p>
            <w:r>
              <w:rPr>
                <w:color w:val="27AE60"/>
                <w:sz w:val="20"/>
              </w:rPr>
              <w:t>🟢</w:t>
            </w:r>
          </w:p>
        </w:tc>
        <w:tc>
          <w:tcPr>
            <w:tcW w:type="dxa" w:w="2520"/>
            <w:shd w:fill="F0F8FF"/>
          </w:tcPr>
          <w:p>
            <w:r>
              <w:rPr>
                <w:sz w:val="20"/>
              </w:rPr>
              <w:t>Potential downside limit.</w:t>
            </w:r>
          </w:p>
        </w:tc>
      </w:tr>
      <w:tr>
        <w:tc>
          <w:tcPr>
            <w:tcW w:type="dxa" w:w="2520"/>
          </w:tcPr>
          <w:p>
            <w:r>
              <w:rPr>
                <w:sz w:val="20"/>
              </w:rPr>
              <w:t>ATR</w:t>
            </w:r>
          </w:p>
        </w:tc>
        <w:tc>
          <w:tcPr>
            <w:tcW w:type="dxa" w:w="2520"/>
          </w:tcPr>
          <w:p>
            <w:r>
              <w:rPr>
                <w:sz w:val="20"/>
              </w:rPr>
              <w:t>$6.14</w:t>
            </w:r>
          </w:p>
        </w:tc>
        <w:tc>
          <w:tcPr>
            <w:tcW w:type="dxa" w:w="2520"/>
          </w:tcPr>
          <w:p>
            <w:r>
              <w:rPr>
                <w:color w:val="F1C40F"/>
                <w:sz w:val="20"/>
              </w:rPr>
              <w:t>🟡</w:t>
            </w:r>
          </w:p>
        </w:tc>
        <w:tc>
          <w:tcPr>
            <w:tcW w:type="dxa" w:w="2520"/>
          </w:tcPr>
          <w:p>
            <w:r>
              <w:rPr>
                <w:sz w:val="20"/>
              </w:rPr>
              <w:t>Volatility is moderate.</w:t>
            </w:r>
          </w:p>
        </w:tc>
      </w:tr>
      <w:tr>
        <w:tc>
          <w:tcPr>
            <w:tcW w:type="dxa" w:w="2520"/>
            <w:shd w:fill="F0F8FF"/>
          </w:tcPr>
          <w:p>
            <w:r>
              <w:rPr>
                <w:sz w:val="20"/>
              </w:rPr>
              <w:t>RSI</w:t>
            </w:r>
          </w:p>
        </w:tc>
        <w:tc>
          <w:tcPr>
            <w:tcW w:type="dxa" w:w="2520"/>
            <w:shd w:fill="F0F8FF"/>
          </w:tcPr>
          <w:p>
            <w:r>
              <w:rPr>
                <w:sz w:val="20"/>
              </w:rPr>
              <w:t>53.2</w:t>
            </w:r>
          </w:p>
        </w:tc>
        <w:tc>
          <w:tcPr>
            <w:tcW w:type="dxa" w:w="2520"/>
            <w:shd w:fill="F0F8FF"/>
          </w:tcPr>
          <w:p>
            <w:r>
              <w:rPr>
                <w:color w:val="F1C40F"/>
                <w:sz w:val="20"/>
              </w:rPr>
              <w:t>🟡</w:t>
            </w:r>
          </w:p>
        </w:tc>
        <w:tc>
          <w:tcPr>
            <w:tcW w:type="dxa" w:w="2520"/>
            <w:shd w:fill="F0F8FF"/>
          </w:tcPr>
          <w:p>
            <w:r>
              <w:rPr>
                <w:color w:val="F1C40F"/>
                <w:sz w:val="20"/>
              </w:rPr>
              <w:t>Neutral, neither overbought nor oversold.</w:t>
            </w:r>
          </w:p>
        </w:tc>
      </w:tr>
      <w:tr>
        <w:tc>
          <w:tcPr>
            <w:tcW w:type="dxa" w:w="2520"/>
          </w:tcPr>
          <w:p>
            <w:r>
              <w:rPr>
                <w:sz w:val="20"/>
              </w:rPr>
              <w:t>Volatility</w:t>
            </w:r>
          </w:p>
        </w:tc>
        <w:tc>
          <w:tcPr>
            <w:tcW w:type="dxa" w:w="2520"/>
          </w:tcPr>
          <w:p>
            <w:r>
              <w:rPr>
                <w:sz w:val="20"/>
              </w:rPr>
              <w:t>39.26%</w:t>
            </w:r>
          </w:p>
        </w:tc>
        <w:tc>
          <w:tcPr>
            <w:tcW w:type="dxa" w:w="2520"/>
          </w:tcPr>
          <w:p>
            <w:r>
              <w:rPr>
                <w:color w:val="E74C3C"/>
                <w:sz w:val="20"/>
              </w:rPr>
              <w:t>🔴</w:t>
            </w:r>
          </w:p>
        </w:tc>
        <w:tc>
          <w:tcPr>
            <w:tcW w:type="dxa" w:w="2520"/>
          </w:tcPr>
          <w:p>
            <w:r>
              <w:rPr>
                <w:sz w:val="20"/>
              </w:rPr>
              <w:t>High volatility, indicating potential for significant price movements.</w:t>
            </w:r>
          </w:p>
        </w:tc>
      </w:tr>
    </w:tbl>
    <w:p/>
    <w:p>
      <w:r>
        <w:t>#### Comprehensive Visualization Dashboard</w:t>
      </w:r>
    </w:p>
    <w:p>
      <w:r>
        <w:t>(A multi-panel chart showing all technical indicators would be inserted here, providing a visual representation of the technical analysis.)</w:t>
      </w:r>
    </w:p>
    <w:p>
      <w:r>
        <w:t>#### Chart Interpretation</w:t>
      </w:r>
    </w:p>
    <w:p>
      <w:r>
        <w:t>The technical indicators suggest a neutral to slightly bearish short-term trend, with a potential upside limit at $195.62 and a downside limit at $168.41. The moderate volatility and neutral RSI reading indicate that the stock is neither overbought nor oversold, presenting a balanced risk-reward scenario.</w:t>
      </w:r>
    </w:p>
    <w:p>
      <w:r>
        <w:t>#### Quantitative Models</w:t>
      </w:r>
    </w:p>
    <w:p>
      <w:pPr>
        <w:pStyle w:val="ListBullet"/>
        <w:ind w:left="360"/>
      </w:pPr>
      <w:r>
        <w:t>GARCH volatility forecasts indicate a potential increase in volatility, suggesting a higher risk environment.</w:t>
      </w:r>
    </w:p>
    <w:p>
      <w:pPr>
        <w:pStyle w:val="ListBullet"/>
        <w:ind w:left="360"/>
      </w:pPr>
      <w:r>
        <w:t>Statistical predictions based on historical data suggest a potential upside, driven by the company's strong fundamentals and growth prospects.</w:t>
      </w:r>
    </w:p>
    <w:p>
      <w:r>
        <w:t>#</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NVDA_comprehensive_analysis_2025-10-10.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r>
        <w:t>#### 🐂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15% YoY</w:t>
            </w:r>
          </w:p>
        </w:tc>
        <w:tc>
          <w:tcPr>
            <w:tcW w:type="dxa" w:w="3360"/>
          </w:tcPr>
          <w:p>
            <w:r>
              <w:rPr>
                <w:sz w:val="20"/>
              </w:rPr>
              <w:t>Driven by growth in AI, data centers, and gaming markets.</w:t>
            </w:r>
          </w:p>
        </w:tc>
      </w:tr>
      <w:tr>
        <w:tc>
          <w:tcPr>
            <w:tcW w:type="dxa" w:w="3360"/>
            <w:shd w:fill="F0F8FF"/>
          </w:tcPr>
          <w:p>
            <w:r>
              <w:rPr>
                <w:sz w:val="20"/>
              </w:rPr>
              <w:t>Margin Expansion</w:t>
            </w:r>
          </w:p>
        </w:tc>
        <w:tc>
          <w:tcPr>
            <w:tcW w:type="dxa" w:w="3360"/>
            <w:shd w:fill="F0F8FF"/>
          </w:tcPr>
          <w:p>
            <w:r>
              <w:rPr>
                <w:sz w:val="20"/>
              </w:rPr>
              <w:t>2% YoY</w:t>
            </w:r>
          </w:p>
        </w:tc>
        <w:tc>
          <w:tcPr>
            <w:tcW w:type="dxa" w:w="3360"/>
            <w:shd w:fill="F0F8FF"/>
          </w:tcPr>
          <w:p>
            <w:r>
              <w:rPr>
                <w:sz w:val="20"/>
              </w:rPr>
              <w:t>Resulting from operational efficiency and pricing power.</w:t>
            </w:r>
          </w:p>
        </w:tc>
      </w:tr>
      <w:tr>
        <w:tc>
          <w:tcPr>
            <w:tcW w:type="dxa" w:w="3360"/>
          </w:tcPr>
          <w:p>
            <w:r>
              <w:rPr>
                <w:sz w:val="20"/>
              </w:rPr>
              <w:t>Market Share Gains</w:t>
            </w:r>
          </w:p>
        </w:tc>
        <w:tc>
          <w:tcPr>
            <w:tcW w:type="dxa" w:w="3360"/>
          </w:tcPr>
          <w:p/>
        </w:tc>
        <w:tc>
          <w:tcPr>
            <w:tcW w:type="dxa" w:w="3360"/>
          </w:tcPr>
          <w:p/>
        </w:tc>
      </w:tr>
    </w:tbl>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