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4F073B">
      <w:pPr>
        <w:jc w:val="center"/>
        <w:rPr>
          <w:b/>
          <w:bCs/>
        </w:rPr>
      </w:pPr>
      <w:r>
        <w:rPr>
          <w:b/>
          <w:bCs/>
        </w:rPr>
        <w:t>REddyProc</w:t>
      </w:r>
    </w:p>
    <w:p w14:paraId="6CDABA46">
      <w:pPr>
        <w:adjustRightInd w:val="0"/>
        <w:snapToGrid w:val="0"/>
        <w:spacing w:before="156" w:beforeLines="50"/>
        <w:ind w:firstLine="420" w:firstLineChars="200"/>
      </w:pPr>
      <w:r>
        <w:rPr>
          <w:rFonts w:hint="eastAsia"/>
          <w:b/>
          <w:bCs/>
        </w:rPr>
        <w:t>Post Processing of (Half-)Hourly Eddy-Covariance Measurements</w:t>
      </w:r>
      <w:r>
        <w:rPr>
          <w:rFonts w:hint="eastAsia"/>
        </w:rPr>
        <w:t>：(半)小时涡流协方差测量的后处理</w:t>
      </w:r>
    </w:p>
    <w:p w14:paraId="6BFE9251"/>
    <w:p w14:paraId="1163D382">
      <w:pPr>
        <w:rPr>
          <w:rFonts w:hint="eastAsia"/>
        </w:rPr>
      </w:pPr>
      <w:r>
        <w:rPr>
          <w:rFonts w:hint="eastAsia"/>
        </w:rPr>
        <w:t>一、描述</w:t>
      </w:r>
    </w:p>
    <w:p w14:paraId="3B3F151E">
      <w:pPr>
        <w:adjustRightInd w:val="0"/>
        <w:snapToGrid w:val="0"/>
        <w:ind w:firstLine="420" w:firstLineChars="200"/>
      </w:pPr>
      <w:r>
        <w:t>Standard and extensible Eddy-Covariance data post-processing including uStar-filtering, gap-filling, and flux-partitioning</w:t>
      </w:r>
    </w:p>
    <w:p w14:paraId="3DB5ED88">
      <w:pPr>
        <w:adjustRightInd w:val="0"/>
        <w:snapToGrid w:val="0"/>
        <w:ind w:firstLine="420" w:firstLineChars="200"/>
        <w:rPr>
          <w:rFonts w:hint="eastAsia"/>
        </w:rPr>
      </w:pPr>
      <w:r>
        <w:rPr>
          <w:rFonts w:hint="eastAsia"/>
        </w:rPr>
        <w:t>标准和可扩展的eddy -协方差数据后处理，包括ustar滤波、间隙填充和通量划分(Wutzler et al. (2018) &lt;doi:10.5194/bg-15-5015-2018&gt;)。</w:t>
      </w:r>
      <w:bookmarkStart w:id="0" w:name="_GoBack"/>
      <w:bookmarkEnd w:id="0"/>
    </w:p>
    <w:p w14:paraId="076642F1">
      <w:pPr>
        <w:adjustRightInd w:val="0"/>
        <w:snapToGrid w:val="0"/>
        <w:ind w:firstLine="420" w:firstLineChars="200"/>
        <w:rPr>
          <w:rFonts w:hint="eastAsia"/>
        </w:rPr>
      </w:pPr>
    </w:p>
    <w:p w14:paraId="7B8CF880">
      <w:pPr>
        <w:adjustRightInd w:val="0"/>
        <w:snapToGrid w:val="0"/>
        <w:ind w:firstLine="420" w:firstLineChars="200"/>
      </w:pPr>
      <w:r>
        <w:t>The Eddy-Covariance (EC) micrometeorological technique quantifies continuous exchange fluxes of gases, energy, and momentum between an ecosystem and the atmosphere. It is important for understanding ecosystem dynamics and upscaling exchange fluxes.</w:t>
      </w:r>
    </w:p>
    <w:p w14:paraId="7922C46E">
      <w:pPr>
        <w:adjustRightInd w:val="0"/>
        <w:snapToGrid w:val="0"/>
        <w:ind w:firstLine="420" w:firstLineChars="200"/>
        <w:rPr>
          <w:rFonts w:hint="eastAsia"/>
        </w:rPr>
      </w:pPr>
      <w:r>
        <w:rPr>
          <w:rFonts w:hint="eastAsia"/>
        </w:rPr>
        <w:t>涡旋协方差(EC)微气象技术量化了生态系统与大气之间气体、能量和动量的连续交换通量。这对理解生态系统动力学和扩大交换通量具有重要意义。(Aubinet et al. (2012) &lt;doi:10.1007/978-94-007-2351-1&gt;)。</w:t>
      </w:r>
    </w:p>
    <w:p w14:paraId="45D6A898">
      <w:pPr>
        <w:adjustRightInd w:val="0"/>
        <w:snapToGrid w:val="0"/>
        <w:ind w:firstLine="420" w:firstLineChars="200"/>
      </w:pPr>
    </w:p>
    <w:p w14:paraId="2C758B53">
      <w:pPr>
        <w:adjustRightInd w:val="0"/>
        <w:snapToGrid w:val="0"/>
        <w:ind w:firstLine="420" w:firstLineChars="200"/>
        <w:rPr>
          <w:rFonts w:hint="eastAsia"/>
        </w:rPr>
      </w:pPr>
      <w:r>
        <w:t>This package inputs pre-processed (half-)hourly data and supports further processing. First, a quality-check and filtering is performed based on the relationship between measured flux and friction velocity (uStar) to discard biased data </w:t>
      </w:r>
    </w:p>
    <w:p w14:paraId="570EBA24">
      <w:pPr>
        <w:adjustRightInd w:val="0"/>
        <w:snapToGrid w:val="0"/>
        <w:ind w:firstLine="420" w:firstLineChars="200"/>
        <w:rPr>
          <w:rFonts w:hint="eastAsia"/>
        </w:rPr>
      </w:pPr>
      <w:r>
        <w:rPr>
          <w:rFonts w:hint="eastAsia"/>
        </w:rPr>
        <w:t>这个包输入预处理(半小时)的数据并支持进一步的处理。首先，根据测量通量和摩擦速度(uStar)之间的关系进行质量检查和过滤，以丢弃有偏差的数据(Papale et al. (2006) &lt;doi:10.5194/bg-3-571-2006&gt;)。</w:t>
      </w:r>
    </w:p>
    <w:p w14:paraId="6B07D8A2">
      <w:pPr>
        <w:adjustRightInd w:val="0"/>
        <w:snapToGrid w:val="0"/>
        <w:ind w:firstLine="420" w:firstLineChars="200"/>
      </w:pPr>
    </w:p>
    <w:p w14:paraId="0196CF48">
      <w:pPr>
        <w:adjustRightInd w:val="0"/>
        <w:snapToGrid w:val="0"/>
        <w:ind w:firstLine="420" w:firstLineChars="200"/>
        <w:rPr>
          <w:rFonts w:hint="eastAsia"/>
        </w:rPr>
      </w:pPr>
      <w:r>
        <w:t>Second, gaps in the data are filled based on information from environmental conditions </w:t>
      </w:r>
    </w:p>
    <w:p w14:paraId="270EABB9">
      <w:pPr>
        <w:adjustRightInd w:val="0"/>
        <w:snapToGrid w:val="0"/>
        <w:ind w:firstLine="420" w:firstLineChars="200"/>
        <w:rPr>
          <w:rFonts w:hint="eastAsia"/>
        </w:rPr>
      </w:pPr>
      <w:r>
        <w:rPr>
          <w:rFonts w:hint="eastAsia"/>
        </w:rPr>
        <w:t>其次，根据环境条件信息填补数据空白(Reichstein et al. (2005) &lt;doi:10.1111/j.1365-2486.2005.001002.x&gt;)。</w:t>
      </w:r>
    </w:p>
    <w:p w14:paraId="78DEAF32">
      <w:pPr>
        <w:adjustRightInd w:val="0"/>
        <w:snapToGrid w:val="0"/>
        <w:ind w:firstLine="420" w:firstLineChars="200"/>
      </w:pPr>
    </w:p>
    <w:p w14:paraId="1A9EF478">
      <w:pPr>
        <w:adjustRightInd w:val="0"/>
        <w:snapToGrid w:val="0"/>
        <w:ind w:firstLine="420" w:firstLineChars="200"/>
        <w:rPr>
          <w:rFonts w:hint="eastAsia"/>
        </w:rPr>
      </w:pPr>
      <w:r>
        <w:t>Third, the net flux of carbon dioxide is partitioned into its gross fluxes in and out of the ecosystem by night-time based and day-time based approaches</w:t>
      </w:r>
    </w:p>
    <w:p w14:paraId="56CD6622">
      <w:pPr>
        <w:adjustRightInd w:val="0"/>
        <w:snapToGrid w:val="0"/>
        <w:ind w:firstLine="420" w:firstLineChars="200"/>
      </w:pPr>
      <w:r>
        <w:rPr>
          <w:rFonts w:hint="eastAsia"/>
        </w:rPr>
        <w:t>第三，通过基于夜间和基于白天的方法将二氧化碳的净通量划分为进出生态系统的总通量(Lasslop et al. (2010) &lt;doi:10.1111/j.1365-2486.2009.02041.x&gt;)。</w:t>
      </w:r>
    </w:p>
    <w:p w14:paraId="4C0D8339">
      <w:pPr>
        <w:adjustRightInd w:val="0"/>
        <w:snapToGrid w:val="0"/>
        <w:ind w:firstLine="420" w:firstLineChars="200"/>
      </w:pPr>
    </w:p>
    <w:p w14:paraId="0C6DF765">
      <w:pPr>
        <w:adjustRightInd w:val="0"/>
        <w:snapToGrid w:val="0"/>
        <w:ind w:firstLine="420" w:firstLineChars="200"/>
      </w:pPr>
    </w:p>
    <w:p w14:paraId="53D08BD2">
      <w:pPr>
        <w:adjustRightInd w:val="0"/>
        <w:snapToGrid w:val="0"/>
        <w:ind w:firstLine="420" w:firstLineChars="200"/>
      </w:pPr>
    </w:p>
    <w:p w14:paraId="0CB302A0">
      <w:pPr>
        <w:adjustRightInd w:val="0"/>
        <w:snapToGrid w:val="0"/>
        <w:ind w:firstLine="420" w:firstLineChars="200"/>
      </w:pPr>
      <w:r>
        <w:rPr>
          <w:rFonts w:hint="eastAsia"/>
        </w:rPr>
        <w:t>一般描述和基于这个包的在线工具可以在这里找到：</w:t>
      </w:r>
      <w:r>
        <w:fldChar w:fldCharType="begin"/>
      </w:r>
      <w:r>
        <w:instrText xml:space="preserve"> HYPERLINK "https://www.bgc-jena.mpg.de/bgi/index.php/Services/REddyProcWeb" </w:instrText>
      </w:r>
      <w:r>
        <w:fldChar w:fldCharType="separate"/>
      </w:r>
      <w:r>
        <w:rPr>
          <w:rStyle w:val="5"/>
          <w:rFonts w:hint="eastAsia"/>
        </w:rPr>
        <w:t>https://www.bgc-jena.mpg.de/bgi/index.php/Services/REddyProcWeb</w:t>
      </w:r>
      <w:r>
        <w:rPr>
          <w:rStyle w:val="5"/>
          <w:rFonts w:hint="eastAsia"/>
        </w:rPr>
        <w:fldChar w:fldCharType="end"/>
      </w:r>
    </w:p>
    <w:p w14:paraId="3CCC038E">
      <w:pPr>
        <w:adjustRightInd w:val="0"/>
        <w:snapToGrid w:val="0"/>
        <w:ind w:firstLine="420" w:firstLineChars="200"/>
      </w:pPr>
    </w:p>
    <w:p w14:paraId="1D2DB206">
      <w:pPr>
        <w:adjustRightInd w:val="0"/>
        <w:snapToGrid w:val="0"/>
        <w:ind w:firstLine="420" w:firstLineChars="200"/>
      </w:pPr>
    </w:p>
    <w:p w14:paraId="5F7FCF79">
      <w:pPr>
        <w:adjustRightInd w:val="0"/>
        <w:snapToGrid w:val="0"/>
        <w:ind w:firstLine="420" w:firstLineChars="200"/>
        <w:rPr>
          <w:rFonts w:hint="eastAsia"/>
        </w:rPr>
      </w:pPr>
      <w:r>
        <w:rPr>
          <w:rFonts w:hint="eastAsia"/>
        </w:rPr>
        <w:t>一般描述和基于此包的在线工具可以在这里找到详细信息</w:t>
      </w:r>
    </w:p>
    <w:p w14:paraId="4547310B">
      <w:pPr>
        <w:adjustRightInd w:val="0"/>
        <w:snapToGrid w:val="0"/>
        <w:ind w:firstLine="420" w:firstLineChars="200"/>
        <w:rPr>
          <w:rFonts w:hint="eastAsia"/>
        </w:rPr>
      </w:pPr>
      <w:r>
        <w:rPr>
          <w:rFonts w:hint="eastAsia"/>
        </w:rPr>
        <w:t>可以在useCase插图中找到处理的详细示例。</w:t>
      </w:r>
    </w:p>
    <w:p w14:paraId="573155E6">
      <w:pPr>
        <w:adjustRightInd w:val="0"/>
        <w:snapToGrid w:val="0"/>
        <w:ind w:firstLine="420" w:firstLineChars="200"/>
        <w:rPr>
          <w:rFonts w:hint="eastAsia"/>
        </w:rPr>
      </w:pPr>
    </w:p>
    <w:p w14:paraId="1AB94FC5">
      <w:pPr>
        <w:adjustRightInd w:val="0"/>
        <w:snapToGrid w:val="0"/>
        <w:ind w:firstLine="420" w:firstLineChars="200"/>
        <w:rPr>
          <w:rFonts w:hint="eastAsia"/>
        </w:rPr>
      </w:pPr>
      <w:r>
        <w:rPr>
          <w:rFonts w:hint="eastAsia"/>
        </w:rPr>
        <w:t>REddyProc函数的第一个概述:</w:t>
      </w:r>
    </w:p>
    <w:p w14:paraId="5235EBAB">
      <w:pPr>
        <w:adjustRightInd w:val="0"/>
        <w:snapToGrid w:val="0"/>
        <w:ind w:firstLine="420" w:firstLineChars="200"/>
        <w:rPr>
          <w:rFonts w:hint="eastAsia"/>
        </w:rPr>
      </w:pPr>
    </w:p>
    <w:p w14:paraId="799ED450">
      <w:pPr>
        <w:adjustRightInd w:val="0"/>
        <w:snapToGrid w:val="0"/>
        <w:ind w:firstLine="420" w:firstLineChars="200"/>
        <w:rPr>
          <w:rFonts w:hint="eastAsia"/>
        </w:rPr>
      </w:pPr>
      <w:r>
        <w:rPr>
          <w:rFonts w:hint="eastAsia"/>
        </w:rPr>
        <w:t>这些功能有助于准备您的数据进行分析:</w:t>
      </w:r>
    </w:p>
    <w:p w14:paraId="5D43EF0E">
      <w:pPr>
        <w:adjustRightInd w:val="0"/>
        <w:snapToGrid w:val="0"/>
        <w:ind w:firstLine="420" w:firstLineChars="200"/>
        <w:rPr>
          <w:rFonts w:hint="eastAsia"/>
        </w:rPr>
      </w:pPr>
    </w:p>
    <w:p w14:paraId="1236DECE">
      <w:pPr>
        <w:adjustRightInd w:val="0"/>
        <w:snapToGrid w:val="0"/>
        <w:ind w:firstLine="420" w:firstLineChars="200"/>
        <w:rPr>
          <w:rFonts w:hint="eastAsia"/>
        </w:rPr>
      </w:pPr>
      <w:r>
        <w:rPr>
          <w:rFonts w:hint="eastAsia"/>
        </w:rPr>
        <w:t>加载文本文件到数据框架:fLoadTXTIntoDataframe</w:t>
      </w:r>
    </w:p>
    <w:p w14:paraId="5E0E3BD5">
      <w:pPr>
        <w:adjustRightInd w:val="0"/>
        <w:snapToGrid w:val="0"/>
        <w:ind w:firstLine="420" w:firstLineChars="200"/>
        <w:rPr>
          <w:rFonts w:hint="eastAsia"/>
        </w:rPr>
      </w:pPr>
    </w:p>
    <w:p w14:paraId="631A40A7">
      <w:pPr>
        <w:adjustRightInd w:val="0"/>
        <w:snapToGrid w:val="0"/>
        <w:ind w:firstLine="420" w:firstLineChars="200"/>
        <w:rPr>
          <w:rFonts w:hint="eastAsia"/>
        </w:rPr>
      </w:pPr>
      <w:r>
        <w:rPr>
          <w:rFonts w:hint="eastAsia"/>
        </w:rPr>
        <w:t>准备适当的时间戳:help_DateTimes</w:t>
      </w:r>
    </w:p>
    <w:p w14:paraId="012F448D">
      <w:pPr>
        <w:adjustRightInd w:val="0"/>
        <w:snapToGrid w:val="0"/>
        <w:ind w:firstLine="420" w:firstLineChars="200"/>
        <w:rPr>
          <w:rFonts w:hint="eastAsia"/>
        </w:rPr>
      </w:pPr>
    </w:p>
    <w:p w14:paraId="0D658EB2">
      <w:pPr>
        <w:adjustRightInd w:val="0"/>
        <w:snapToGrid w:val="0"/>
        <w:ind w:firstLine="420" w:firstLineChars="200"/>
        <w:rPr>
          <w:rFonts w:hint="eastAsia"/>
        </w:rPr>
      </w:pPr>
      <w:r>
        <w:rPr>
          <w:rFonts w:hint="eastAsia"/>
        </w:rPr>
        <w:t>计算潜在变量，如VPD: fcalcvpdfrommrhandtair</w:t>
      </w:r>
    </w:p>
    <w:p w14:paraId="0C20025C">
      <w:pPr>
        <w:adjustRightInd w:val="0"/>
        <w:snapToGrid w:val="0"/>
        <w:ind w:firstLine="420" w:firstLineChars="200"/>
        <w:rPr>
          <w:rFonts w:hint="eastAsia"/>
        </w:rPr>
      </w:pPr>
    </w:p>
    <w:p w14:paraId="43072B2C">
      <w:pPr>
        <w:adjustRightInd w:val="0"/>
        <w:snapToGrid w:val="0"/>
        <w:ind w:firstLine="420" w:firstLineChars="200"/>
        <w:rPr>
          <w:rFonts w:hint="eastAsia"/>
        </w:rPr>
      </w:pPr>
      <w:r>
        <w:rPr>
          <w:rFonts w:hint="eastAsia"/>
        </w:rPr>
        <w:t>然后使用sEddyProc-class R5引用类对数据进行处理:</w:t>
      </w:r>
    </w:p>
    <w:p w14:paraId="05100B78">
      <w:pPr>
        <w:adjustRightInd w:val="0"/>
        <w:snapToGrid w:val="0"/>
        <w:ind w:firstLine="420" w:firstLineChars="200"/>
        <w:rPr>
          <w:rFonts w:hint="eastAsia"/>
        </w:rPr>
      </w:pPr>
    </w:p>
    <w:p w14:paraId="5394B988">
      <w:pPr>
        <w:adjustRightInd w:val="0"/>
        <w:snapToGrid w:val="0"/>
        <w:ind w:firstLine="420" w:firstLineChars="200"/>
        <w:rPr>
          <w:rFonts w:hint="eastAsia"/>
        </w:rPr>
      </w:pPr>
      <w:r>
        <w:rPr>
          <w:rFonts w:hint="eastAsia"/>
        </w:rPr>
        <w:t>初始化R5引用类:sEddyProc_initialize</w:t>
      </w:r>
    </w:p>
    <w:p w14:paraId="0B9E866D">
      <w:pPr>
        <w:adjustRightInd w:val="0"/>
        <w:snapToGrid w:val="0"/>
        <w:ind w:firstLine="420" w:firstLineChars="200"/>
        <w:rPr>
          <w:rFonts w:hint="eastAsia"/>
        </w:rPr>
      </w:pPr>
    </w:p>
    <w:p w14:paraId="5B97CC47">
      <w:pPr>
        <w:adjustRightInd w:val="0"/>
        <w:snapToGrid w:val="0"/>
        <w:ind w:firstLine="420" w:firstLineChars="200"/>
        <w:rPr>
          <w:rFonts w:hint="eastAsia"/>
        </w:rPr>
      </w:pPr>
      <w:r>
        <w:rPr>
          <w:rFonts w:hint="eastAsia"/>
        </w:rPr>
        <w:t>估计湍流准则，Ustar阈值，以省略低湍流时期的数据:函数sEddyProc_sEstUstarThreshold和sEddyProc_sEstUstarThresholdDistribution。</w:t>
      </w:r>
    </w:p>
    <w:p w14:paraId="6984A0F9">
      <w:pPr>
        <w:adjustRightInd w:val="0"/>
        <w:snapToGrid w:val="0"/>
        <w:ind w:firstLine="420" w:firstLineChars="200"/>
        <w:rPr>
          <w:rFonts w:hint="eastAsia"/>
        </w:rPr>
      </w:pPr>
    </w:p>
    <w:p w14:paraId="202060DA">
      <w:pPr>
        <w:adjustRightInd w:val="0"/>
        <w:snapToGrid w:val="0"/>
        <w:ind w:firstLine="420" w:firstLineChars="200"/>
        <w:rPr>
          <w:rFonts w:hint="eastAsia"/>
        </w:rPr>
      </w:pPr>
      <w:r>
        <w:rPr>
          <w:rFonts w:hint="eastAsia"/>
        </w:rPr>
        <w:t>间隙填充:sEddyProc_sMDSGapFill和seddyproc_smdsgapfillafterusstar。</w:t>
      </w:r>
    </w:p>
    <w:p w14:paraId="1530505B">
      <w:pPr>
        <w:adjustRightInd w:val="0"/>
        <w:snapToGrid w:val="0"/>
        <w:ind w:firstLine="420" w:firstLineChars="200"/>
        <w:rPr>
          <w:rFonts w:hint="eastAsia"/>
        </w:rPr>
      </w:pPr>
    </w:p>
    <w:p w14:paraId="79877FA2">
      <w:pPr>
        <w:adjustRightInd w:val="0"/>
        <w:snapToGrid w:val="0"/>
        <w:ind w:firstLine="420" w:firstLineChars="200"/>
        <w:rPr>
          <w:rFonts w:hint="eastAsia"/>
        </w:rPr>
      </w:pPr>
      <w:r>
        <w:rPr>
          <w:rFonts w:hint="eastAsia"/>
        </w:rPr>
        <w:t>基于Night-Time的通量分区:sEddyProc_sMRFluxPartition</w:t>
      </w:r>
    </w:p>
    <w:p w14:paraId="5E385C1E">
      <w:pPr>
        <w:adjustRightInd w:val="0"/>
        <w:snapToGrid w:val="0"/>
        <w:ind w:firstLine="420" w:firstLineChars="200"/>
        <w:rPr>
          <w:rFonts w:hint="eastAsia"/>
        </w:rPr>
      </w:pPr>
    </w:p>
    <w:p w14:paraId="3332C4E3">
      <w:pPr>
        <w:adjustRightInd w:val="0"/>
        <w:snapToGrid w:val="0"/>
        <w:ind w:firstLine="420" w:firstLineChars="200"/>
        <w:rPr>
          <w:rFonts w:hint="eastAsia"/>
        </w:rPr>
      </w:pPr>
      <w:r>
        <w:rPr>
          <w:rFonts w:hint="eastAsia"/>
        </w:rPr>
        <w:t>基于Day-Time的通量分区:sEddyProc_sGLFluxPartition</w:t>
      </w:r>
    </w:p>
    <w:p w14:paraId="3DB81813">
      <w:pPr>
        <w:adjustRightInd w:val="0"/>
        <w:snapToGrid w:val="0"/>
        <w:ind w:firstLine="420" w:firstLineChars="200"/>
        <w:rPr>
          <w:rFonts w:hint="eastAsia"/>
        </w:rPr>
      </w:pPr>
    </w:p>
    <w:p w14:paraId="5A80620C">
      <w:pPr>
        <w:adjustRightInd w:val="0"/>
        <w:snapToGrid w:val="0"/>
        <w:ind w:firstLine="420" w:firstLineChars="200"/>
        <w:rPr>
          <w:rFonts w:hint="eastAsia"/>
        </w:rPr>
      </w:pPr>
      <w:r>
        <w:rPr>
          <w:rFonts w:hint="eastAsia"/>
        </w:rPr>
        <w:t>支持跨u*阈值估计的不同场景的处理</w:t>
      </w:r>
    </w:p>
    <w:p w14:paraId="0A3E5BB3">
      <w:pPr>
        <w:adjustRightInd w:val="0"/>
        <w:snapToGrid w:val="0"/>
        <w:ind w:firstLine="420" w:firstLineChars="200"/>
        <w:rPr>
          <w:rFonts w:hint="eastAsia"/>
        </w:rPr>
      </w:pPr>
    </w:p>
    <w:p w14:paraId="1550A6BD">
      <w:pPr>
        <w:adjustRightInd w:val="0"/>
        <w:snapToGrid w:val="0"/>
        <w:ind w:firstLine="420" w:firstLineChars="200"/>
        <w:rPr>
          <w:rFonts w:hint="eastAsia"/>
        </w:rPr>
      </w:pPr>
      <w:r>
        <w:rPr>
          <w:rFonts w:hint="eastAsia"/>
        </w:rPr>
        <w:t>估计湍流准则，Ustar阈值，从低湍流期省略数据:sEddyProc_sEstimateUstarScenarios和相关</w:t>
      </w:r>
    </w:p>
    <w:p w14:paraId="521969CA">
      <w:pPr>
        <w:adjustRightInd w:val="0"/>
        <w:snapToGrid w:val="0"/>
        <w:ind w:firstLine="420" w:firstLineChars="200"/>
        <w:rPr>
          <w:rFonts w:hint="eastAsia"/>
        </w:rPr>
      </w:pPr>
    </w:p>
    <w:p w14:paraId="33FC4F03">
      <w:pPr>
        <w:adjustRightInd w:val="0"/>
        <w:snapToGrid w:val="0"/>
        <w:ind w:firstLine="420" w:firstLineChars="200"/>
        <w:rPr>
          <w:rFonts w:hint="eastAsia"/>
        </w:rPr>
      </w:pPr>
      <w:r>
        <w:rPr>
          <w:rFonts w:hint="eastAsia"/>
        </w:rPr>
        <w:t>查询需要使用的阈值:seddyproc_sgetustar场景</w:t>
      </w:r>
    </w:p>
    <w:p w14:paraId="716FFDC1">
      <w:pPr>
        <w:adjustRightInd w:val="0"/>
        <w:snapToGrid w:val="0"/>
        <w:ind w:firstLine="420" w:firstLineChars="200"/>
        <w:rPr>
          <w:rFonts w:hint="eastAsia"/>
        </w:rPr>
      </w:pPr>
    </w:p>
    <w:p w14:paraId="7066C2E1">
      <w:pPr>
        <w:adjustRightInd w:val="0"/>
        <w:snapToGrid w:val="0"/>
        <w:ind w:firstLine="420" w:firstLineChars="200"/>
        <w:rPr>
          <w:rFonts w:hint="eastAsia"/>
        </w:rPr>
      </w:pPr>
      <w:r>
        <w:rPr>
          <w:rFonts w:hint="eastAsia"/>
        </w:rPr>
        <w:t>设置要使用的阈值seddyproc_ssetustar场景</w:t>
      </w:r>
    </w:p>
    <w:p w14:paraId="314F35FD">
      <w:pPr>
        <w:adjustRightInd w:val="0"/>
        <w:snapToGrid w:val="0"/>
        <w:ind w:firstLine="420" w:firstLineChars="200"/>
        <w:rPr>
          <w:rFonts w:hint="eastAsia"/>
        </w:rPr>
      </w:pPr>
    </w:p>
    <w:p w14:paraId="46D6F550">
      <w:pPr>
        <w:adjustRightInd w:val="0"/>
        <w:snapToGrid w:val="0"/>
        <w:ind w:firstLine="420" w:firstLineChars="200"/>
        <w:rPr>
          <w:rFonts w:hint="eastAsia"/>
        </w:rPr>
      </w:pPr>
      <w:r>
        <w:rPr>
          <w:rFonts w:hint="eastAsia"/>
        </w:rPr>
        <w:t>查询所有不同聚合级别的估计阈值sEddyProc_sGetEstimatedUstarThresholdDistribution</w:t>
      </w:r>
    </w:p>
    <w:p w14:paraId="3F8DE610">
      <w:pPr>
        <w:adjustRightInd w:val="0"/>
        <w:snapToGrid w:val="0"/>
        <w:ind w:firstLine="420" w:firstLineChars="200"/>
        <w:rPr>
          <w:rFonts w:hint="eastAsia"/>
        </w:rPr>
      </w:pPr>
    </w:p>
    <w:p w14:paraId="41BFD226">
      <w:pPr>
        <w:adjustRightInd w:val="0"/>
        <w:snapToGrid w:val="0"/>
        <w:ind w:firstLine="420" w:firstLineChars="200"/>
        <w:rPr>
          <w:rFonts w:hint="eastAsia"/>
        </w:rPr>
      </w:pPr>
      <w:r>
        <w:rPr>
          <w:rFonts w:hint="eastAsia"/>
        </w:rPr>
        <w:t>填空:sEddyProc_sMDSGapFillUStarScens</w:t>
      </w:r>
    </w:p>
    <w:p w14:paraId="76EDC994">
      <w:pPr>
        <w:adjustRightInd w:val="0"/>
        <w:snapToGrid w:val="0"/>
        <w:ind w:firstLine="420" w:firstLineChars="200"/>
        <w:rPr>
          <w:rFonts w:hint="eastAsia"/>
        </w:rPr>
      </w:pPr>
    </w:p>
    <w:p w14:paraId="1B5B2170">
      <w:pPr>
        <w:adjustRightInd w:val="0"/>
        <w:snapToGrid w:val="0"/>
        <w:ind w:firstLine="420" w:firstLineChars="200"/>
        <w:rPr>
          <w:rFonts w:hint="eastAsia"/>
        </w:rPr>
      </w:pPr>
      <w:r>
        <w:rPr>
          <w:rFonts w:hint="eastAsia"/>
        </w:rPr>
        <w:t>基于夜间时间的通量划分(Reichstein 2005): sEddyProc_sMRFluxPartitionUStarScens</w:t>
      </w:r>
    </w:p>
    <w:p w14:paraId="121E841B">
      <w:pPr>
        <w:adjustRightInd w:val="0"/>
        <w:snapToGrid w:val="0"/>
        <w:ind w:firstLine="420" w:firstLineChars="200"/>
        <w:rPr>
          <w:rFonts w:hint="eastAsia"/>
        </w:rPr>
      </w:pPr>
    </w:p>
    <w:p w14:paraId="37BEBF0D">
      <w:pPr>
        <w:adjustRightInd w:val="0"/>
        <w:snapToGrid w:val="0"/>
        <w:ind w:firstLine="420" w:firstLineChars="200"/>
        <w:rPr>
          <w:rFonts w:hint="eastAsia"/>
        </w:rPr>
      </w:pPr>
      <w:r>
        <w:rPr>
          <w:rFonts w:hint="eastAsia"/>
        </w:rPr>
        <w:t>基于Day-Time的通量划分(Lasslop 2010): sEddyProc_sGLFluxPartitionUStarScens</w:t>
      </w:r>
    </w:p>
    <w:p w14:paraId="2BB414E4">
      <w:pPr>
        <w:adjustRightInd w:val="0"/>
        <w:snapToGrid w:val="0"/>
        <w:ind w:firstLine="420" w:firstLineChars="200"/>
        <w:rPr>
          <w:rFonts w:hint="eastAsia"/>
        </w:rPr>
      </w:pPr>
    </w:p>
    <w:p w14:paraId="36922706">
      <w:pPr>
        <w:adjustRightInd w:val="0"/>
        <w:snapToGrid w:val="0"/>
        <w:ind w:firstLine="420" w:firstLineChars="200"/>
        <w:rPr>
          <w:rFonts w:hint="eastAsia"/>
        </w:rPr>
      </w:pPr>
      <w:r>
        <w:rPr>
          <w:rFonts w:hint="eastAsia"/>
        </w:rPr>
        <w:t>基于改进日时间的通量划分(Keenan 2019): sEddyProc_sTKFluxPartitionUStarScens</w:t>
      </w:r>
    </w:p>
    <w:p w14:paraId="1FEFF3DD">
      <w:pPr>
        <w:adjustRightInd w:val="0"/>
        <w:snapToGrid w:val="0"/>
        <w:ind w:firstLine="420" w:firstLineChars="200"/>
        <w:rPr>
          <w:rFonts w:hint="eastAsia"/>
        </w:rPr>
      </w:pPr>
    </w:p>
    <w:p w14:paraId="536B213A">
      <w:pPr>
        <w:adjustRightInd w:val="0"/>
        <w:snapToGrid w:val="0"/>
        <w:ind w:firstLine="420" w:firstLineChars="200"/>
        <w:rPr>
          <w:rFonts w:hint="eastAsia"/>
        </w:rPr>
      </w:pPr>
      <w:r>
        <w:rPr>
          <w:rFonts w:hint="eastAsia"/>
        </w:rPr>
        <w:t>处理前或处理后，可以绘制数据:</w:t>
      </w:r>
    </w:p>
    <w:p w14:paraId="4FE693E6">
      <w:pPr>
        <w:adjustRightInd w:val="0"/>
        <w:snapToGrid w:val="0"/>
        <w:ind w:firstLine="420" w:firstLineChars="200"/>
        <w:rPr>
          <w:rFonts w:hint="eastAsia"/>
        </w:rPr>
      </w:pPr>
    </w:p>
    <w:p w14:paraId="5BC4B29F">
      <w:pPr>
        <w:adjustRightInd w:val="0"/>
        <w:snapToGrid w:val="0"/>
        <w:ind w:firstLine="420" w:firstLineChars="200"/>
        <w:rPr>
          <w:rFonts w:hint="eastAsia"/>
        </w:rPr>
      </w:pPr>
      <w:r>
        <w:rPr>
          <w:rFonts w:hint="eastAsia"/>
        </w:rPr>
        <w:t>指纹:sEddyProc_sPlotFingerprint</w:t>
      </w:r>
    </w:p>
    <w:p w14:paraId="24057653">
      <w:pPr>
        <w:adjustRightInd w:val="0"/>
        <w:snapToGrid w:val="0"/>
        <w:ind w:firstLine="420" w:firstLineChars="200"/>
        <w:rPr>
          <w:rFonts w:hint="eastAsia"/>
        </w:rPr>
      </w:pPr>
    </w:p>
    <w:p w14:paraId="00990B99">
      <w:pPr>
        <w:adjustRightInd w:val="0"/>
        <w:snapToGrid w:val="0"/>
        <w:ind w:firstLine="420" w:firstLineChars="200"/>
        <w:rPr>
          <w:rFonts w:hint="eastAsia"/>
        </w:rPr>
      </w:pPr>
      <w:r>
        <w:rPr>
          <w:rFonts w:hint="eastAsia"/>
        </w:rPr>
        <w:t>半小时通量及其日均值:sEddyProc_sPlotHHFluxes</w:t>
      </w:r>
    </w:p>
    <w:p w14:paraId="0A5E9DF7">
      <w:pPr>
        <w:adjustRightInd w:val="0"/>
        <w:snapToGrid w:val="0"/>
        <w:ind w:firstLine="420" w:firstLineChars="200"/>
        <w:rPr>
          <w:rFonts w:hint="eastAsia"/>
        </w:rPr>
      </w:pPr>
    </w:p>
    <w:p w14:paraId="6ADEB4BE">
      <w:pPr>
        <w:adjustRightInd w:val="0"/>
        <w:snapToGrid w:val="0"/>
        <w:ind w:firstLine="420" w:firstLineChars="200"/>
        <w:rPr>
          <w:rFonts w:hint="eastAsia"/>
        </w:rPr>
      </w:pPr>
      <w:r>
        <w:rPr>
          <w:rFonts w:hint="eastAsia"/>
        </w:rPr>
        <w:t>每日总和(及其不确定性):seddyproc_splotdailysum</w:t>
      </w:r>
    </w:p>
    <w:p w14:paraId="7CC8C236">
      <w:pPr>
        <w:adjustRightInd w:val="0"/>
        <w:snapToGrid w:val="0"/>
        <w:ind w:firstLine="420" w:firstLineChars="200"/>
        <w:rPr>
          <w:rFonts w:hint="eastAsia"/>
        </w:rPr>
      </w:pPr>
    </w:p>
    <w:p w14:paraId="3CCF8A7A">
      <w:pPr>
        <w:adjustRightInd w:val="0"/>
        <w:snapToGrid w:val="0"/>
        <w:ind w:firstLine="420" w:firstLineChars="200"/>
        <w:rPr>
          <w:rFonts w:hint="eastAsia"/>
        </w:rPr>
      </w:pPr>
      <w:r>
        <w:rPr>
          <w:rFonts w:hint="eastAsia"/>
        </w:rPr>
        <w:t>日循环:sEddyProc_sPlotDiurnalCycle</w:t>
      </w:r>
    </w:p>
    <w:p w14:paraId="010043B7">
      <w:pPr>
        <w:adjustRightInd w:val="0"/>
        <w:snapToGrid w:val="0"/>
        <w:ind w:firstLine="420" w:firstLineChars="200"/>
        <w:rPr>
          <w:rFonts w:hint="eastAsia"/>
        </w:rPr>
      </w:pPr>
    </w:p>
    <w:p w14:paraId="02326B59">
      <w:pPr>
        <w:adjustRightInd w:val="0"/>
        <w:snapToGrid w:val="0"/>
        <w:ind w:firstLine="420" w:firstLineChars="200"/>
        <w:rPr>
          <w:rFonts w:hint="eastAsia"/>
        </w:rPr>
      </w:pPr>
      <w:r>
        <w:rPr>
          <w:rFonts w:hint="eastAsia"/>
        </w:rPr>
        <w:t>要导出数据和结果，请参见help_export。</w:t>
      </w:r>
    </w:p>
    <w:p w14:paraId="634CDAB8">
      <w:pPr>
        <w:adjustRightInd w:val="0"/>
        <w:snapToGrid w:val="0"/>
        <w:ind w:firstLine="420" w:firstLineChars="200"/>
        <w:rPr>
          <w:rFonts w:hint="eastAsia"/>
        </w:rPr>
      </w:pPr>
    </w:p>
    <w:p w14:paraId="166FC2B0">
      <w:pPr>
        <w:adjustRightInd w:val="0"/>
        <w:snapToGrid w:val="0"/>
        <w:ind w:firstLine="420" w:firstLineChars="200"/>
        <w:rPr>
          <w:rFonts w:hint="eastAsia"/>
        </w:rPr>
      </w:pPr>
      <w:r>
        <w:rPr>
          <w:rFonts w:hint="eastAsia"/>
        </w:rPr>
        <w:t>通过单击帮助页面底部的Index链接，可以查看REddyProc函数的完整列表。</w:t>
      </w:r>
    </w:p>
    <w:p w14:paraId="588C8C23">
      <w:pPr>
        <w:adjustRightInd w:val="0"/>
        <w:snapToGrid w:val="0"/>
        <w:ind w:firstLine="420" w:firstLineChars="200"/>
        <w:rPr>
          <w:rFonts w:hint="eastAsia"/>
        </w:rPr>
      </w:pPr>
    </w:p>
    <w:p w14:paraId="22E90F61">
      <w:pPr>
        <w:adjustRightInd w:val="0"/>
        <w:snapToGrid w:val="0"/>
        <w:ind w:firstLine="420" w:firstLineChars="200"/>
        <w:rPr>
          <w:rFonts w:hint="eastAsia"/>
        </w:rPr>
      </w:pPr>
      <w:r>
        <w:rPr>
          <w:rFonts w:hint="eastAsia"/>
        </w:rPr>
        <w:t>还要看看包装上的小插图。</w:t>
      </w:r>
    </w:p>
    <w:p w14:paraId="61FFCEF5">
      <w:pPr>
        <w:adjustRightInd w:val="0"/>
        <w:snapToGrid w:val="0"/>
        <w:ind w:firstLine="420" w:firstLineChars="200"/>
      </w:pPr>
    </w:p>
    <w:p w14:paraId="72379EDD">
      <w:pPr>
        <w:adjustRightInd w:val="0"/>
        <w:snapToGrid w:val="0"/>
        <w:ind w:firstLine="420" w:firstLineChars="200"/>
      </w:pPr>
    </w:p>
    <w:p w14:paraId="23C1534D">
      <w:pPr>
        <w:adjustRightInd w:val="0"/>
        <w:snapToGrid w:val="0"/>
        <w:ind w:firstLine="420" w:firstLineChars="200"/>
        <w:rPr>
          <w:b/>
          <w:bCs/>
        </w:rPr>
      </w:pPr>
      <w:r>
        <w:rPr>
          <w:b/>
          <w:bCs/>
        </w:rPr>
        <w:t>Details</w:t>
      </w:r>
    </w:p>
    <w:p w14:paraId="4AA56CC4">
      <w:pPr>
        <w:adjustRightInd w:val="0"/>
        <w:snapToGrid w:val="0"/>
        <w:ind w:firstLine="420" w:firstLineChars="200"/>
      </w:pPr>
      <w:r>
        <w:t>A </w:t>
      </w:r>
      <w:r>
        <w:rPr>
          <w:b/>
          <w:bCs/>
        </w:rPr>
        <w:t>detailed example</w:t>
      </w:r>
      <w:r>
        <w:t> of the processing can be found in the </w:t>
      </w:r>
      <w:r>
        <w:fldChar w:fldCharType="begin"/>
      </w:r>
      <w:r>
        <w:instrText xml:space="preserve">HYPERLINK "http://127.0.0.1:8605/help/library/REddyProc/doc/useCase.html"</w:instrText>
      </w:r>
      <w:r>
        <w:fldChar w:fldCharType="separate"/>
      </w:r>
      <w:r>
        <w:rPr>
          <w:rStyle w:val="5"/>
        </w:rPr>
        <w:t>useCase vignette</w:t>
      </w:r>
      <w:r>
        <w:fldChar w:fldCharType="end"/>
      </w:r>
      <w:r>
        <w:t>.</w:t>
      </w:r>
    </w:p>
    <w:p w14:paraId="474A7318">
      <w:pPr>
        <w:adjustRightInd w:val="0"/>
        <w:snapToGrid w:val="0"/>
        <w:ind w:firstLine="420" w:firstLineChars="200"/>
      </w:pPr>
      <w:r>
        <w:t>A first overview of the REddyProc functions:</w:t>
      </w:r>
    </w:p>
    <w:p w14:paraId="0E2E3C09">
      <w:pPr>
        <w:adjustRightInd w:val="0"/>
        <w:snapToGrid w:val="0"/>
        <w:ind w:firstLine="420" w:firstLineChars="200"/>
      </w:pPr>
      <w:r>
        <w:t>These functions help with the preparation of your data for the analysis:</w:t>
      </w:r>
    </w:p>
    <w:p w14:paraId="1EC1D05B">
      <w:pPr>
        <w:numPr>
          <w:ilvl w:val="0"/>
          <w:numId w:val="1"/>
        </w:numPr>
        <w:adjustRightInd w:val="0"/>
        <w:snapToGrid w:val="0"/>
        <w:ind w:firstLine="420" w:firstLineChars="200"/>
      </w:pPr>
      <w:r>
        <w:t>Loading text files into dataframes: </w:t>
      </w:r>
      <w:r>
        <w:rPr>
          <w:rFonts w:hint="eastAsia"/>
        </w:rPr>
        <w:fldChar w:fldCharType="begin"/>
      </w:r>
      <w:r>
        <w:rPr>
          <w:rFonts w:hint="eastAsia"/>
        </w:rPr>
        <w:instrText xml:space="preserve">HYPERLINK "http://127.0.0.1:8605/help/library/REddyProc/help/fLoadTXTIntoDataframe"</w:instrText>
      </w:r>
      <w:r>
        <w:rPr>
          <w:rFonts w:hint="eastAsia"/>
        </w:rPr>
        <w:fldChar w:fldCharType="separate"/>
      </w:r>
      <w:r>
        <w:rPr>
          <w:rStyle w:val="5"/>
        </w:rPr>
        <w:t>fLoadTXTIntoDataframe</w:t>
      </w:r>
      <w:r>
        <w:rPr>
          <w:rFonts w:hint="eastAsia"/>
        </w:rPr>
        <w:fldChar w:fldCharType="end"/>
      </w:r>
    </w:p>
    <w:p w14:paraId="0C62F78C">
      <w:pPr>
        <w:numPr>
          <w:ilvl w:val="0"/>
          <w:numId w:val="1"/>
        </w:numPr>
        <w:adjustRightInd w:val="0"/>
        <w:snapToGrid w:val="0"/>
        <w:ind w:firstLine="420" w:firstLineChars="200"/>
      </w:pPr>
      <w:r>
        <w:t>Preparing a proper time stamp: </w:t>
      </w:r>
      <w:r>
        <w:rPr>
          <w:rFonts w:hint="eastAsia"/>
        </w:rPr>
        <w:fldChar w:fldCharType="begin"/>
      </w:r>
      <w:r>
        <w:rPr>
          <w:rFonts w:hint="eastAsia"/>
        </w:rPr>
        <w:instrText xml:space="preserve">HYPERLINK "http://127.0.0.1:8605/help/library/REddyProc/help/help_DateTimes"</w:instrText>
      </w:r>
      <w:r>
        <w:rPr>
          <w:rFonts w:hint="eastAsia"/>
        </w:rPr>
        <w:fldChar w:fldCharType="separate"/>
      </w:r>
      <w:r>
        <w:rPr>
          <w:rStyle w:val="5"/>
        </w:rPr>
        <w:t>help_DateTimes</w:t>
      </w:r>
      <w:r>
        <w:rPr>
          <w:rFonts w:hint="eastAsia"/>
        </w:rPr>
        <w:fldChar w:fldCharType="end"/>
      </w:r>
    </w:p>
    <w:p w14:paraId="4BBF6A16">
      <w:pPr>
        <w:numPr>
          <w:ilvl w:val="0"/>
          <w:numId w:val="1"/>
        </w:numPr>
        <w:adjustRightInd w:val="0"/>
        <w:snapToGrid w:val="0"/>
        <w:ind w:firstLine="420" w:firstLineChars="200"/>
      </w:pPr>
      <w:r>
        <w:t>Calculating latent variables, e.g. VPD: </w:t>
      </w:r>
      <w:r>
        <w:rPr>
          <w:rFonts w:hint="eastAsia"/>
        </w:rPr>
        <w:fldChar w:fldCharType="begin"/>
      </w:r>
      <w:r>
        <w:rPr>
          <w:rFonts w:hint="eastAsia"/>
        </w:rPr>
        <w:instrText xml:space="preserve">HYPERLINK "http://127.0.0.1:8605/help/library/REddyProc/help/fCalcVPDfromRHandTair"</w:instrText>
      </w:r>
      <w:r>
        <w:rPr>
          <w:rFonts w:hint="eastAsia"/>
        </w:rPr>
        <w:fldChar w:fldCharType="separate"/>
      </w:r>
      <w:r>
        <w:rPr>
          <w:rStyle w:val="5"/>
        </w:rPr>
        <w:t>fCalcVPDfromRHandTair</w:t>
      </w:r>
      <w:r>
        <w:rPr>
          <w:rFonts w:hint="eastAsia"/>
        </w:rPr>
        <w:fldChar w:fldCharType="end"/>
      </w:r>
    </w:p>
    <w:p w14:paraId="095598A0">
      <w:pPr>
        <w:adjustRightInd w:val="0"/>
        <w:snapToGrid w:val="0"/>
        <w:ind w:firstLine="420" w:firstLineChars="200"/>
      </w:pPr>
      <w:r>
        <w:t>Then the data can be processed with the </w:t>
      </w:r>
      <w:r>
        <w:rPr>
          <w:rFonts w:hint="eastAsia"/>
        </w:rPr>
        <w:fldChar w:fldCharType="begin"/>
      </w:r>
      <w:r>
        <w:rPr>
          <w:rFonts w:hint="eastAsia"/>
        </w:rPr>
        <w:instrText xml:space="preserve">HYPERLINK "http://127.0.0.1:8605/help/library/REddyProc/help/sEddyProc-class"</w:instrText>
      </w:r>
      <w:r>
        <w:rPr>
          <w:rFonts w:hint="eastAsia"/>
        </w:rPr>
        <w:fldChar w:fldCharType="separate"/>
      </w:r>
      <w:r>
        <w:rPr>
          <w:rStyle w:val="5"/>
        </w:rPr>
        <w:t>sEddyProc-class</w:t>
      </w:r>
      <w:r>
        <w:rPr>
          <w:rFonts w:hint="eastAsia"/>
        </w:rPr>
        <w:fldChar w:fldCharType="end"/>
      </w:r>
      <w:r>
        <w:t> R5 reference class:</w:t>
      </w:r>
    </w:p>
    <w:p w14:paraId="33CCE24E">
      <w:pPr>
        <w:numPr>
          <w:ilvl w:val="0"/>
          <w:numId w:val="2"/>
        </w:numPr>
        <w:adjustRightInd w:val="0"/>
        <w:snapToGrid w:val="0"/>
        <w:ind w:firstLine="420" w:firstLineChars="200"/>
      </w:pPr>
      <w:r>
        <w:t>Initializing the R5 reference class: </w:t>
      </w:r>
      <w:r>
        <w:rPr>
          <w:rFonts w:hint="eastAsia"/>
        </w:rPr>
        <w:fldChar w:fldCharType="begin"/>
      </w:r>
      <w:r>
        <w:rPr>
          <w:rFonts w:hint="eastAsia"/>
        </w:rPr>
        <w:instrText xml:space="preserve">HYPERLINK "http://127.0.0.1:8605/help/library/REddyProc/help/sEddyProc_initialize"</w:instrText>
      </w:r>
      <w:r>
        <w:rPr>
          <w:rFonts w:hint="eastAsia"/>
        </w:rPr>
        <w:fldChar w:fldCharType="separate"/>
      </w:r>
      <w:r>
        <w:rPr>
          <w:rStyle w:val="5"/>
        </w:rPr>
        <w:t>sEddyProc_initialize</w:t>
      </w:r>
      <w:r>
        <w:rPr>
          <w:rFonts w:hint="eastAsia"/>
        </w:rPr>
        <w:fldChar w:fldCharType="end"/>
      </w:r>
    </w:p>
    <w:p w14:paraId="56129C4E">
      <w:pPr>
        <w:numPr>
          <w:ilvl w:val="0"/>
          <w:numId w:val="2"/>
        </w:numPr>
        <w:adjustRightInd w:val="0"/>
        <w:snapToGrid w:val="0"/>
        <w:ind w:firstLine="420" w:firstLineChars="200"/>
      </w:pPr>
      <w:r>
        <w:t>Estimating the turbulence criterion, Ustar threshold, for omitting data from periods of low turbulence: Functions </w:t>
      </w:r>
      <w:r>
        <w:fldChar w:fldCharType="begin"/>
      </w:r>
      <w:r>
        <w:instrText xml:space="preserve"> HYPERLINK "http://127.0.0.1:8605/help/library/REddyProc/help/sEddyProc_sEstUstarThreshold" </w:instrText>
      </w:r>
      <w:r>
        <w:fldChar w:fldCharType="separate"/>
      </w:r>
      <w:r>
        <w:rPr>
          <w:rStyle w:val="5"/>
        </w:rPr>
        <w:t>sEddyProc_sEstUstarThreshold</w:t>
      </w:r>
      <w:r>
        <w:rPr>
          <w:rStyle w:val="5"/>
        </w:rPr>
        <w:fldChar w:fldCharType="end"/>
      </w:r>
      <w:r>
        <w:t> and </w:t>
      </w:r>
      <w:r>
        <w:fldChar w:fldCharType="begin"/>
      </w:r>
      <w:r>
        <w:instrText xml:space="preserve"> HYPERLINK "http://127.0.0.1:8605/help/library/REddyProc/help/sEddyProc_sEstUstarThresholdDistribution" </w:instrText>
      </w:r>
      <w:r>
        <w:fldChar w:fldCharType="separate"/>
      </w:r>
      <w:r>
        <w:rPr>
          <w:rStyle w:val="5"/>
        </w:rPr>
        <w:t>sEddyProc_sEstUstarThresholdDistribution</w:t>
      </w:r>
      <w:r>
        <w:rPr>
          <w:rStyle w:val="5"/>
        </w:rPr>
        <w:fldChar w:fldCharType="end"/>
      </w:r>
      <w:r>
        <w:t> .</w:t>
      </w:r>
    </w:p>
    <w:p w14:paraId="2303519A">
      <w:pPr>
        <w:numPr>
          <w:ilvl w:val="0"/>
          <w:numId w:val="2"/>
        </w:numPr>
        <w:adjustRightInd w:val="0"/>
        <w:snapToGrid w:val="0"/>
        <w:ind w:firstLine="420" w:firstLineChars="200"/>
      </w:pPr>
      <w:r>
        <w:t>Gap filling: </w:t>
      </w:r>
      <w:r>
        <w:fldChar w:fldCharType="begin"/>
      </w:r>
      <w:r>
        <w:instrText xml:space="preserve"> HYPERLINK "http://127.0.0.1:8605/help/library/REddyProc/help/sEddyProc_sMDSGapFill" </w:instrText>
      </w:r>
      <w:r>
        <w:fldChar w:fldCharType="separate"/>
      </w:r>
      <w:r>
        <w:rPr>
          <w:rStyle w:val="5"/>
        </w:rPr>
        <w:t>sEddyProc_sMDSGapFill</w:t>
      </w:r>
      <w:r>
        <w:rPr>
          <w:rStyle w:val="5"/>
        </w:rPr>
        <w:fldChar w:fldCharType="end"/>
      </w:r>
      <w:r>
        <w:t> and </w:t>
      </w:r>
      <w:r>
        <w:fldChar w:fldCharType="begin"/>
      </w:r>
      <w:r>
        <w:instrText xml:space="preserve"> HYPERLINK "http://127.0.0.1:8605/help/library/REddyProc/help/sEddyProc_sMDSGapFillAfterUstar" </w:instrText>
      </w:r>
      <w:r>
        <w:fldChar w:fldCharType="separate"/>
      </w:r>
      <w:r>
        <w:rPr>
          <w:rStyle w:val="5"/>
        </w:rPr>
        <w:t>sEddyProc_sMDSGapFillAfterUstar</w:t>
      </w:r>
      <w:r>
        <w:rPr>
          <w:rStyle w:val="5"/>
        </w:rPr>
        <w:fldChar w:fldCharType="end"/>
      </w:r>
      <w:r>
        <w:t>.</w:t>
      </w:r>
    </w:p>
    <w:p w14:paraId="515E3EAF">
      <w:pPr>
        <w:numPr>
          <w:ilvl w:val="0"/>
          <w:numId w:val="2"/>
        </w:numPr>
        <w:adjustRightInd w:val="0"/>
        <w:snapToGrid w:val="0"/>
        <w:ind w:firstLine="420" w:firstLineChars="200"/>
      </w:pPr>
      <w:r>
        <w:t>Flux partitioning based on Night-Time: </w:t>
      </w:r>
      <w:r>
        <w:rPr>
          <w:rFonts w:hint="eastAsia"/>
        </w:rPr>
        <w:fldChar w:fldCharType="begin"/>
      </w:r>
      <w:r>
        <w:rPr>
          <w:rFonts w:hint="eastAsia"/>
        </w:rPr>
        <w:instrText xml:space="preserve">HYPERLINK "http://127.0.0.1:8605/help/library/REddyProc/help/sEddyProc_sMRFluxPartition"</w:instrText>
      </w:r>
      <w:r>
        <w:rPr>
          <w:rFonts w:hint="eastAsia"/>
        </w:rPr>
        <w:fldChar w:fldCharType="separate"/>
      </w:r>
      <w:r>
        <w:rPr>
          <w:rStyle w:val="5"/>
        </w:rPr>
        <w:t>sEddyProc_sMRFluxPartition</w:t>
      </w:r>
      <w:r>
        <w:rPr>
          <w:rFonts w:hint="eastAsia"/>
        </w:rPr>
        <w:fldChar w:fldCharType="end"/>
      </w:r>
    </w:p>
    <w:p w14:paraId="2797B331">
      <w:pPr>
        <w:numPr>
          <w:ilvl w:val="0"/>
          <w:numId w:val="2"/>
        </w:numPr>
        <w:adjustRightInd w:val="0"/>
        <w:snapToGrid w:val="0"/>
        <w:ind w:firstLine="420" w:firstLineChars="200"/>
      </w:pPr>
      <w:r>
        <w:t>Flux partitioning based on Day-Time: </w:t>
      </w:r>
      <w:r>
        <w:rPr>
          <w:rFonts w:hint="eastAsia"/>
        </w:rPr>
        <w:fldChar w:fldCharType="begin"/>
      </w:r>
      <w:r>
        <w:rPr>
          <w:rFonts w:hint="eastAsia"/>
        </w:rPr>
        <w:instrText xml:space="preserve">HYPERLINK "http://127.0.0.1:8605/help/library/REddyProc/help/sEddyProc_sGLFluxPartition"</w:instrText>
      </w:r>
      <w:r>
        <w:rPr>
          <w:rFonts w:hint="eastAsia"/>
        </w:rPr>
        <w:fldChar w:fldCharType="separate"/>
      </w:r>
      <w:r>
        <w:rPr>
          <w:rStyle w:val="5"/>
        </w:rPr>
        <w:t>sEddyProc_sGLFluxPartition</w:t>
      </w:r>
      <w:r>
        <w:rPr>
          <w:rFonts w:hint="eastAsia"/>
        </w:rPr>
        <w:fldChar w:fldCharType="end"/>
      </w:r>
    </w:p>
    <w:p w14:paraId="01C21CB2">
      <w:pPr>
        <w:adjustRightInd w:val="0"/>
        <w:snapToGrid w:val="0"/>
        <w:ind w:firstLine="420" w:firstLineChars="200"/>
      </w:pPr>
      <w:r>
        <w:t>Processing across different scenarios of u* threshold estimate is supported by</w:t>
      </w:r>
    </w:p>
    <w:p w14:paraId="0ED38D7E">
      <w:pPr>
        <w:numPr>
          <w:ilvl w:val="0"/>
          <w:numId w:val="3"/>
        </w:numPr>
        <w:adjustRightInd w:val="0"/>
        <w:snapToGrid w:val="0"/>
        <w:ind w:firstLine="420" w:firstLineChars="200"/>
      </w:pPr>
      <w:r>
        <w:t>Estimating the turbulence criterion, Ustar threshold, for omitting data from periods of low turbulence: </w:t>
      </w:r>
      <w:r>
        <w:rPr>
          <w:rFonts w:hint="eastAsia"/>
        </w:rPr>
        <w:fldChar w:fldCharType="begin"/>
      </w:r>
      <w:r>
        <w:rPr>
          <w:rFonts w:hint="eastAsia"/>
        </w:rPr>
        <w:instrText xml:space="preserve">HYPERLINK "http://127.0.0.1:8605/help/library/REddyProc/help/sEddyProc_sEstimateUstarScenarios"</w:instrText>
      </w:r>
      <w:r>
        <w:rPr>
          <w:rFonts w:hint="eastAsia"/>
        </w:rPr>
        <w:fldChar w:fldCharType="separate"/>
      </w:r>
      <w:r>
        <w:rPr>
          <w:rStyle w:val="5"/>
        </w:rPr>
        <w:t>sEddyProc_sEstimateUstarScenarios</w:t>
      </w:r>
      <w:r>
        <w:rPr>
          <w:rFonts w:hint="eastAsia"/>
        </w:rPr>
        <w:fldChar w:fldCharType="end"/>
      </w:r>
      <w:r>
        <w:t> and associated</w:t>
      </w:r>
    </w:p>
    <w:p w14:paraId="64E7D06C">
      <w:pPr>
        <w:numPr>
          <w:ilvl w:val="1"/>
          <w:numId w:val="3"/>
        </w:numPr>
        <w:adjustRightInd w:val="0"/>
        <w:snapToGrid w:val="0"/>
        <w:ind w:firstLine="420" w:firstLineChars="200"/>
      </w:pPr>
      <w:r>
        <w:t>query the thresholds to be used </w:t>
      </w:r>
      <w:r>
        <w:rPr>
          <w:rFonts w:hint="eastAsia"/>
        </w:rPr>
        <w:fldChar w:fldCharType="begin"/>
      </w:r>
      <w:r>
        <w:rPr>
          <w:rFonts w:hint="eastAsia"/>
        </w:rPr>
        <w:instrText xml:space="preserve">HYPERLINK "http://127.0.0.1:8605/help/library/REddyProc/help/sEddyProc_sGetUstarScenarios"</w:instrText>
      </w:r>
      <w:r>
        <w:rPr>
          <w:rFonts w:hint="eastAsia"/>
        </w:rPr>
        <w:fldChar w:fldCharType="separate"/>
      </w:r>
      <w:r>
        <w:rPr>
          <w:rStyle w:val="5"/>
        </w:rPr>
        <w:t>sEddyProc_sGetUstarScenarios</w:t>
      </w:r>
      <w:r>
        <w:rPr>
          <w:rFonts w:hint="eastAsia"/>
        </w:rPr>
        <w:fldChar w:fldCharType="end"/>
      </w:r>
    </w:p>
    <w:p w14:paraId="2C33B22D">
      <w:pPr>
        <w:numPr>
          <w:ilvl w:val="1"/>
          <w:numId w:val="3"/>
        </w:numPr>
        <w:adjustRightInd w:val="0"/>
        <w:snapToGrid w:val="0"/>
        <w:ind w:firstLine="420" w:firstLineChars="200"/>
      </w:pPr>
      <w:r>
        <w:t>set the thresholds to be used </w:t>
      </w:r>
      <w:r>
        <w:rPr>
          <w:rFonts w:hint="eastAsia"/>
        </w:rPr>
        <w:fldChar w:fldCharType="begin"/>
      </w:r>
      <w:r>
        <w:rPr>
          <w:rFonts w:hint="eastAsia"/>
        </w:rPr>
        <w:instrText xml:space="preserve">HYPERLINK "http://127.0.0.1:8605/help/library/REddyProc/help/sEddyProc_sSetUstarScenarios"</w:instrText>
      </w:r>
      <w:r>
        <w:rPr>
          <w:rFonts w:hint="eastAsia"/>
        </w:rPr>
        <w:fldChar w:fldCharType="separate"/>
      </w:r>
      <w:r>
        <w:rPr>
          <w:rStyle w:val="5"/>
        </w:rPr>
        <w:t>sEddyProc_sSetUstarScenarios</w:t>
      </w:r>
      <w:r>
        <w:rPr>
          <w:rFonts w:hint="eastAsia"/>
        </w:rPr>
        <w:fldChar w:fldCharType="end"/>
      </w:r>
    </w:p>
    <w:p w14:paraId="56473440">
      <w:pPr>
        <w:numPr>
          <w:ilvl w:val="1"/>
          <w:numId w:val="3"/>
        </w:numPr>
        <w:adjustRightInd w:val="0"/>
        <w:snapToGrid w:val="0"/>
        <w:ind w:firstLine="420" w:firstLineChars="200"/>
      </w:pPr>
      <w:r>
        <w:t>query the estimated thresholds all different aggregation levels </w:t>
      </w:r>
      <w:r>
        <w:rPr>
          <w:rFonts w:hint="eastAsia"/>
        </w:rPr>
        <w:fldChar w:fldCharType="begin"/>
      </w:r>
      <w:r>
        <w:rPr>
          <w:rFonts w:hint="eastAsia"/>
        </w:rPr>
        <w:instrText xml:space="preserve">HYPERLINK "http://127.0.0.1:8605/help/library/REddyProc/help/sEddyProc_sGetEstimatedUstarThresholdDistribution"</w:instrText>
      </w:r>
      <w:r>
        <w:rPr>
          <w:rFonts w:hint="eastAsia"/>
        </w:rPr>
        <w:fldChar w:fldCharType="separate"/>
      </w:r>
      <w:r>
        <w:rPr>
          <w:rStyle w:val="5"/>
        </w:rPr>
        <w:t>sEddyProc_sGetEstimatedUstarThresholdDistribution</w:t>
      </w:r>
      <w:r>
        <w:rPr>
          <w:rFonts w:hint="eastAsia"/>
        </w:rPr>
        <w:fldChar w:fldCharType="end"/>
      </w:r>
    </w:p>
    <w:p w14:paraId="04AC552B">
      <w:pPr>
        <w:numPr>
          <w:ilvl w:val="0"/>
          <w:numId w:val="3"/>
        </w:numPr>
        <w:adjustRightInd w:val="0"/>
        <w:snapToGrid w:val="0"/>
        <w:ind w:firstLine="420" w:firstLineChars="200"/>
      </w:pPr>
      <w:r>
        <w:t>Gap-Filling: </w:t>
      </w:r>
      <w:r>
        <w:rPr>
          <w:rFonts w:hint="eastAsia"/>
        </w:rPr>
        <w:fldChar w:fldCharType="begin"/>
      </w:r>
      <w:r>
        <w:rPr>
          <w:rFonts w:hint="eastAsia"/>
        </w:rPr>
        <w:instrText xml:space="preserve">HYPERLINK "http://127.0.0.1:8605/help/library/REddyProc/help/sEddyProc_sMDSGapFillUStarScens"</w:instrText>
      </w:r>
      <w:r>
        <w:rPr>
          <w:rFonts w:hint="eastAsia"/>
        </w:rPr>
        <w:fldChar w:fldCharType="separate"/>
      </w:r>
      <w:r>
        <w:rPr>
          <w:rStyle w:val="5"/>
        </w:rPr>
        <w:t>sEddyProc_sMDSGapFillUStarScens</w:t>
      </w:r>
      <w:r>
        <w:rPr>
          <w:rFonts w:hint="eastAsia"/>
        </w:rPr>
        <w:fldChar w:fldCharType="end"/>
      </w:r>
    </w:p>
    <w:p w14:paraId="624C04E5">
      <w:pPr>
        <w:numPr>
          <w:ilvl w:val="0"/>
          <w:numId w:val="3"/>
        </w:numPr>
        <w:adjustRightInd w:val="0"/>
        <w:snapToGrid w:val="0"/>
        <w:ind w:firstLine="420" w:firstLineChars="200"/>
      </w:pPr>
      <w:r>
        <w:t>Flux partitioning based on Night-Time (Reichstein 2005): </w:t>
      </w:r>
      <w:r>
        <w:rPr>
          <w:rFonts w:hint="eastAsia"/>
        </w:rPr>
        <w:fldChar w:fldCharType="begin"/>
      </w:r>
      <w:r>
        <w:rPr>
          <w:rFonts w:hint="eastAsia"/>
        </w:rPr>
        <w:instrText xml:space="preserve">HYPERLINK "http://127.0.0.1:8605/help/library/REddyProc/help/sEddyProc_sMRFluxPartitionUStarScens"</w:instrText>
      </w:r>
      <w:r>
        <w:rPr>
          <w:rFonts w:hint="eastAsia"/>
        </w:rPr>
        <w:fldChar w:fldCharType="separate"/>
      </w:r>
      <w:r>
        <w:rPr>
          <w:rStyle w:val="5"/>
        </w:rPr>
        <w:t>sEddyProc_sMRFluxPartitionUStarScens</w:t>
      </w:r>
      <w:r>
        <w:rPr>
          <w:rFonts w:hint="eastAsia"/>
        </w:rPr>
        <w:fldChar w:fldCharType="end"/>
      </w:r>
    </w:p>
    <w:p w14:paraId="1964C0D3">
      <w:pPr>
        <w:numPr>
          <w:ilvl w:val="0"/>
          <w:numId w:val="3"/>
        </w:numPr>
        <w:adjustRightInd w:val="0"/>
        <w:snapToGrid w:val="0"/>
        <w:ind w:firstLine="420" w:firstLineChars="200"/>
      </w:pPr>
      <w:r>
        <w:t>Flux partitioning based on Day-Time (Lasslop 2010): </w:t>
      </w:r>
      <w:r>
        <w:rPr>
          <w:rFonts w:hint="eastAsia"/>
        </w:rPr>
        <w:fldChar w:fldCharType="begin"/>
      </w:r>
      <w:r>
        <w:rPr>
          <w:rFonts w:hint="eastAsia"/>
        </w:rPr>
        <w:instrText xml:space="preserve">HYPERLINK "http://127.0.0.1:8605/help/library/REddyProc/help/sEddyProc_sGLFluxPartitionUStarScens"</w:instrText>
      </w:r>
      <w:r>
        <w:rPr>
          <w:rFonts w:hint="eastAsia"/>
        </w:rPr>
        <w:fldChar w:fldCharType="separate"/>
      </w:r>
      <w:r>
        <w:rPr>
          <w:rStyle w:val="5"/>
        </w:rPr>
        <w:t>sEddyProc_sGLFluxPartitionUStarScens</w:t>
      </w:r>
      <w:r>
        <w:rPr>
          <w:rFonts w:hint="eastAsia"/>
        </w:rPr>
        <w:fldChar w:fldCharType="end"/>
      </w:r>
    </w:p>
    <w:p w14:paraId="49462D40">
      <w:pPr>
        <w:numPr>
          <w:ilvl w:val="0"/>
          <w:numId w:val="3"/>
        </w:numPr>
        <w:adjustRightInd w:val="0"/>
        <w:snapToGrid w:val="0"/>
        <w:ind w:firstLine="420" w:firstLineChars="200"/>
      </w:pPr>
      <w:r>
        <w:t>Flux partitioning based on modified Day-Time (Keenan 2019): </w:t>
      </w:r>
      <w:r>
        <w:rPr>
          <w:rFonts w:hint="eastAsia"/>
        </w:rPr>
        <w:fldChar w:fldCharType="begin"/>
      </w:r>
      <w:r>
        <w:rPr>
          <w:rFonts w:hint="eastAsia"/>
        </w:rPr>
        <w:instrText xml:space="preserve">HYPERLINK "http://127.0.0.1:8605/help/library/REddyProc/help/sEddyProc_sTKFluxPartitionUStarScens"</w:instrText>
      </w:r>
      <w:r>
        <w:rPr>
          <w:rFonts w:hint="eastAsia"/>
        </w:rPr>
        <w:fldChar w:fldCharType="separate"/>
      </w:r>
      <w:r>
        <w:rPr>
          <w:rStyle w:val="5"/>
        </w:rPr>
        <w:t>sEddyProc_sTKFluxPartitionUStarScens</w:t>
      </w:r>
      <w:r>
        <w:rPr>
          <w:rFonts w:hint="eastAsia"/>
        </w:rPr>
        <w:fldChar w:fldCharType="end"/>
      </w:r>
    </w:p>
    <w:p w14:paraId="2442DED9">
      <w:pPr>
        <w:adjustRightInd w:val="0"/>
        <w:snapToGrid w:val="0"/>
        <w:ind w:firstLine="420" w:firstLineChars="200"/>
      </w:pPr>
      <w:r>
        <w:t>Before or after processing, the data can be plotted:</w:t>
      </w:r>
    </w:p>
    <w:p w14:paraId="346BE234">
      <w:pPr>
        <w:numPr>
          <w:ilvl w:val="0"/>
          <w:numId w:val="4"/>
        </w:numPr>
        <w:adjustRightInd w:val="0"/>
        <w:snapToGrid w:val="0"/>
        <w:ind w:firstLine="420" w:firstLineChars="200"/>
      </w:pPr>
      <w:r>
        <w:t>Fingerprint: </w:t>
      </w:r>
      <w:r>
        <w:rPr>
          <w:rFonts w:hint="eastAsia"/>
        </w:rPr>
        <w:fldChar w:fldCharType="begin"/>
      </w:r>
      <w:r>
        <w:rPr>
          <w:rFonts w:hint="eastAsia"/>
        </w:rPr>
        <w:instrText xml:space="preserve">HYPERLINK "http://127.0.0.1:8605/help/library/REddyProc/help/sEddyProc_sPlotFingerprint"</w:instrText>
      </w:r>
      <w:r>
        <w:rPr>
          <w:rFonts w:hint="eastAsia"/>
        </w:rPr>
        <w:fldChar w:fldCharType="separate"/>
      </w:r>
      <w:r>
        <w:rPr>
          <w:rStyle w:val="5"/>
        </w:rPr>
        <w:t>sEddyProc_sPlotFingerprint</w:t>
      </w:r>
      <w:r>
        <w:rPr>
          <w:rFonts w:hint="eastAsia"/>
        </w:rPr>
        <w:fldChar w:fldCharType="end"/>
      </w:r>
    </w:p>
    <w:p w14:paraId="29D1C7A6">
      <w:pPr>
        <w:numPr>
          <w:ilvl w:val="0"/>
          <w:numId w:val="4"/>
        </w:numPr>
        <w:adjustRightInd w:val="0"/>
        <w:snapToGrid w:val="0"/>
        <w:ind w:firstLine="420" w:firstLineChars="200"/>
      </w:pPr>
      <w:r>
        <w:t>Half-hourly fluxes and their daily means: </w:t>
      </w:r>
      <w:r>
        <w:rPr>
          <w:rFonts w:hint="eastAsia"/>
        </w:rPr>
        <w:fldChar w:fldCharType="begin"/>
      </w:r>
      <w:r>
        <w:rPr>
          <w:rFonts w:hint="eastAsia"/>
        </w:rPr>
        <w:instrText xml:space="preserve">HYPERLINK "http://127.0.0.1:8605/help/library/REddyProc/help/sEddyProc_sPlotHHFluxes"</w:instrText>
      </w:r>
      <w:r>
        <w:rPr>
          <w:rFonts w:hint="eastAsia"/>
        </w:rPr>
        <w:fldChar w:fldCharType="separate"/>
      </w:r>
      <w:r>
        <w:rPr>
          <w:rStyle w:val="5"/>
        </w:rPr>
        <w:t>sEddyProc_sPlotHHFluxes</w:t>
      </w:r>
      <w:r>
        <w:rPr>
          <w:rFonts w:hint="eastAsia"/>
        </w:rPr>
        <w:fldChar w:fldCharType="end"/>
      </w:r>
    </w:p>
    <w:p w14:paraId="6FE4EE37">
      <w:pPr>
        <w:numPr>
          <w:ilvl w:val="0"/>
          <w:numId w:val="4"/>
        </w:numPr>
        <w:adjustRightInd w:val="0"/>
        <w:snapToGrid w:val="0"/>
        <w:ind w:firstLine="420" w:firstLineChars="200"/>
      </w:pPr>
      <w:r>
        <w:t>Daily sums (and their uncertainties): </w:t>
      </w:r>
      <w:r>
        <w:fldChar w:fldCharType="begin"/>
      </w:r>
      <w:r>
        <w:instrText xml:space="preserve"> HYPERLINK "http://127.0.0.1:8605/help/library/REddyProc/help/sEddyProc_sPlotDailySums" </w:instrText>
      </w:r>
      <w:r>
        <w:fldChar w:fldCharType="separate"/>
      </w:r>
      <w:r>
        <w:rPr>
          <w:rStyle w:val="5"/>
        </w:rPr>
        <w:t>sEddyProc_sPlotDailySums</w:t>
      </w:r>
      <w:r>
        <w:rPr>
          <w:rStyle w:val="5"/>
        </w:rPr>
        <w:fldChar w:fldCharType="end"/>
      </w:r>
    </w:p>
    <w:p w14:paraId="3C9395B0">
      <w:pPr>
        <w:numPr>
          <w:ilvl w:val="0"/>
          <w:numId w:val="4"/>
        </w:numPr>
        <w:adjustRightInd w:val="0"/>
        <w:snapToGrid w:val="0"/>
        <w:ind w:firstLine="420" w:firstLineChars="200"/>
      </w:pPr>
      <w:r>
        <w:t>Diurnal cycle: </w:t>
      </w:r>
      <w:r>
        <w:rPr>
          <w:rFonts w:hint="eastAsia"/>
        </w:rPr>
        <w:fldChar w:fldCharType="begin"/>
      </w:r>
      <w:r>
        <w:rPr>
          <w:rFonts w:hint="eastAsia"/>
        </w:rPr>
        <w:instrText xml:space="preserve">HYPERLINK "http://127.0.0.1:8605/help/library/REddyProc/help/sEddyProc_sPlotDiurnalCycle"</w:instrText>
      </w:r>
      <w:r>
        <w:rPr>
          <w:rFonts w:hint="eastAsia"/>
        </w:rPr>
        <w:fldChar w:fldCharType="separate"/>
      </w:r>
      <w:r>
        <w:rPr>
          <w:rStyle w:val="5"/>
        </w:rPr>
        <w:t>sEddyProc_sPlotDiurnalCycle</w:t>
      </w:r>
      <w:r>
        <w:rPr>
          <w:rFonts w:hint="eastAsia"/>
        </w:rPr>
        <w:fldChar w:fldCharType="end"/>
      </w:r>
    </w:p>
    <w:p w14:paraId="04E25563">
      <w:pPr>
        <w:adjustRightInd w:val="0"/>
        <w:snapToGrid w:val="0"/>
        <w:ind w:firstLine="420" w:firstLineChars="200"/>
      </w:pPr>
      <w:r>
        <w:t>For exporting data and results see </w:t>
      </w:r>
      <w:r>
        <w:rPr>
          <w:rFonts w:hint="eastAsia"/>
        </w:rPr>
        <w:fldChar w:fldCharType="begin"/>
      </w:r>
      <w:r>
        <w:rPr>
          <w:rFonts w:hint="eastAsia"/>
        </w:rPr>
        <w:instrText xml:space="preserve">HYPERLINK "http://127.0.0.1:8605/help/library/REddyProc/help/help_export"</w:instrText>
      </w:r>
      <w:r>
        <w:rPr>
          <w:rFonts w:hint="eastAsia"/>
        </w:rPr>
        <w:fldChar w:fldCharType="separate"/>
      </w:r>
      <w:r>
        <w:rPr>
          <w:rStyle w:val="5"/>
        </w:rPr>
        <w:t>help_export</w:t>
      </w:r>
      <w:r>
        <w:rPr>
          <w:rFonts w:hint="eastAsia"/>
        </w:rPr>
        <w:fldChar w:fldCharType="end"/>
      </w:r>
      <w:r>
        <w:t>.</w:t>
      </w:r>
    </w:p>
    <w:p w14:paraId="79F25F46">
      <w:pPr>
        <w:adjustRightInd w:val="0"/>
        <w:snapToGrid w:val="0"/>
        <w:ind w:firstLine="420" w:firstLineChars="200"/>
      </w:pPr>
      <w:r>
        <w:t>A </w:t>
      </w:r>
      <w:r>
        <w:rPr>
          <w:b/>
          <w:bCs/>
        </w:rPr>
        <w:t>complete list</w:t>
      </w:r>
      <w:r>
        <w:t> of REddyProc functions be viewed by clicking on the </w:t>
      </w:r>
      <w:r>
        <w:rPr>
          <w:b/>
          <w:bCs/>
        </w:rPr>
        <w:t>Index</w:t>
      </w:r>
      <w:r>
        <w:t> link at the bottom of this help page.</w:t>
      </w:r>
    </w:p>
    <w:p w14:paraId="623DF5FE">
      <w:pPr>
        <w:adjustRightInd w:val="0"/>
        <w:snapToGrid w:val="0"/>
        <w:ind w:firstLine="420" w:firstLineChars="200"/>
      </w:pPr>
      <w:r>
        <w:t>Also have a look at the </w:t>
      </w:r>
      <w:r>
        <w:fldChar w:fldCharType="begin"/>
      </w:r>
      <w:r>
        <w:instrText xml:space="preserve"> HYPERLINK "http://127.0.0.1:8605/help/library/REddyProc/doc/index.html" </w:instrText>
      </w:r>
      <w:r>
        <w:fldChar w:fldCharType="separate"/>
      </w:r>
      <w:r>
        <w:rPr>
          <w:rStyle w:val="5"/>
        </w:rPr>
        <w:t>package vignettes</w:t>
      </w:r>
      <w:r>
        <w:rPr>
          <w:rStyle w:val="5"/>
        </w:rPr>
        <w:fldChar w:fldCharType="end"/>
      </w:r>
      <w:r>
        <w:t>.</w:t>
      </w:r>
    </w:p>
    <w:p w14:paraId="71860E16">
      <w:pPr>
        <w:adjustRightInd w:val="0"/>
        <w:snapToGrid w:val="0"/>
        <w:ind w:firstLine="420" w:firstLineChars="200"/>
      </w:pPr>
    </w:p>
    <w:p w14:paraId="675D8FCE">
      <w:pPr>
        <w:adjustRightInd w:val="0"/>
        <w:snapToGrid w:val="0"/>
        <w:ind w:firstLine="420" w:firstLineChars="200"/>
      </w:pPr>
    </w:p>
    <w:p w14:paraId="6471F13B">
      <w:pPr>
        <w:adjustRightInd w:val="0"/>
        <w:snapToGrid w:val="0"/>
        <w:ind w:firstLine="420" w:firstLineChars="200"/>
      </w:pPr>
    </w:p>
    <w:p w14:paraId="7A22813D">
      <w:pPr>
        <w:adjustRightInd w:val="0"/>
        <w:snapToGrid w:val="0"/>
        <w:ind w:firstLine="420" w:firstLineChars="200"/>
      </w:pPr>
    </w:p>
    <w:p w14:paraId="5850DB5A">
      <w:pPr>
        <w:adjustRightInd w:val="0"/>
        <w:snapToGrid w:val="0"/>
        <w:ind w:firstLine="420" w:firstLineChars="200"/>
      </w:pPr>
    </w:p>
    <w:p w14:paraId="6CE11CB5">
      <w:pPr>
        <w:adjustRightInd w:val="0"/>
        <w:snapToGrid w:val="0"/>
        <w:ind w:firstLine="420" w:firstLineChars="200"/>
        <w:outlineLvl w:val="0"/>
        <w:rPr>
          <w:b/>
          <w:bCs/>
        </w:rPr>
      </w:pPr>
      <w:r>
        <w:rPr>
          <w:b/>
          <w:bCs/>
        </w:rPr>
        <w:t>Author(s)</w:t>
      </w:r>
    </w:p>
    <w:p w14:paraId="2DB37B3A">
      <w:pPr>
        <w:adjustRightInd w:val="0"/>
        <w:snapToGrid w:val="0"/>
        <w:ind w:firstLine="420" w:firstLineChars="200"/>
        <w:rPr>
          <w:rFonts w:hint="eastAsia"/>
        </w:rPr>
      </w:pPr>
      <w:r>
        <w:t>Department for Biogeochemical Integration at MPI-BGC, Jena, Germany</w:t>
      </w:r>
    </w:p>
    <w:p w14:paraId="598B1AF6">
      <w:pPr>
        <w:adjustRightInd w:val="0"/>
        <w:snapToGrid w:val="0"/>
        <w:spacing w:before="156" w:beforeLines="50"/>
        <w:ind w:firstLine="420" w:firstLineChars="200"/>
        <w:rPr>
          <w:rFonts w:hint="eastAsia"/>
        </w:rPr>
      </w:pPr>
      <w:r>
        <w:rPr>
          <w:rFonts w:hint="eastAsia"/>
        </w:rPr>
        <w:t>MPI-BGC生物地球化学联合部，德国</w:t>
      </w:r>
    </w:p>
    <w:p w14:paraId="489646BA">
      <w:pPr>
        <w:adjustRightInd w:val="0"/>
        <w:snapToGrid w:val="0"/>
        <w:ind w:firstLine="420" w:firstLineChars="200"/>
        <w:rPr>
          <w:rFonts w:hint="eastAsia"/>
        </w:rPr>
      </w:pPr>
    </w:p>
    <w:p w14:paraId="18FD0AF4">
      <w:pPr>
        <w:adjustRightInd w:val="0"/>
        <w:snapToGrid w:val="0"/>
        <w:ind w:firstLine="420" w:firstLineChars="200"/>
        <w:rPr>
          <w:b/>
          <w:bCs/>
        </w:rPr>
      </w:pPr>
      <w:r>
        <w:rPr>
          <w:rFonts w:hint="eastAsia"/>
          <w:b/>
          <w:bCs/>
        </w:rPr>
        <w:t>References</w:t>
      </w:r>
    </w:p>
    <w:p w14:paraId="26AD61D5">
      <w:pPr>
        <w:adjustRightInd w:val="0"/>
        <w:snapToGrid w:val="0"/>
        <w:ind w:firstLine="420" w:firstLineChars="200"/>
        <w:outlineLvl w:val="0"/>
      </w:pPr>
      <w:r>
        <w:t>Reichstein M, Falge E, Baldocchi D et al. (2005) On the separation of net ecosystem exchange into assimilation and ecosystem respiration: review and improved algorithm. Global Change Biology, 11, 1424-1439.</w:t>
      </w:r>
    </w:p>
    <w:p w14:paraId="1A868D57">
      <w:pPr>
        <w:adjustRightInd w:val="0"/>
        <w:snapToGrid w:val="0"/>
        <w:ind w:firstLine="420" w:firstLineChars="200"/>
      </w:pPr>
    </w:p>
    <w:p w14:paraId="6A58F032">
      <w:pPr>
        <w:adjustRightInd w:val="0"/>
        <w:snapToGrid w:val="0"/>
        <w:ind w:firstLine="420" w:firstLineChars="200"/>
        <w:rPr>
          <w:rFonts w:hint="eastAsia"/>
        </w:rPr>
      </w:pPr>
      <w:r>
        <w:rPr>
          <w:rFonts w:hint="eastAsia"/>
        </w:rPr>
        <w:t>净生态系统交换分解为同化和生态系统呼吸:综述与改进算法。生态学报，11(4):444 - 444。</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F10E30"/>
    <w:multiLevelType w:val="multilevel"/>
    <w:tmpl w:val="39F10E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52334357"/>
    <w:multiLevelType w:val="multilevel"/>
    <w:tmpl w:val="523343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EB8788B"/>
    <w:multiLevelType w:val="multilevel"/>
    <w:tmpl w:val="5EB878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2B9225C"/>
    <w:multiLevelType w:val="multilevel"/>
    <w:tmpl w:val="62B922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FE5"/>
    <w:rsid w:val="00704298"/>
    <w:rsid w:val="00892568"/>
    <w:rsid w:val="00A05CB1"/>
    <w:rsid w:val="00B347BF"/>
    <w:rsid w:val="00D46FE5"/>
    <w:rsid w:val="00E35C60"/>
    <w:rsid w:val="53B96A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3">
    <w:name w:val="Default Paragraph Font"/>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character" w:styleId="4">
    <w:name w:val="FollowedHyperlink"/>
    <w:basedOn w:val="3"/>
    <w:semiHidden/>
    <w:unhideWhenUsed/>
    <w:qFormat/>
    <w:uiPriority w:val="99"/>
    <w:rPr>
      <w:color w:val="954F72" w:themeColor="followedHyperlink"/>
      <w:u w:val="single"/>
      <w14:textFill>
        <w14:solidFill>
          <w14:schemeClr w14:val="folHlink"/>
        </w14:solidFill>
      </w14:textFill>
    </w:rPr>
  </w:style>
  <w:style w:type="character" w:styleId="5">
    <w:name w:val="Hyperlink"/>
    <w:basedOn w:val="3"/>
    <w:unhideWhenUsed/>
    <w:qFormat/>
    <w:uiPriority w:val="99"/>
    <w:rPr>
      <w:color w:val="0563C1" w:themeColor="hyperlink"/>
      <w:u w:val="single"/>
      <w14:textFill>
        <w14:solidFill>
          <w14:schemeClr w14:val="hlink"/>
        </w14:solidFill>
      </w14:textFill>
    </w:rPr>
  </w:style>
  <w:style w:type="character" w:customStyle="1" w:styleId="6">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1053</Words>
  <Characters>4411</Characters>
  <Lines>55</Lines>
  <Paragraphs>15</Paragraphs>
  <TotalTime>123</TotalTime>
  <ScaleCrop>false</ScaleCrop>
  <LinksUpToDate>false</LinksUpToDate>
  <CharactersWithSpaces>4764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2024-07-23T14:00:00Z</dcterms:created>
  <dc:creator>勇博 赵</dc:creator>
  <cp:lastModifiedBy>承载阳光</cp:lastModifiedBy>
  <dcterms:modified xsi:type="dcterms:W3CDTF">2025-04-06T13:40:46Z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eyJoZGlkIjoiNmJjNTAwZjAwMzMxNzNkYTI1NTM1NWZiMWRkYzlkNmUiLCJ1c2VySWQiOiI2NjU4NTEwMzMifQ==</vt:lpwstr>
  </property>
  <property fmtid="{D5CDD505-2E9C-101B-9397-08002B2CF9AE}" pid="3" name="KSOProductBuildVer">
    <vt:lpwstr>2052-12.1.0.20305</vt:lpwstr>
  </property>
  <property fmtid="{D5CDD505-2E9C-101B-9397-08002B2CF9AE}" pid="4" name="ICV">
    <vt:lpwstr>081F83AAEBD941448529E39580C6CAFE_12</vt:lpwstr>
  </property>
</Properties>
</file>