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Times New Roman" w:hAnsi="Times New Roman" w:eastAsia="宋体"/>
          <w:b/>
          <w:sz w:val="44"/>
        </w:rPr>
        <w:t>直梯运行状态智能化深度诊断报告</w:t>
      </w:r>
    </w:p>
    <w:p>
      <w:pPr>
        <w:pStyle w:val="Heading1"/>
      </w:pPr>
      <w:r>
        <w:rPr>
          <w:rFonts w:ascii="Times New Roman" w:hAnsi="Times New Roman" w:eastAsia="宋体"/>
          <w:b/>
          <w:sz w:val="28"/>
        </w:rPr>
        <w:t>一、 直梯整体运行健康度</w:t>
      </w:r>
    </w:p>
    <w:p>
      <w:r>
        <w:rPr>
          <w:rFonts w:ascii="Times New Roman" w:hAnsi="Times New Roman" w:eastAsia="宋体"/>
          <w:b/>
        </w:rPr>
        <w:t xml:space="preserve">系统最终健康分: 87.5 分 | 整体状态评估: </w:t>
      </w:r>
      <w:r>
        <w:rPr>
          <w:rFonts w:ascii="Times New Roman" w:hAnsi="Times New Roman" w:eastAsia="宋体"/>
          <w:b/>
          <w:color w:val="009600"/>
        </w:rPr>
        <w:t>H2: 100.0%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b/>
              </w:rPr>
              <w:t>大类/部件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/>
              </w:rPr>
              <w:t>综合诊断评估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/>
              </w:rPr>
              <w:t>检测子项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/>
              </w:rPr>
              <w:t>子项状态分布</w:t>
            </w:r>
          </w:p>
        </w:tc>
      </w:tr>
      <w:tr>
        <w:tc>
          <w:tcPr>
            <w:tcW w:type="dxa" w:w="2160"/>
            <w:vMerge w:val="restart"/>
          </w:tcPr>
          <w:p>
            <w:r>
              <w:t>曳引机</w:t>
            </w:r>
          </w:p>
        </w:tc>
        <w:tc>
          <w:tcPr>
            <w:tcW w:type="dxa" w:w="2160"/>
            <w:vMerge w:val="restart"/>
          </w:tcPr>
          <w:p>
            <w:r>
              <w:t>100.0 分</w:t>
              <w:br/>
              <w:t>[H1: 100.0%]</w:t>
            </w:r>
          </w:p>
        </w:tc>
        <w:tc>
          <w:tcPr>
            <w:tcW w:type="dxa" w:w="2160"/>
          </w:tcPr>
          <w:p>
            <w:r>
              <w:t>motor_fault</w:t>
            </w:r>
          </w:p>
        </w:tc>
        <w:tc>
          <w:tcPr>
            <w:tcW w:type="dxa" w:w="2160"/>
          </w:tcPr>
          <w:p>
            <w:r>
              <w:t>100.0 分</w:t>
              <w:br/>
              <w:t>[H1: 100.0%]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  <w:vMerge/>
          </w:tcPr>
          <w:p/>
        </w:tc>
        <w:tc>
          <w:tcPr>
            <w:tcW w:type="dxa" w:w="2160"/>
          </w:tcPr>
          <w:p>
            <w:r>
              <w:t>bearing_fault</w:t>
              <w:br/>
              <w:t xml:space="preserve">  └─ bearing_inner</w:t>
              <w:br/>
              <w:t xml:space="preserve">  └─ bearing_outer</w:t>
              <w:br/>
              <w:t xml:space="preserve">  └─ bearing_cage</w:t>
              <w:br/>
              <w:t xml:space="preserve">  └─ bearing_ball</w:t>
            </w:r>
          </w:p>
        </w:tc>
        <w:tc>
          <w:tcPr>
            <w:tcW w:type="dxa" w:w="2160"/>
          </w:tcPr>
          <w:p>
            <w:r>
              <w:t>100.0 分</w:t>
              <w:br/>
              <w:t>[H1: 100.0%]</w:t>
              <w:br/>
              <w:t xml:space="preserve">  └─ 100.0 分 [H1: 100.0%]</w:t>
              <w:br/>
              <w:t xml:space="preserve">  └─ 100.0 分 [H1: 100.0%]</w:t>
              <w:br/>
              <w:t xml:space="preserve">  └─ 100.0 分 [H1: 100.0%]</w:t>
              <w:br/>
              <w:t xml:space="preserve">  └─ 100.0 分 [H1: 100.0%]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  <w:vMerge/>
          </w:tcPr>
          <w:p/>
        </w:tc>
        <w:tc>
          <w:tcPr>
            <w:tcW w:type="dxa" w:w="2160"/>
          </w:tcPr>
          <w:p>
            <w:r>
              <w:t>bolt_loose</w:t>
            </w:r>
          </w:p>
        </w:tc>
        <w:tc>
          <w:tcPr>
            <w:tcW w:type="dxa" w:w="2160"/>
          </w:tcPr>
          <w:p>
            <w:r>
              <w:t>100.0 分</w:t>
              <w:br/>
              <w:t>[H1: 100.0%]</w:t>
            </w:r>
          </w:p>
        </w:tc>
      </w:tr>
      <w:tr>
        <w:tc>
          <w:tcPr>
            <w:tcW w:type="dxa" w:w="2160"/>
          </w:tcPr>
          <w:p>
            <w:r>
              <w:t>钢丝绳</w:t>
            </w:r>
          </w:p>
        </w:tc>
        <w:tc>
          <w:tcPr>
            <w:tcW w:type="dxa" w:w="2160"/>
          </w:tcPr>
          <w:p>
            <w:r>
              <w:t>100.0 分</w:t>
              <w:br/>
              <w:t>[H1: 100.0%]</w:t>
            </w:r>
          </w:p>
        </w:tc>
        <w:tc>
          <w:tcPr>
            <w:tcW w:type="dxa" w:w="2160"/>
          </w:tcPr>
          <w:p>
            <w:r>
              <w:t>rms_baseline_ratio</w:t>
            </w:r>
          </w:p>
        </w:tc>
        <w:tc>
          <w:tcPr>
            <w:tcW w:type="dxa" w:w="2160"/>
          </w:tcPr>
          <w:p>
            <w:r>
              <w:t>100.0 分</w:t>
              <w:br/>
              <w:t>[H1: 100.0%]</w:t>
            </w:r>
          </w:p>
        </w:tc>
      </w:tr>
      <w:tr>
        <w:tc>
          <w:tcPr>
            <w:tcW w:type="dxa" w:w="2160"/>
          </w:tcPr>
          <w:p>
            <w:r>
              <w:t>导轨</w:t>
            </w:r>
          </w:p>
        </w:tc>
        <w:tc>
          <w:tcPr>
            <w:tcW w:type="dxa" w:w="2160"/>
          </w:tcPr>
          <w:p>
            <w:r>
              <w:t>94.81 分</w:t>
              <w:br/>
              <w:t>[H1: 100.0%]</w:t>
            </w:r>
          </w:p>
        </w:tc>
        <w:tc>
          <w:tcPr>
            <w:tcW w:type="dxa" w:w="2160"/>
          </w:tcPr>
          <w:p>
            <w:r>
              <w:t>wear_percent</w:t>
            </w:r>
          </w:p>
        </w:tc>
        <w:tc>
          <w:tcPr>
            <w:tcW w:type="dxa" w:w="2160"/>
          </w:tcPr>
          <w:p>
            <w:r>
              <w:t>94.81 分</w:t>
              <w:br/>
              <w:t>[H1: 100.0%]</w:t>
            </w:r>
          </w:p>
        </w:tc>
      </w:tr>
      <w:tr>
        <w:tc>
          <w:tcPr>
            <w:tcW w:type="dxa" w:w="2160"/>
          </w:tcPr>
          <w:p>
            <w:r>
              <w:t>轿厢</w:t>
            </w:r>
          </w:p>
        </w:tc>
        <w:tc>
          <w:tcPr>
            <w:tcW w:type="dxa" w:w="2160"/>
          </w:tcPr>
          <w:p>
            <w:r>
              <w:t>100.0 分</w:t>
              <w:br/>
              <w:t>[H1: 100.0%]</w:t>
            </w:r>
          </w:p>
        </w:tc>
        <w:tc>
          <w:tcPr>
            <w:tcW w:type="dxa" w:w="2160"/>
          </w:tcPr>
          <w:p>
            <w:r>
              <w:t>轿厢综合运行</w:t>
            </w:r>
          </w:p>
        </w:tc>
        <w:tc>
          <w:tcPr>
            <w:tcW w:type="dxa" w:w="2160"/>
          </w:tcPr>
          <w:p>
            <w:r>
              <w:t>100.0 分</w:t>
              <w:br/>
              <w:t>[H1: 100.0%]</w:t>
            </w:r>
          </w:p>
        </w:tc>
      </w:tr>
      <w:tr>
        <w:tc>
          <w:tcPr>
            <w:tcW w:type="dxa" w:w="2160"/>
            <w:vMerge w:val="restart"/>
          </w:tcPr>
          <w:p>
            <w:r>
              <w:t>环境与电气检测</w:t>
            </w:r>
          </w:p>
        </w:tc>
        <w:tc>
          <w:tcPr>
            <w:tcW w:type="dxa" w:w="2160"/>
            <w:vMerge w:val="restart"/>
          </w:tcPr>
          <w:p>
            <w:r>
              <w:t>熔断否决机制</w:t>
            </w:r>
          </w:p>
        </w:tc>
        <w:tc>
          <w:tcPr>
            <w:tcW w:type="dxa" w:w="2160"/>
          </w:tcPr>
          <w:p>
            <w:r>
              <w:t>temperature</w:t>
            </w:r>
          </w:p>
        </w:tc>
        <w:tc>
          <w:tcPr>
            <w:tcW w:type="dxa" w:w="2160"/>
          </w:tcPr>
          <w:p>
            <w:r>
              <w:t>87.5 分</w:t>
              <w:br/>
              <w:t>[H2: 100.0%]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  <w:vMerge/>
          </w:tcPr>
          <w:p/>
        </w:tc>
        <w:tc>
          <w:tcPr>
            <w:tcW w:type="dxa" w:w="2160"/>
          </w:tcPr>
          <w:p>
            <w:r>
              <w:t>water</w:t>
            </w:r>
          </w:p>
        </w:tc>
        <w:tc>
          <w:tcPr>
            <w:tcW w:type="dxa" w:w="2160"/>
          </w:tcPr>
          <w:p>
            <w:r>
              <w:t>100.0 分</w:t>
              <w:br/>
              <w:t>[H1: 100.0%]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  <w:vMerge/>
          </w:tcPr>
          <w:p/>
        </w:tc>
        <w:tc>
          <w:tcPr>
            <w:tcW w:type="dxa" w:w="2160"/>
          </w:tcPr>
          <w:p>
            <w:r>
              <w:t>motor_current</w:t>
            </w:r>
          </w:p>
        </w:tc>
        <w:tc>
          <w:tcPr>
            <w:tcW w:type="dxa" w:w="2160"/>
          </w:tcPr>
          <w:p>
            <w:r>
              <w:t>100.0 分</w:t>
              <w:br/>
              <w:t>[H1: 100.0%]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  <w:vMerge/>
          </w:tcPr>
          <w:p/>
        </w:tc>
        <w:tc>
          <w:tcPr>
            <w:tcW w:type="dxa" w:w="2160"/>
          </w:tcPr>
          <w:p>
            <w:r>
              <w:t>noise_ratio</w:t>
            </w:r>
          </w:p>
        </w:tc>
        <w:tc>
          <w:tcPr>
            <w:tcW w:type="dxa" w:w="2160"/>
          </w:tcPr>
          <w:p>
            <w:r>
              <w:t>100.0 分</w:t>
              <w:br/>
              <w:t>[H1: 100.0%]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  <w:vMerge/>
          </w:tcPr>
          <w:p/>
        </w:tc>
        <w:tc>
          <w:tcPr>
            <w:tcW w:type="dxa" w:w="2160"/>
          </w:tcPr>
          <w:p>
            <w:r>
              <w:t>displacement</w:t>
            </w:r>
          </w:p>
        </w:tc>
        <w:tc>
          <w:tcPr>
            <w:tcW w:type="dxa" w:w="2160"/>
          </w:tcPr>
          <w:p>
            <w:r>
              <w:t>100.0 分</w:t>
              <w:br/>
              <w:t>[H1: 100.0%]</w:t>
            </w:r>
          </w:p>
        </w:tc>
      </w:tr>
    </w:tbl>
    <w:p>
      <w:pPr>
        <w:pStyle w:val="Heading1"/>
      </w:pPr>
      <w:r>
        <w:rPr>
          <w:rFonts w:ascii="Times New Roman" w:hAnsi="Times New Roman" w:eastAsia="宋体"/>
          <w:b/>
          <w:sz w:val="28"/>
        </w:rPr>
        <w:t>二、 报警源定位信息</w:t>
      </w:r>
    </w:p>
    <w:p>
      <w:r>
        <w:t>本次报告聚焦于风险评估最严重的预警项。触发警报源于位置【机房/底坑】的【环境与电气】。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传感器编号</w:t>
            </w:r>
          </w:p>
        </w:tc>
        <w:tc>
          <w:tcPr>
            <w:tcW w:type="dxa" w:w="4320"/>
          </w:tcPr>
          <w:p>
            <w:r>
              <w:t>ENV_001 (环境探头)</w:t>
            </w:r>
          </w:p>
        </w:tc>
      </w:tr>
      <w:tr>
        <w:tc>
          <w:tcPr>
            <w:tcW w:type="dxa" w:w="4320"/>
          </w:tcPr>
          <w:p>
            <w:r>
              <w:t>采样率(Hz)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t>通道数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</w:tbl>
    <w:p>
      <w:pPr>
        <w:pStyle w:val="Heading1"/>
      </w:pPr>
      <w:r>
        <w:rPr>
          <w:rFonts w:ascii="Times New Roman" w:hAnsi="Times New Roman" w:eastAsia="宋体"/>
          <w:b/>
          <w:sz w:val="28"/>
        </w:rPr>
        <w:t>三、 深度诊断结论</w:t>
      </w:r>
    </w:p>
    <w:p>
      <w:r>
        <w:rPr>
          <w:rFonts w:ascii="Times New Roman" w:hAnsi="Times New Roman" w:eastAsia="宋体"/>
          <w:b/>
          <w:color w:val="FF0000"/>
          <w:sz w:val="28"/>
        </w:rPr>
        <w:t>判定结果：【环境与电气 - temperature】健康度存在风险</w:t>
      </w:r>
    </w:p>
    <w:p>
      <w:r>
        <w:t>经系统计算，该指标当前得分为 87.5 分，健康状态概率分布为：[H2: 100.0%]，为本次巡检中退化最严重的环节。</w:t>
      </w:r>
    </w:p>
    <w:p>
      <w:pPr>
        <w:pStyle w:val="Heading1"/>
      </w:pPr>
      <w:r>
        <w:rPr>
          <w:rFonts w:ascii="Times New Roman" w:hAnsi="Times New Roman" w:eastAsia="宋体"/>
          <w:b/>
          <w:sz w:val="28"/>
        </w:rPr>
        <w:t>四、 可视化分析验证</w:t>
      </w:r>
    </w:p>
    <w:p>
      <w:r>
        <w:rPr>
          <w:rFonts w:ascii="Times New Roman" w:hAnsi="Times New Roman" w:eastAsia="宋体"/>
          <w:color w:val="808080"/>
        </w:rPr>
        <w:t>当前报警项为环境状态，无需波形图验证。</w:t>
      </w:r>
    </w:p>
    <w:p>
      <w:pPr>
        <w:pStyle w:val="Heading1"/>
      </w:pPr>
      <w:r>
        <w:rPr>
          <w:rFonts w:ascii="Times New Roman" w:hAnsi="Times New Roman" w:eastAsia="宋体"/>
          <w:b/>
          <w:sz w:val="28"/>
        </w:rPr>
        <w:t>五、 专家多级定性建议</w:t>
      </w:r>
    </w:p>
    <w:p>
      <w:r>
        <w:t>暂无特定级别建议，请结合现场物理排查确认。</w:t>
      </w:r>
    </w:p>
    <w:p>
      <w:pPr>
        <w:pStyle w:val="Heading1"/>
      </w:pPr>
      <w:r>
        <w:rPr>
          <w:rFonts w:ascii="Times New Roman" w:hAnsi="Times New Roman" w:eastAsia="宋体"/>
          <w:b/>
          <w:sz w:val="28"/>
        </w:rPr>
        <w:t>六、 报告说明</w:t>
      </w:r>
    </w:p>
    <w:p>
      <w:pPr>
        <w:jc w:val="both"/>
      </w:pPr>
      <w:r>
        <w:rPr>
          <w:rFonts w:ascii="Times New Roman" w:hAnsi="Times New Roman" w:eastAsia="宋体"/>
          <w:color w:val="808080"/>
          <w:sz w:val="21"/>
        </w:rPr>
        <w:t>本报告由直梯状态智能化深度诊断系统（基于多源传感器数据与专家知识库）自动生成。诊断结论仅反映设备在对应采样时间窗口内的健康度分布，仅供维保计划制定参考，不作为最终法定强制停机或事故责任判定的唯一依据。具体修复方案请务必结合现场维保工程师的实地复核结果予以执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