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直梯运行状态智能化深度诊断报告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一、 直梯整体运行健康度</w:t>
      </w:r>
    </w:p>
    <w:p>
      <w:r>
        <w:rPr>
          <w:rFonts w:ascii="Times New Roman" w:hAnsi="Times New Roman" w:eastAsia="宋体"/>
          <w:b/>
        </w:rPr>
        <w:t xml:space="preserve">系统最终健康分: 86.41 分 | 整体状态评估: </w:t>
      </w:r>
      <w:r>
        <w:rPr>
          <w:rFonts w:ascii="Times New Roman" w:hAnsi="Times New Roman" w:eastAsia="宋体"/>
          <w:b/>
          <w:color w:val="009600"/>
        </w:rPr>
        <w:t>H2: 100.0%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大类/部件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综合诊断评估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检测子项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子项状态分布</w:t>
            </w:r>
          </w:p>
        </w:tc>
      </w:tr>
      <w:tr>
        <w:tc>
          <w:tcPr>
            <w:tcW w:type="dxa" w:w="2160"/>
            <w:vMerge w:val="restart"/>
          </w:tcPr>
          <w:p>
            <w:r>
              <w:t>曳引机</w:t>
            </w:r>
          </w:p>
        </w:tc>
        <w:tc>
          <w:tcPr>
            <w:tcW w:type="dxa" w:w="2160"/>
            <w:vMerge w:val="restart"/>
          </w:tcPr>
          <w:p>
            <w:r>
              <w:t>89.65 分</w:t>
              <w:br/>
              <w:t>[H2: 57.0%, H1: 43.0%]</w:t>
            </w:r>
          </w:p>
        </w:tc>
        <w:tc>
          <w:tcPr>
            <w:tcW w:type="dxa" w:w="2160"/>
          </w:tcPr>
          <w:p>
            <w:r>
              <w:t>motor_fault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bearing_fault</w:t>
              <w:br/>
              <w:t xml:space="preserve">  └─ bearing_inner</w:t>
              <w:br/>
              <w:t xml:space="preserve">  └─ bearing_outer</w:t>
              <w:br/>
              <w:t xml:space="preserve">  └─ bearing_cage</w:t>
              <w:br/>
              <w:t xml:space="preserve">  └─ bearing_ball</w:t>
            </w:r>
          </w:p>
        </w:tc>
        <w:tc>
          <w:tcPr>
            <w:tcW w:type="dxa" w:w="2160"/>
          </w:tcPr>
          <w:p>
            <w:r>
              <w:t>79.3 分</w:t>
              <w:br/>
              <w:t>[H2: 100.0%]</w:t>
              <w:br/>
              <w:t xml:space="preserve">  └─ 53.6 分 [H4: 100.0%]</w:t>
              <w:br/>
              <w:t xml:space="preserve">  └─ 100.0 分 [H1: 100.0%]</w:t>
              <w:br/>
              <w:t xml:space="preserve">  └─ 100.0 分 [H1: 100.0%]</w:t>
              <w:br/>
              <w:t xml:space="preserve">  └─ 100.0 分 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bolt_loose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钢丝绳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rms_baseline_ratio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导轨</w:t>
            </w:r>
          </w:p>
        </w:tc>
        <w:tc>
          <w:tcPr>
            <w:tcW w:type="dxa" w:w="2160"/>
          </w:tcPr>
          <w:p>
            <w:r>
              <w:t>94.71 分</w:t>
              <w:br/>
              <w:t>[H1: 100.0%]</w:t>
            </w:r>
          </w:p>
        </w:tc>
        <w:tc>
          <w:tcPr>
            <w:tcW w:type="dxa" w:w="2160"/>
          </w:tcPr>
          <w:p>
            <w:r>
              <w:t>wear_percent</w:t>
            </w:r>
          </w:p>
        </w:tc>
        <w:tc>
          <w:tcPr>
            <w:tcW w:type="dxa" w:w="2160"/>
          </w:tcPr>
          <w:p>
            <w:r>
              <w:t>94.71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轿厢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轿厢综合运行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 w:val="restart"/>
          </w:tcPr>
          <w:p>
            <w:r>
              <w:t>环境与电气检测</w:t>
            </w:r>
          </w:p>
        </w:tc>
        <w:tc>
          <w:tcPr>
            <w:tcW w:type="dxa" w:w="2160"/>
            <w:vMerge w:val="restart"/>
          </w:tcPr>
          <w:p>
            <w:r>
              <w:t>熔断否决机制</w:t>
            </w:r>
          </w:p>
        </w:tc>
        <w:tc>
          <w:tcPr>
            <w:tcW w:type="dxa" w:w="2160"/>
          </w:tcPr>
          <w:p>
            <w:r>
              <w:t>temperature</w:t>
            </w:r>
          </w:p>
        </w:tc>
        <w:tc>
          <w:tcPr>
            <w:tcW w:type="dxa" w:w="2160"/>
          </w:tcPr>
          <w:p>
            <w:r>
              <w:t>87.5 分</w:t>
              <w:br/>
              <w:t>[H2: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water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motor_current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noise_ratio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displacement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二、 报警源定位信息</w:t>
      </w:r>
    </w:p>
    <w:p>
      <w:r>
        <w:t>本次报告聚焦于风险评估最严重的预警项。触发警报源于位置【中科院西侧】的【曳引机】。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传感器编号</w:t>
            </w:r>
          </w:p>
        </w:tc>
        <w:tc>
          <w:tcPr>
            <w:tcW w:type="dxa" w:w="4320"/>
          </w:tcPr>
          <w:p>
            <w:r>
              <w:t>81025</w:t>
            </w:r>
          </w:p>
        </w:tc>
      </w:tr>
      <w:tr>
        <w:tc>
          <w:tcPr>
            <w:tcW w:type="dxa" w:w="4320"/>
          </w:tcPr>
          <w:p>
            <w:r>
              <w:t>采样率(Hz)</w:t>
            </w:r>
          </w:p>
        </w:tc>
        <w:tc>
          <w:tcPr>
            <w:tcW w:type="dxa" w:w="4320"/>
          </w:tcPr>
          <w:p>
            <w:r>
              <w:t>10000.0</w:t>
            </w:r>
          </w:p>
        </w:tc>
      </w:tr>
      <w:tr>
        <w:tc>
          <w:tcPr>
            <w:tcW w:type="dxa" w:w="4320"/>
          </w:tcPr>
          <w:p>
            <w:r>
              <w:t>通道数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三、 深度诊断结论</w:t>
      </w:r>
    </w:p>
    <w:p>
      <w:r>
        <w:rPr>
          <w:rFonts w:ascii="Times New Roman" w:hAnsi="Times New Roman" w:eastAsia="宋体"/>
          <w:b/>
          <w:color w:val="FF0000"/>
          <w:sz w:val="28"/>
        </w:rPr>
        <w:t>判定结果：【曳引机 - bearing_fault】健康度存在风险</w:t>
      </w:r>
    </w:p>
    <w:p>
      <w:r>
        <w:t>经系统计算，该指标当前得分为 79.3 分，健康状态概率分布为：[H2: 100.0%]，为本次巡检中退化最严重的环节。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四、 可视化分析验证</w:t>
      </w:r>
    </w:p>
    <w:p>
      <w:r>
        <w:drawing>
          <wp:inline xmlns:a="http://schemas.openxmlformats.org/drawingml/2006/main" xmlns:pic="http://schemas.openxmlformats.org/drawingml/2006/picture">
            <wp:extent cx="5486400" cy="4604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do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图1：原始信号时域波形</w:t>
      </w:r>
    </w:p>
    <w:p>
      <w:r>
        <w:drawing>
          <wp:inline xmlns:a="http://schemas.openxmlformats.org/drawingml/2006/main" xmlns:pic="http://schemas.openxmlformats.org/drawingml/2006/picture">
            <wp:extent cx="5486400" cy="4604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tr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图2：原始信号频谱图 (标注特征谐波)</w:t>
      </w:r>
    </w:p>
    <w:p>
      <w:r>
        <w:drawing>
          <wp:inline xmlns:a="http://schemas.openxmlformats.org/drawingml/2006/main" xmlns:pic="http://schemas.openxmlformats.org/drawingml/2006/picture">
            <wp:extent cx="5486400" cy="4604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图3：包络解调谱 (识别特定频段缺陷)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五、 专家多级定性建议</w:t>
      </w:r>
    </w:p>
    <w:p>
      <w:r>
        <w:t>【轻度】高频区出现微弱底噪增加，建议补充润滑脂。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六、 报告说明</w:t>
      </w:r>
    </w:p>
    <w:p>
      <w:pPr>
        <w:jc w:val="both"/>
      </w:pPr>
      <w:r>
        <w:rPr>
          <w:rFonts w:ascii="Times New Roman" w:hAnsi="Times New Roman" w:eastAsia="宋体"/>
          <w:color w:val="808080"/>
          <w:sz w:val="21"/>
        </w:rPr>
        <w:t>本报告由直梯状态智能化深度诊断系统（基于多源传感器数据与专家知识库）自动生成。诊断结论仅反映设备在对应采样时间窗口内的健康度分布，仅供维保计划制定参考，不作为最终法定强制停机或事故责任判定的唯一依据。具体修复方案请务必结合现场维保工程师的实地复核结果予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