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7A1B" w14:textId="37EB893E" w:rsidR="00894763" w:rsidRPr="00F240A6" w:rsidRDefault="00894763" w:rsidP="00894763">
      <w:pPr>
        <w:keepNext/>
        <w:spacing w:line="300" w:lineRule="auto"/>
        <w:jc w:val="center"/>
        <w:rPr>
          <w:rFonts w:ascii="Times New Roman" w:hAnsi="Times New Roman" w:cs="Times New Roman"/>
          <w:b/>
          <w:sz w:val="24"/>
        </w:rPr>
      </w:pPr>
      <w:bookmarkStart w:id="0" w:name="OLE_LINK2"/>
      <w:r w:rsidRPr="00F240A6">
        <w:rPr>
          <w:rFonts w:ascii="Times New Roman" w:hAnsi="Times New Roman" w:cs="Times New Roman"/>
          <w:b/>
          <w:sz w:val="24"/>
        </w:rPr>
        <w:t xml:space="preserve">Sensitivity </w:t>
      </w:r>
      <w:r>
        <w:rPr>
          <w:rFonts w:ascii="Times New Roman" w:hAnsi="Times New Roman" w:cs="Times New Roman" w:hint="eastAsia"/>
          <w:b/>
          <w:sz w:val="24"/>
        </w:rPr>
        <w:t>a</w:t>
      </w:r>
      <w:r w:rsidRPr="00F240A6">
        <w:rPr>
          <w:rFonts w:ascii="Times New Roman" w:hAnsi="Times New Roman" w:cs="Times New Roman"/>
          <w:b/>
          <w:sz w:val="24"/>
        </w:rPr>
        <w:t>nalysis of parameters</w:t>
      </w:r>
    </w:p>
    <w:p w14:paraId="21442D89" w14:textId="77777777" w:rsidR="00894763" w:rsidRPr="00421098" w:rsidRDefault="00894763" w:rsidP="00894763">
      <w:pPr>
        <w:spacing w:line="300" w:lineRule="auto"/>
        <w:ind w:firstLineChars="200" w:firstLine="480"/>
        <w:rPr>
          <w:sz w:val="24"/>
        </w:rPr>
      </w:pPr>
      <w:r w:rsidRPr="00421098">
        <w:rPr>
          <w:rFonts w:ascii="Times New Roman" w:hAnsi="Times New Roman" w:cs="Times New Roman"/>
          <w:sz w:val="24"/>
        </w:rPr>
        <w:t>The evaluation</w:t>
      </w:r>
      <w:r>
        <w:rPr>
          <w:rFonts w:ascii="Times New Roman" w:hAnsi="Times New Roman" w:cs="Times New Roman"/>
          <w:sz w:val="24"/>
        </w:rPr>
        <w:t xml:space="preserve"> is </w:t>
      </w:r>
      <w:r w:rsidRPr="00421098">
        <w:rPr>
          <w:rFonts w:ascii="Times New Roman" w:hAnsi="Times New Roman" w:cs="Times New Roman"/>
          <w:sz w:val="24"/>
        </w:rPr>
        <w:t>conducted on the Street06 and Street08 in the public M2DGR dataset.</w:t>
      </w:r>
    </w:p>
    <w:p w14:paraId="4F939E6F" w14:textId="77777777" w:rsidR="00894763" w:rsidRPr="00421098" w:rsidRDefault="00894763" w:rsidP="00894763">
      <w:pPr>
        <w:spacing w:line="300" w:lineRule="auto"/>
        <w:rPr>
          <w:rFonts w:ascii="Times New Roman" w:hAnsi="Times New Roman" w:cs="Times New Roman"/>
          <w:b/>
          <w:sz w:val="24"/>
        </w:rPr>
      </w:pPr>
      <w:r w:rsidRPr="00421098">
        <w:rPr>
          <w:rFonts w:ascii="Times New Roman" w:hAnsi="Times New Roman" w:cs="Times New Roman" w:hint="eastAsia"/>
          <w:b/>
          <w:sz w:val="24"/>
        </w:rPr>
        <w:t xml:space="preserve">(1) </w:t>
      </w:r>
      <w:r w:rsidRPr="00421098">
        <w:rPr>
          <w:rFonts w:ascii="Times New Roman" w:hAnsi="Times New Roman" w:cs="Times New Roman"/>
          <w:b/>
          <w:sz w:val="24"/>
        </w:rPr>
        <w:t xml:space="preserve">Sensitivity </w:t>
      </w:r>
      <w:r>
        <w:rPr>
          <w:rFonts w:ascii="Times New Roman" w:hAnsi="Times New Roman" w:cs="Times New Roman" w:hint="eastAsia"/>
          <w:b/>
          <w:sz w:val="24"/>
        </w:rPr>
        <w:t>a</w:t>
      </w:r>
      <w:r w:rsidRPr="00421098">
        <w:rPr>
          <w:rFonts w:ascii="Times New Roman" w:hAnsi="Times New Roman" w:cs="Times New Roman"/>
          <w:b/>
          <w:sz w:val="24"/>
        </w:rPr>
        <w:t xml:space="preserve">nalysis of </w:t>
      </w:r>
      <w:r w:rsidRPr="00421098">
        <w:rPr>
          <w:rFonts w:ascii="Times New Roman" w:hAnsi="Times New Roman" w:cs="Times New Roman"/>
          <w:b/>
          <w:i/>
          <w:iCs/>
          <w:sz w:val="24"/>
        </w:rPr>
        <w:t>t</w:t>
      </w:r>
    </w:p>
    <w:p w14:paraId="6D31F4F8" w14:textId="77777777" w:rsidR="00894763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28751B">
        <w:rPr>
          <w:rFonts w:ascii="Times New Roman" w:hAnsi="Times New Roman" w:cs="Times New Roman"/>
          <w:i/>
          <w:iCs/>
          <w:sz w:val="24"/>
        </w:rPr>
        <w:t>t</w:t>
      </w:r>
      <w:r w:rsidRPr="0028751B">
        <w:rPr>
          <w:rFonts w:ascii="Times New Roman" w:hAnsi="Times New Roman" w:cs="Times New Roman"/>
          <w:sz w:val="24"/>
        </w:rPr>
        <w:t xml:space="preserve"> was varied within {0.45, 0.50, 0.55, 0.60, 0.65, 0.70, 0.75} while all other parameters were fixed at their default values.</w:t>
      </w:r>
    </w:p>
    <w:p w14:paraId="308FB678" w14:textId="77777777" w:rsidR="00894763" w:rsidRPr="00375E42" w:rsidRDefault="00894763" w:rsidP="00894763">
      <w:pPr>
        <w:spacing w:line="300" w:lineRule="auto"/>
        <w:jc w:val="center"/>
        <w:rPr>
          <w:rFonts w:ascii="Times New Roman" w:hAnsi="Times New Roman" w:cs="Times New Roman"/>
          <w:bCs/>
          <w:sz w:val="24"/>
        </w:rPr>
      </w:pPr>
      <w:r w:rsidRPr="00375E42">
        <w:rPr>
          <w:rFonts w:ascii="Times New Roman" w:hAnsi="Times New Roman" w:cs="Times New Roman"/>
          <w:bCs/>
          <w:sz w:val="24"/>
        </w:rPr>
        <w:t>Tab</w:t>
      </w:r>
      <w:r>
        <w:rPr>
          <w:rFonts w:ascii="Times New Roman" w:hAnsi="Times New Roman" w:cs="Times New Roman" w:hint="eastAsia"/>
          <w:bCs/>
          <w:sz w:val="24"/>
        </w:rPr>
        <w:t>.</w:t>
      </w:r>
      <w:r w:rsidRPr="00375E42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Cs/>
          <w:sz w:val="24"/>
        </w:rPr>
        <w:t>2</w:t>
      </w:r>
      <w:r w:rsidRPr="00375E42">
        <w:rPr>
          <w:rFonts w:ascii="Times New Roman" w:hAnsi="Times New Roman" w:cs="Times New Roman"/>
          <w:bCs/>
          <w:sz w:val="24"/>
        </w:rPr>
        <w:t xml:space="preserve"> Metrics for </w:t>
      </w:r>
      <w:r w:rsidRPr="00A41699">
        <w:rPr>
          <w:rFonts w:ascii="Times New Roman" w:hAnsi="Times New Roman" w:cs="Times New Roman"/>
          <w:bCs/>
          <w:i/>
          <w:iCs/>
          <w:sz w:val="24"/>
        </w:rPr>
        <w:t>t</w:t>
      </w:r>
      <w:r w:rsidRPr="00375E42">
        <w:rPr>
          <w:rFonts w:ascii="Times New Roman" w:hAnsi="Times New Roman" w:cs="Times New Roman"/>
          <w:bCs/>
          <w:sz w:val="24"/>
        </w:rPr>
        <w:t xml:space="preserve"> sensitivity analysis on the Street06 sequence.</w:t>
      </w: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6"/>
        <w:gridCol w:w="2077"/>
        <w:gridCol w:w="2077"/>
      </w:tblGrid>
      <w:tr w:rsidR="00894763" w:rsidRPr="00421098" w14:paraId="78BD179B" w14:textId="77777777" w:rsidTr="00A20A42">
        <w:trPr>
          <w:jc w:val="center"/>
        </w:trPr>
        <w:tc>
          <w:tcPr>
            <w:tcW w:w="20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457F47C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t</w:t>
            </w:r>
          </w:p>
        </w:tc>
        <w:tc>
          <w:tcPr>
            <w:tcW w:w="207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D4AF93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RMSE</w:t>
            </w: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(m)</w:t>
            </w:r>
          </w:p>
        </w:tc>
        <w:tc>
          <w:tcPr>
            <w:tcW w:w="207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0466C8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Δ</w:t>
            </w:r>
          </w:p>
        </w:tc>
      </w:tr>
      <w:tr w:rsidR="00894763" w:rsidRPr="00421098" w14:paraId="30E84554" w14:textId="77777777" w:rsidTr="00A20A42">
        <w:trPr>
          <w:jc w:val="center"/>
        </w:trPr>
        <w:tc>
          <w:tcPr>
            <w:tcW w:w="2076" w:type="dxa"/>
            <w:tcBorders>
              <w:top w:val="single" w:sz="4" w:space="0" w:color="auto"/>
            </w:tcBorders>
            <w:vAlign w:val="center"/>
          </w:tcPr>
          <w:p w14:paraId="093F7C7D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14:paraId="63977F8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14:paraId="4604601E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+7.1%</w:t>
            </w:r>
          </w:p>
        </w:tc>
      </w:tr>
      <w:tr w:rsidR="00894763" w:rsidRPr="00421098" w14:paraId="046C01FE" w14:textId="77777777" w:rsidTr="00A20A42">
        <w:trPr>
          <w:jc w:val="center"/>
        </w:trPr>
        <w:tc>
          <w:tcPr>
            <w:tcW w:w="2076" w:type="dxa"/>
            <w:vAlign w:val="center"/>
          </w:tcPr>
          <w:p w14:paraId="59B8669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2077" w:type="dxa"/>
            <w:vAlign w:val="center"/>
          </w:tcPr>
          <w:p w14:paraId="12451FE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</w:tc>
        <w:tc>
          <w:tcPr>
            <w:tcW w:w="2077" w:type="dxa"/>
            <w:vAlign w:val="center"/>
          </w:tcPr>
          <w:p w14:paraId="00E5A15C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+2.4%</w:t>
            </w:r>
          </w:p>
        </w:tc>
      </w:tr>
      <w:tr w:rsidR="00894763" w:rsidRPr="00421098" w14:paraId="51F6B708" w14:textId="77777777" w:rsidTr="00A20A42">
        <w:trPr>
          <w:jc w:val="center"/>
        </w:trPr>
        <w:tc>
          <w:tcPr>
            <w:tcW w:w="2076" w:type="dxa"/>
            <w:vAlign w:val="center"/>
          </w:tcPr>
          <w:p w14:paraId="3E95304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2077" w:type="dxa"/>
            <w:vAlign w:val="center"/>
          </w:tcPr>
          <w:p w14:paraId="7C69482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0.42</w:t>
            </w:r>
          </w:p>
        </w:tc>
        <w:tc>
          <w:tcPr>
            <w:tcW w:w="2077" w:type="dxa"/>
            <w:vAlign w:val="center"/>
          </w:tcPr>
          <w:p w14:paraId="6E01B12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+0.0%</w:t>
            </w:r>
          </w:p>
        </w:tc>
      </w:tr>
      <w:tr w:rsidR="00894763" w:rsidRPr="00421098" w14:paraId="2F61DB4A" w14:textId="77777777" w:rsidTr="00A20A42">
        <w:trPr>
          <w:jc w:val="center"/>
        </w:trPr>
        <w:tc>
          <w:tcPr>
            <w:tcW w:w="2076" w:type="dxa"/>
            <w:vAlign w:val="center"/>
          </w:tcPr>
          <w:p w14:paraId="00D883D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0.60</w:t>
            </w:r>
          </w:p>
        </w:tc>
        <w:tc>
          <w:tcPr>
            <w:tcW w:w="2077" w:type="dxa"/>
            <w:vAlign w:val="center"/>
          </w:tcPr>
          <w:p w14:paraId="0D4702C9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0.42</w:t>
            </w:r>
          </w:p>
        </w:tc>
        <w:tc>
          <w:tcPr>
            <w:tcW w:w="2077" w:type="dxa"/>
            <w:vAlign w:val="center"/>
          </w:tcPr>
          <w:p w14:paraId="7842A28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—</w:t>
            </w:r>
          </w:p>
        </w:tc>
      </w:tr>
      <w:tr w:rsidR="00894763" w:rsidRPr="00421098" w14:paraId="2FFF6C51" w14:textId="77777777" w:rsidTr="00A20A42">
        <w:trPr>
          <w:jc w:val="center"/>
        </w:trPr>
        <w:tc>
          <w:tcPr>
            <w:tcW w:w="2076" w:type="dxa"/>
            <w:vAlign w:val="center"/>
          </w:tcPr>
          <w:p w14:paraId="582677A1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2077" w:type="dxa"/>
            <w:vAlign w:val="center"/>
          </w:tcPr>
          <w:p w14:paraId="56C83BD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0.44</w:t>
            </w:r>
          </w:p>
        </w:tc>
        <w:tc>
          <w:tcPr>
            <w:tcW w:w="2077" w:type="dxa"/>
            <w:vAlign w:val="center"/>
          </w:tcPr>
          <w:p w14:paraId="5AACBDEF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+4.8%</w:t>
            </w:r>
          </w:p>
        </w:tc>
      </w:tr>
      <w:tr w:rsidR="00894763" w:rsidRPr="00421098" w14:paraId="496B8AB4" w14:textId="77777777" w:rsidTr="00A20A42">
        <w:trPr>
          <w:jc w:val="center"/>
        </w:trPr>
        <w:tc>
          <w:tcPr>
            <w:tcW w:w="2076" w:type="dxa"/>
            <w:vAlign w:val="center"/>
          </w:tcPr>
          <w:p w14:paraId="74EB27E1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2077" w:type="dxa"/>
            <w:vAlign w:val="center"/>
          </w:tcPr>
          <w:p w14:paraId="7C65D56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2077" w:type="dxa"/>
            <w:vAlign w:val="center"/>
          </w:tcPr>
          <w:p w14:paraId="69B7C0C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+19.0%</w:t>
            </w:r>
          </w:p>
        </w:tc>
      </w:tr>
      <w:tr w:rsidR="00894763" w:rsidRPr="00421098" w14:paraId="1F208302" w14:textId="77777777" w:rsidTr="00A20A42">
        <w:trPr>
          <w:jc w:val="center"/>
        </w:trPr>
        <w:tc>
          <w:tcPr>
            <w:tcW w:w="2076" w:type="dxa"/>
            <w:tcBorders>
              <w:bottom w:val="single" w:sz="12" w:space="0" w:color="auto"/>
            </w:tcBorders>
            <w:vAlign w:val="center"/>
          </w:tcPr>
          <w:p w14:paraId="3DB4F14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2077" w:type="dxa"/>
            <w:tcBorders>
              <w:bottom w:val="single" w:sz="12" w:space="0" w:color="auto"/>
            </w:tcBorders>
            <w:vAlign w:val="center"/>
          </w:tcPr>
          <w:p w14:paraId="619850F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0.57</w:t>
            </w:r>
          </w:p>
        </w:tc>
        <w:tc>
          <w:tcPr>
            <w:tcW w:w="2077" w:type="dxa"/>
            <w:tcBorders>
              <w:bottom w:val="single" w:sz="12" w:space="0" w:color="auto"/>
            </w:tcBorders>
            <w:vAlign w:val="center"/>
          </w:tcPr>
          <w:p w14:paraId="2B66BAFF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+35.7%</w:t>
            </w:r>
          </w:p>
        </w:tc>
      </w:tr>
    </w:tbl>
    <w:p w14:paraId="3D4EAA4F" w14:textId="77777777" w:rsidR="00894763" w:rsidRPr="00375E42" w:rsidRDefault="00894763" w:rsidP="00894763">
      <w:pPr>
        <w:spacing w:line="300" w:lineRule="auto"/>
        <w:jc w:val="center"/>
        <w:rPr>
          <w:rFonts w:ascii="Times New Roman" w:hAnsi="Times New Roman" w:cs="Times New Roman"/>
          <w:bCs/>
          <w:sz w:val="24"/>
        </w:rPr>
      </w:pPr>
      <w:r w:rsidRPr="00375E42">
        <w:rPr>
          <w:rFonts w:ascii="Times New Roman" w:hAnsi="Times New Roman" w:cs="Times New Roman"/>
          <w:bCs/>
          <w:sz w:val="24"/>
        </w:rPr>
        <w:t>Tab</w:t>
      </w:r>
      <w:r>
        <w:rPr>
          <w:rFonts w:ascii="Times New Roman" w:hAnsi="Times New Roman" w:cs="Times New Roman" w:hint="eastAsia"/>
          <w:bCs/>
          <w:sz w:val="24"/>
        </w:rPr>
        <w:t>.3</w:t>
      </w:r>
      <w:r w:rsidRPr="00375E42">
        <w:rPr>
          <w:rFonts w:ascii="Times New Roman" w:hAnsi="Times New Roman" w:cs="Times New Roman"/>
          <w:bCs/>
          <w:sz w:val="24"/>
        </w:rPr>
        <w:t xml:space="preserve"> Metrics for </w:t>
      </w:r>
      <w:r w:rsidRPr="00A41699">
        <w:rPr>
          <w:rFonts w:ascii="Times New Roman" w:hAnsi="Times New Roman" w:cs="Times New Roman"/>
          <w:bCs/>
          <w:i/>
          <w:iCs/>
          <w:sz w:val="24"/>
        </w:rPr>
        <w:t>t</w:t>
      </w:r>
      <w:r w:rsidRPr="00375E42">
        <w:rPr>
          <w:rFonts w:ascii="Times New Roman" w:hAnsi="Times New Roman" w:cs="Times New Roman"/>
          <w:bCs/>
          <w:sz w:val="24"/>
        </w:rPr>
        <w:t xml:space="preserve"> sensitivity analysis on the Street08 sequence.</w:t>
      </w: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4"/>
        <w:gridCol w:w="2074"/>
      </w:tblGrid>
      <w:tr w:rsidR="00894763" w:rsidRPr="00421098" w14:paraId="470A333F" w14:textId="77777777" w:rsidTr="00A20A42">
        <w:trPr>
          <w:jc w:val="center"/>
        </w:trPr>
        <w:tc>
          <w:tcPr>
            <w:tcW w:w="207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DE8769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t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A1A22D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RMSE</w:t>
            </w: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(m)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7B6B35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Δ</w:t>
            </w:r>
          </w:p>
        </w:tc>
      </w:tr>
      <w:tr w:rsidR="00894763" w:rsidRPr="00421098" w14:paraId="6DA8A292" w14:textId="77777777" w:rsidTr="00A20A42">
        <w:trPr>
          <w:jc w:val="center"/>
        </w:trPr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D5CC549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2074" w:type="dxa"/>
            <w:tcBorders>
              <w:top w:val="single" w:sz="4" w:space="0" w:color="auto"/>
            </w:tcBorders>
            <w:vAlign w:val="center"/>
          </w:tcPr>
          <w:p w14:paraId="1B0973B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0.49</w:t>
            </w:r>
          </w:p>
        </w:tc>
        <w:tc>
          <w:tcPr>
            <w:tcW w:w="2074" w:type="dxa"/>
            <w:tcBorders>
              <w:top w:val="single" w:sz="4" w:space="0" w:color="auto"/>
            </w:tcBorders>
            <w:vAlign w:val="center"/>
          </w:tcPr>
          <w:p w14:paraId="54A8E01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+6.5%</w:t>
            </w:r>
          </w:p>
        </w:tc>
      </w:tr>
      <w:tr w:rsidR="00894763" w:rsidRPr="00421098" w14:paraId="6064F030" w14:textId="77777777" w:rsidTr="00A20A42">
        <w:trPr>
          <w:jc w:val="center"/>
        </w:trPr>
        <w:tc>
          <w:tcPr>
            <w:tcW w:w="2075" w:type="dxa"/>
            <w:vAlign w:val="center"/>
          </w:tcPr>
          <w:p w14:paraId="7971B64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2074" w:type="dxa"/>
            <w:vAlign w:val="center"/>
          </w:tcPr>
          <w:p w14:paraId="1A6B53CF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0.47</w:t>
            </w:r>
          </w:p>
        </w:tc>
        <w:tc>
          <w:tcPr>
            <w:tcW w:w="2074" w:type="dxa"/>
            <w:vAlign w:val="center"/>
          </w:tcPr>
          <w:p w14:paraId="227AE9B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+2.2%</w:t>
            </w:r>
          </w:p>
        </w:tc>
      </w:tr>
      <w:tr w:rsidR="00894763" w:rsidRPr="00421098" w14:paraId="5F7D19A0" w14:textId="77777777" w:rsidTr="00A20A42">
        <w:trPr>
          <w:jc w:val="center"/>
        </w:trPr>
        <w:tc>
          <w:tcPr>
            <w:tcW w:w="2075" w:type="dxa"/>
            <w:vAlign w:val="center"/>
          </w:tcPr>
          <w:p w14:paraId="1B5F520F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2074" w:type="dxa"/>
            <w:vAlign w:val="center"/>
          </w:tcPr>
          <w:p w14:paraId="32DBBD2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0.46</w:t>
            </w:r>
          </w:p>
        </w:tc>
        <w:tc>
          <w:tcPr>
            <w:tcW w:w="2074" w:type="dxa"/>
            <w:vAlign w:val="center"/>
          </w:tcPr>
          <w:p w14:paraId="32F4416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+0.0%</w:t>
            </w:r>
          </w:p>
        </w:tc>
      </w:tr>
      <w:tr w:rsidR="00894763" w:rsidRPr="00421098" w14:paraId="21284BEE" w14:textId="77777777" w:rsidTr="00A20A42">
        <w:trPr>
          <w:jc w:val="center"/>
        </w:trPr>
        <w:tc>
          <w:tcPr>
            <w:tcW w:w="2075" w:type="dxa"/>
            <w:vAlign w:val="center"/>
          </w:tcPr>
          <w:p w14:paraId="5D4D04D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0.60</w:t>
            </w:r>
          </w:p>
        </w:tc>
        <w:tc>
          <w:tcPr>
            <w:tcW w:w="2074" w:type="dxa"/>
            <w:vAlign w:val="center"/>
          </w:tcPr>
          <w:p w14:paraId="6EBF6D4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0.46</w:t>
            </w:r>
          </w:p>
        </w:tc>
        <w:tc>
          <w:tcPr>
            <w:tcW w:w="2074" w:type="dxa"/>
            <w:vAlign w:val="center"/>
          </w:tcPr>
          <w:p w14:paraId="40D0B12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—</w:t>
            </w:r>
          </w:p>
        </w:tc>
      </w:tr>
      <w:tr w:rsidR="00894763" w:rsidRPr="00421098" w14:paraId="610BA16E" w14:textId="77777777" w:rsidTr="00A20A42">
        <w:trPr>
          <w:jc w:val="center"/>
        </w:trPr>
        <w:tc>
          <w:tcPr>
            <w:tcW w:w="2075" w:type="dxa"/>
            <w:vAlign w:val="center"/>
          </w:tcPr>
          <w:p w14:paraId="21F5B67D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2074" w:type="dxa"/>
            <w:vAlign w:val="center"/>
          </w:tcPr>
          <w:p w14:paraId="6A66A8C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0.48</w:t>
            </w:r>
          </w:p>
        </w:tc>
        <w:tc>
          <w:tcPr>
            <w:tcW w:w="2074" w:type="dxa"/>
            <w:vAlign w:val="center"/>
          </w:tcPr>
          <w:p w14:paraId="7F65020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+4.3%</w:t>
            </w:r>
          </w:p>
        </w:tc>
      </w:tr>
      <w:tr w:rsidR="00894763" w:rsidRPr="00421098" w14:paraId="55B1C413" w14:textId="77777777" w:rsidTr="00A20A42">
        <w:trPr>
          <w:jc w:val="center"/>
        </w:trPr>
        <w:tc>
          <w:tcPr>
            <w:tcW w:w="2075" w:type="dxa"/>
            <w:vAlign w:val="center"/>
          </w:tcPr>
          <w:p w14:paraId="163CDF8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2074" w:type="dxa"/>
            <w:vAlign w:val="center"/>
          </w:tcPr>
          <w:p w14:paraId="38587E29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0.54</w:t>
            </w:r>
          </w:p>
        </w:tc>
        <w:tc>
          <w:tcPr>
            <w:tcW w:w="2074" w:type="dxa"/>
            <w:vAlign w:val="center"/>
          </w:tcPr>
          <w:p w14:paraId="35ECBA3F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+17.4%</w:t>
            </w:r>
          </w:p>
        </w:tc>
      </w:tr>
      <w:tr w:rsidR="00894763" w:rsidRPr="00421098" w14:paraId="05E39027" w14:textId="77777777" w:rsidTr="00A20A42">
        <w:trPr>
          <w:jc w:val="center"/>
        </w:trPr>
        <w:tc>
          <w:tcPr>
            <w:tcW w:w="2075" w:type="dxa"/>
            <w:tcBorders>
              <w:bottom w:val="single" w:sz="12" w:space="0" w:color="auto"/>
            </w:tcBorders>
            <w:vAlign w:val="center"/>
          </w:tcPr>
          <w:p w14:paraId="1FBBE7C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2074" w:type="dxa"/>
            <w:tcBorders>
              <w:bottom w:val="single" w:sz="12" w:space="0" w:color="auto"/>
            </w:tcBorders>
            <w:vAlign w:val="center"/>
          </w:tcPr>
          <w:p w14:paraId="06B816E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0.61</w:t>
            </w:r>
          </w:p>
        </w:tc>
        <w:tc>
          <w:tcPr>
            <w:tcW w:w="2074" w:type="dxa"/>
            <w:tcBorders>
              <w:bottom w:val="single" w:sz="12" w:space="0" w:color="auto"/>
            </w:tcBorders>
            <w:vAlign w:val="center"/>
          </w:tcPr>
          <w:p w14:paraId="5F52C88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+32.6%</w:t>
            </w:r>
          </w:p>
        </w:tc>
      </w:tr>
    </w:tbl>
    <w:p w14:paraId="061DE8FC" w14:textId="77777777" w:rsidR="00894763" w:rsidRPr="00421098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421098">
        <w:rPr>
          <w:rFonts w:ascii="Times New Roman" w:hAnsi="Times New Roman" w:cs="Times New Roman"/>
          <w:sz w:val="24"/>
        </w:rPr>
        <w:t xml:space="preserve">When </w:t>
      </w:r>
      <w:r w:rsidRPr="00421098">
        <w:rPr>
          <w:rFonts w:ascii="Times New Roman" w:hAnsi="Times New Roman" w:cs="Times New Roman"/>
          <w:i/>
          <w:iCs/>
          <w:sz w:val="24"/>
        </w:rPr>
        <w:t>t</w:t>
      </w:r>
      <w:r w:rsidRPr="00421098">
        <w:rPr>
          <w:rFonts w:ascii="Times New Roman" w:hAnsi="Times New Roman" w:cs="Times New Roman"/>
          <w:sz w:val="24"/>
        </w:rPr>
        <w:t xml:space="preserve"> &lt; 0.60, the relaxed truncation allows a higher density ratio to enter the Sigmoid, causing α to increase. Even under moderate field</w:t>
      </w:r>
      <w:r w:rsidRPr="00421098">
        <w:rPr>
          <w:rFonts w:ascii="Times New Roman" w:hAnsi="Times New Roman" w:cs="Times New Roman" w:hint="eastAsia"/>
          <w:sz w:val="24"/>
        </w:rPr>
        <w:t xml:space="preserve"> </w:t>
      </w:r>
      <w:r w:rsidRPr="00421098">
        <w:rPr>
          <w:rFonts w:ascii="Times New Roman" w:hAnsi="Times New Roman" w:cs="Times New Roman"/>
          <w:sz w:val="24"/>
        </w:rPr>
        <w:t>of</w:t>
      </w:r>
      <w:r w:rsidRPr="00421098">
        <w:rPr>
          <w:rFonts w:ascii="Times New Roman" w:hAnsi="Times New Roman" w:cs="Times New Roman" w:hint="eastAsia"/>
          <w:sz w:val="24"/>
        </w:rPr>
        <w:t xml:space="preserve"> </w:t>
      </w:r>
      <w:r w:rsidRPr="00421098">
        <w:rPr>
          <w:rFonts w:ascii="Times New Roman" w:hAnsi="Times New Roman" w:cs="Times New Roman"/>
          <w:sz w:val="24"/>
        </w:rPr>
        <w:t xml:space="preserve">view conditions, the system still overreacts due to more refined </w:t>
      </w:r>
      <w:proofErr w:type="spellStart"/>
      <w:r w:rsidRPr="00421098">
        <w:rPr>
          <w:rFonts w:ascii="Times New Roman" w:hAnsi="Times New Roman" w:cs="Times New Roman"/>
          <w:sz w:val="24"/>
        </w:rPr>
        <w:t>downsampling</w:t>
      </w:r>
      <w:proofErr w:type="spellEnd"/>
      <w:r w:rsidRPr="00421098">
        <w:rPr>
          <w:rFonts w:ascii="Times New Roman" w:hAnsi="Times New Roman" w:cs="Times New Roman"/>
          <w:sz w:val="24"/>
        </w:rPr>
        <w:t xml:space="preserve"> and more iterations, resulting in </w:t>
      </w:r>
      <w:r w:rsidRPr="003B0B5E">
        <w:rPr>
          <w:rFonts w:ascii="Times New Roman" w:hAnsi="Times New Roman" w:cs="Times New Roman"/>
          <w:bCs/>
          <w:sz w:val="24"/>
        </w:rPr>
        <w:t>unnecessary</w:t>
      </w:r>
      <w:r w:rsidRPr="00421098">
        <w:rPr>
          <w:rFonts w:ascii="Times New Roman" w:hAnsi="Times New Roman" w:cs="Times New Roman"/>
          <w:sz w:val="24"/>
        </w:rPr>
        <w:t xml:space="preserve"> computations and only a slight decrease in RMSE.</w:t>
      </w:r>
    </w:p>
    <w:p w14:paraId="447FC398" w14:textId="77777777" w:rsidR="00894763" w:rsidRPr="00421098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421098">
        <w:rPr>
          <w:rFonts w:ascii="Times New Roman" w:hAnsi="Times New Roman" w:cs="Times New Roman"/>
          <w:sz w:val="24"/>
        </w:rPr>
        <w:t xml:space="preserve">When </w:t>
      </w:r>
      <w:r w:rsidRPr="00421098">
        <w:rPr>
          <w:rFonts w:ascii="Times New Roman" w:hAnsi="Times New Roman" w:cs="Times New Roman"/>
          <w:i/>
          <w:iCs/>
          <w:sz w:val="24"/>
        </w:rPr>
        <w:t xml:space="preserve">t </w:t>
      </w:r>
      <w:r w:rsidRPr="00421098">
        <w:rPr>
          <w:rFonts w:ascii="Times New Roman" w:hAnsi="Times New Roman" w:cs="Times New Roman"/>
          <w:sz w:val="24"/>
        </w:rPr>
        <w:t xml:space="preserve">&gt; 0.60, the stricter truncation will suppress the density ratio, thereby reducing α. This adaptive enhancement method is weakened when the </w:t>
      </w:r>
      <w:r w:rsidRPr="003B0B5E">
        <w:rPr>
          <w:rFonts w:ascii="Times New Roman" w:hAnsi="Times New Roman" w:cs="Times New Roman"/>
          <w:bCs/>
          <w:sz w:val="24"/>
        </w:rPr>
        <w:t>narrow</w:t>
      </w:r>
      <w:r w:rsidRPr="00421098">
        <w:rPr>
          <w:rFonts w:ascii="Times New Roman" w:hAnsi="Times New Roman" w:cs="Times New Roman"/>
          <w:sz w:val="24"/>
        </w:rPr>
        <w:t xml:space="preserve"> field</w:t>
      </w:r>
      <w:r w:rsidRPr="00421098">
        <w:rPr>
          <w:rFonts w:ascii="Times New Roman" w:hAnsi="Times New Roman" w:cs="Times New Roman" w:hint="eastAsia"/>
          <w:sz w:val="24"/>
        </w:rPr>
        <w:t xml:space="preserve"> </w:t>
      </w:r>
      <w:r w:rsidRPr="00421098">
        <w:rPr>
          <w:rFonts w:ascii="Times New Roman" w:hAnsi="Times New Roman" w:cs="Times New Roman"/>
          <w:sz w:val="24"/>
        </w:rPr>
        <w:t>of</w:t>
      </w:r>
      <w:r w:rsidRPr="00421098">
        <w:rPr>
          <w:rFonts w:ascii="Times New Roman" w:hAnsi="Times New Roman" w:cs="Times New Roman" w:hint="eastAsia"/>
          <w:sz w:val="24"/>
        </w:rPr>
        <w:t xml:space="preserve"> </w:t>
      </w:r>
      <w:r w:rsidRPr="00421098">
        <w:rPr>
          <w:rFonts w:ascii="Times New Roman" w:hAnsi="Times New Roman" w:cs="Times New Roman"/>
          <w:sz w:val="24"/>
        </w:rPr>
        <w:t>view geometry requires a larger α to achieve stronger compensation.</w:t>
      </w:r>
    </w:p>
    <w:p w14:paraId="747F72F6" w14:textId="77777777" w:rsidR="00894763" w:rsidRPr="00421098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421098">
        <w:rPr>
          <w:rFonts w:ascii="Times New Roman" w:hAnsi="Times New Roman" w:cs="Times New Roman"/>
          <w:i/>
          <w:iCs/>
          <w:sz w:val="24"/>
        </w:rPr>
        <w:t xml:space="preserve">t </w:t>
      </w:r>
      <w:r w:rsidRPr="00421098">
        <w:rPr>
          <w:rFonts w:ascii="Cambria Math" w:hAnsi="Cambria Math" w:cs="Cambria Math"/>
          <w:sz w:val="24"/>
        </w:rPr>
        <w:t>∈</w:t>
      </w:r>
      <w:r w:rsidRPr="00421098">
        <w:rPr>
          <w:rFonts w:ascii="Times New Roman" w:hAnsi="Times New Roman" w:cs="Times New Roman"/>
          <w:sz w:val="24"/>
        </w:rPr>
        <w:t xml:space="preserve"> [0.50, 0.65] maintains RMSE within 5% of the optimum on both </w:t>
      </w:r>
      <w:r w:rsidRPr="003B0B5E">
        <w:rPr>
          <w:rFonts w:ascii="Times New Roman" w:hAnsi="Times New Roman" w:cs="Times New Roman"/>
          <w:bCs/>
          <w:sz w:val="24"/>
        </w:rPr>
        <w:t>sequences</w:t>
      </w:r>
      <w:r w:rsidRPr="00421098">
        <w:rPr>
          <w:rFonts w:ascii="Times New Roman" w:hAnsi="Times New Roman" w:cs="Times New Roman"/>
          <w:sz w:val="24"/>
        </w:rPr>
        <w:t>.</w:t>
      </w:r>
    </w:p>
    <w:p w14:paraId="586A31EA" w14:textId="77777777" w:rsidR="00894763" w:rsidRPr="00421098" w:rsidRDefault="00894763" w:rsidP="00894763">
      <w:pPr>
        <w:spacing w:line="300" w:lineRule="auto"/>
        <w:rPr>
          <w:rFonts w:ascii="Times New Roman" w:hAnsi="Times New Roman" w:cs="Times New Roman"/>
          <w:b/>
          <w:sz w:val="24"/>
        </w:rPr>
      </w:pPr>
      <w:r w:rsidRPr="00421098">
        <w:rPr>
          <w:rFonts w:ascii="Times New Roman" w:hAnsi="Times New Roman" w:cs="Times New Roman" w:hint="eastAsia"/>
          <w:b/>
          <w:sz w:val="24"/>
        </w:rPr>
        <w:t>(2)</w:t>
      </w:r>
      <w:r w:rsidRPr="00421098">
        <w:rPr>
          <w:rFonts w:ascii="Times New Roman" w:hAnsi="Times New Roman" w:cs="Times New Roman"/>
          <w:b/>
          <w:sz w:val="24"/>
        </w:rPr>
        <w:t xml:space="preserve"> Analysis of Center Offset </w:t>
      </w:r>
      <w:r w:rsidRPr="00421098">
        <w:rPr>
          <w:rFonts w:ascii="Times New Roman" w:hAnsi="Times New Roman" w:cs="Times New Roman"/>
          <w:b/>
          <w:i/>
          <w:iCs/>
          <w:sz w:val="24"/>
        </w:rPr>
        <w:t>s</w:t>
      </w:r>
    </w:p>
    <w:p w14:paraId="7D09C33C" w14:textId="77777777" w:rsidR="00894763" w:rsidRPr="00421098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421098">
        <w:rPr>
          <w:rFonts w:ascii="Times New Roman" w:hAnsi="Times New Roman" w:cs="Times New Roman"/>
          <w:i/>
          <w:iCs/>
          <w:sz w:val="24"/>
        </w:rPr>
        <w:t>s</w:t>
      </w:r>
      <w:r w:rsidRPr="0028751B">
        <w:rPr>
          <w:rFonts w:ascii="Times New Roman" w:hAnsi="Times New Roman" w:cs="Times New Roman"/>
          <w:sz w:val="24"/>
        </w:rPr>
        <w:t xml:space="preserve"> was varied within </w:t>
      </w:r>
      <w:r w:rsidRPr="00421098">
        <w:rPr>
          <w:rFonts w:ascii="Times New Roman" w:hAnsi="Times New Roman" w:cs="Times New Roman"/>
          <w:sz w:val="24"/>
        </w:rPr>
        <w:t>{0.40, 0.45</w:t>
      </w:r>
      <w:r w:rsidRPr="00464073">
        <w:rPr>
          <w:rFonts w:ascii="Times New Roman" w:hAnsi="Times New Roman" w:cs="Times New Roman"/>
          <w:sz w:val="24"/>
        </w:rPr>
        <w:t xml:space="preserve">, 0.50, 0.55, 0.60, </w:t>
      </w:r>
      <w:r w:rsidRPr="00421098">
        <w:rPr>
          <w:rFonts w:ascii="Times New Roman" w:hAnsi="Times New Roman" w:cs="Times New Roman"/>
          <w:sz w:val="24"/>
        </w:rPr>
        <w:t>0.65, 0.70}</w:t>
      </w:r>
      <w:r w:rsidRPr="0028751B">
        <w:rPr>
          <w:rFonts w:ascii="Times New Roman" w:hAnsi="Times New Roman" w:cs="Times New Roman"/>
          <w:sz w:val="24"/>
        </w:rPr>
        <w:t xml:space="preserve"> while all other parameters were fixed at their default values.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421098">
        <w:rPr>
          <w:rFonts w:ascii="Times New Roman" w:hAnsi="Times New Roman" w:cs="Times New Roman"/>
          <w:sz w:val="24"/>
        </w:rPr>
        <w:t>The evaluation</w:t>
      </w:r>
      <w:r>
        <w:rPr>
          <w:rFonts w:ascii="Times New Roman" w:hAnsi="Times New Roman" w:cs="Times New Roman"/>
          <w:sz w:val="24"/>
        </w:rPr>
        <w:t xml:space="preserve"> is </w:t>
      </w:r>
      <w:r w:rsidRPr="00421098">
        <w:rPr>
          <w:rFonts w:ascii="Times New Roman" w:hAnsi="Times New Roman" w:cs="Times New Roman"/>
          <w:sz w:val="24"/>
        </w:rPr>
        <w:t xml:space="preserve">conducted on the </w:t>
      </w:r>
      <w:r w:rsidRPr="00421098">
        <w:rPr>
          <w:rFonts w:ascii="Times New Roman" w:hAnsi="Times New Roman" w:cs="Times New Roman"/>
          <w:sz w:val="24"/>
        </w:rPr>
        <w:lastRenderedPageBreak/>
        <w:t>M2DGR Street06 and Street08 sequences.</w:t>
      </w:r>
    </w:p>
    <w:p w14:paraId="7A93BDD8" w14:textId="77777777" w:rsidR="00894763" w:rsidRPr="00375E42" w:rsidRDefault="00894763" w:rsidP="00894763">
      <w:pPr>
        <w:spacing w:line="300" w:lineRule="auto"/>
        <w:jc w:val="center"/>
        <w:rPr>
          <w:rFonts w:ascii="Times New Roman" w:hAnsi="Times New Roman" w:cs="Times New Roman"/>
          <w:bCs/>
          <w:sz w:val="24"/>
        </w:rPr>
      </w:pPr>
      <w:r w:rsidRPr="00375E42">
        <w:rPr>
          <w:rFonts w:ascii="Times New Roman" w:hAnsi="Times New Roman" w:cs="Times New Roman"/>
          <w:bCs/>
          <w:sz w:val="24"/>
        </w:rPr>
        <w:t>Tab</w:t>
      </w:r>
      <w:r>
        <w:rPr>
          <w:rFonts w:ascii="Times New Roman" w:hAnsi="Times New Roman" w:cs="Times New Roman" w:hint="eastAsia"/>
          <w:bCs/>
          <w:sz w:val="24"/>
        </w:rPr>
        <w:t>. 4</w:t>
      </w:r>
      <w:r w:rsidRPr="00375E42">
        <w:rPr>
          <w:rFonts w:ascii="Times New Roman" w:hAnsi="Times New Roman" w:cs="Times New Roman"/>
          <w:bCs/>
          <w:sz w:val="24"/>
        </w:rPr>
        <w:t xml:space="preserve"> Metrics for sensitivity analysis of </w:t>
      </w:r>
      <w:r w:rsidRPr="00A41699">
        <w:rPr>
          <w:rFonts w:ascii="Times New Roman" w:hAnsi="Times New Roman" w:cs="Times New Roman"/>
          <w:bCs/>
          <w:i/>
          <w:iCs/>
          <w:sz w:val="24"/>
        </w:rPr>
        <w:t>s</w:t>
      </w:r>
      <w:r w:rsidRPr="00375E42">
        <w:rPr>
          <w:rFonts w:ascii="Times New Roman" w:hAnsi="Times New Roman" w:cs="Times New Roman"/>
          <w:bCs/>
          <w:sz w:val="24"/>
        </w:rPr>
        <w:t xml:space="preserve"> on the Street06 sequence.</w:t>
      </w: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894763" w:rsidRPr="00421098" w14:paraId="427348F9" w14:textId="77777777" w:rsidTr="00A20A42">
        <w:trPr>
          <w:jc w:val="center"/>
        </w:trPr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0E6FAC9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s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2FB97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RMSE (m)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9EB4999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Δ</w:t>
            </w:r>
          </w:p>
        </w:tc>
      </w:tr>
      <w:tr w:rsidR="00894763" w:rsidRPr="00421098" w14:paraId="76CE740B" w14:textId="77777777" w:rsidTr="00A20A42">
        <w:trPr>
          <w:jc w:val="center"/>
        </w:trPr>
        <w:tc>
          <w:tcPr>
            <w:tcW w:w="2074" w:type="dxa"/>
            <w:tcBorders>
              <w:top w:val="single" w:sz="4" w:space="0" w:color="auto"/>
            </w:tcBorders>
            <w:vAlign w:val="center"/>
          </w:tcPr>
          <w:p w14:paraId="5BC362D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0.40</w:t>
            </w:r>
          </w:p>
        </w:tc>
        <w:tc>
          <w:tcPr>
            <w:tcW w:w="2074" w:type="dxa"/>
            <w:tcBorders>
              <w:top w:val="single" w:sz="4" w:space="0" w:color="auto"/>
            </w:tcBorders>
            <w:vAlign w:val="center"/>
          </w:tcPr>
          <w:p w14:paraId="71B442B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0.47</w:t>
            </w:r>
          </w:p>
        </w:tc>
        <w:tc>
          <w:tcPr>
            <w:tcW w:w="2074" w:type="dxa"/>
            <w:tcBorders>
              <w:top w:val="single" w:sz="4" w:space="0" w:color="auto"/>
            </w:tcBorders>
            <w:vAlign w:val="center"/>
          </w:tcPr>
          <w:p w14:paraId="2B6FB06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+11.9%</w:t>
            </w:r>
          </w:p>
        </w:tc>
      </w:tr>
      <w:tr w:rsidR="00894763" w:rsidRPr="00421098" w14:paraId="2FB22C2B" w14:textId="77777777" w:rsidTr="00A20A42">
        <w:trPr>
          <w:jc w:val="center"/>
        </w:trPr>
        <w:tc>
          <w:tcPr>
            <w:tcW w:w="2074" w:type="dxa"/>
            <w:vAlign w:val="center"/>
          </w:tcPr>
          <w:p w14:paraId="6946BF0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2074" w:type="dxa"/>
            <w:vAlign w:val="center"/>
          </w:tcPr>
          <w:p w14:paraId="5A1B8B9E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0.44</w:t>
            </w:r>
          </w:p>
        </w:tc>
        <w:tc>
          <w:tcPr>
            <w:tcW w:w="2074" w:type="dxa"/>
            <w:vAlign w:val="center"/>
          </w:tcPr>
          <w:p w14:paraId="6DC813F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+4.8%</w:t>
            </w:r>
          </w:p>
        </w:tc>
      </w:tr>
      <w:tr w:rsidR="00894763" w:rsidRPr="00421098" w14:paraId="62FAAB8F" w14:textId="77777777" w:rsidTr="00A20A42">
        <w:trPr>
          <w:jc w:val="center"/>
        </w:trPr>
        <w:tc>
          <w:tcPr>
            <w:tcW w:w="2074" w:type="dxa"/>
            <w:vAlign w:val="center"/>
          </w:tcPr>
          <w:p w14:paraId="61552DD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2074" w:type="dxa"/>
            <w:vAlign w:val="center"/>
          </w:tcPr>
          <w:p w14:paraId="1BCC37C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</w:tc>
        <w:tc>
          <w:tcPr>
            <w:tcW w:w="2074" w:type="dxa"/>
            <w:vAlign w:val="center"/>
          </w:tcPr>
          <w:p w14:paraId="04844FE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+2.4%</w:t>
            </w:r>
          </w:p>
        </w:tc>
      </w:tr>
      <w:tr w:rsidR="00894763" w:rsidRPr="00421098" w14:paraId="010B7063" w14:textId="77777777" w:rsidTr="00A20A42">
        <w:trPr>
          <w:jc w:val="center"/>
        </w:trPr>
        <w:tc>
          <w:tcPr>
            <w:tcW w:w="2074" w:type="dxa"/>
            <w:vAlign w:val="center"/>
          </w:tcPr>
          <w:p w14:paraId="459467D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0.55</w:t>
            </w:r>
          </w:p>
        </w:tc>
        <w:tc>
          <w:tcPr>
            <w:tcW w:w="2074" w:type="dxa"/>
            <w:vAlign w:val="center"/>
          </w:tcPr>
          <w:p w14:paraId="6960633E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0.42</w:t>
            </w:r>
          </w:p>
        </w:tc>
        <w:tc>
          <w:tcPr>
            <w:tcW w:w="2074" w:type="dxa"/>
            <w:vAlign w:val="center"/>
          </w:tcPr>
          <w:p w14:paraId="31CC2DF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—</w:t>
            </w:r>
          </w:p>
        </w:tc>
      </w:tr>
      <w:tr w:rsidR="00894763" w:rsidRPr="00421098" w14:paraId="3669A316" w14:textId="77777777" w:rsidTr="00A20A42">
        <w:trPr>
          <w:jc w:val="center"/>
        </w:trPr>
        <w:tc>
          <w:tcPr>
            <w:tcW w:w="2074" w:type="dxa"/>
            <w:vAlign w:val="center"/>
          </w:tcPr>
          <w:p w14:paraId="2EE346C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2074" w:type="dxa"/>
            <w:vAlign w:val="center"/>
          </w:tcPr>
          <w:p w14:paraId="601F1EB4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</w:tc>
        <w:tc>
          <w:tcPr>
            <w:tcW w:w="2074" w:type="dxa"/>
            <w:vAlign w:val="center"/>
          </w:tcPr>
          <w:p w14:paraId="24E9BFA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+2.4%</w:t>
            </w:r>
          </w:p>
        </w:tc>
      </w:tr>
      <w:tr w:rsidR="00894763" w:rsidRPr="00421098" w14:paraId="405588D0" w14:textId="77777777" w:rsidTr="00A20A42">
        <w:trPr>
          <w:jc w:val="center"/>
        </w:trPr>
        <w:tc>
          <w:tcPr>
            <w:tcW w:w="2074" w:type="dxa"/>
            <w:vAlign w:val="center"/>
          </w:tcPr>
          <w:p w14:paraId="0DA258C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2074" w:type="dxa"/>
            <w:vAlign w:val="center"/>
          </w:tcPr>
          <w:p w14:paraId="2834F009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2074" w:type="dxa"/>
            <w:vAlign w:val="center"/>
          </w:tcPr>
          <w:p w14:paraId="11E95B0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+7.1%</w:t>
            </w:r>
          </w:p>
        </w:tc>
      </w:tr>
      <w:tr w:rsidR="00894763" w:rsidRPr="00421098" w14:paraId="45190C08" w14:textId="77777777" w:rsidTr="00A20A42">
        <w:trPr>
          <w:jc w:val="center"/>
        </w:trPr>
        <w:tc>
          <w:tcPr>
            <w:tcW w:w="2074" w:type="dxa"/>
            <w:tcBorders>
              <w:bottom w:val="single" w:sz="12" w:space="0" w:color="auto"/>
            </w:tcBorders>
            <w:vAlign w:val="center"/>
          </w:tcPr>
          <w:p w14:paraId="2C6E5DA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2074" w:type="dxa"/>
            <w:tcBorders>
              <w:bottom w:val="single" w:sz="12" w:space="0" w:color="auto"/>
            </w:tcBorders>
            <w:vAlign w:val="center"/>
          </w:tcPr>
          <w:p w14:paraId="210C354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0.48</w:t>
            </w:r>
          </w:p>
        </w:tc>
        <w:tc>
          <w:tcPr>
            <w:tcW w:w="2074" w:type="dxa"/>
            <w:tcBorders>
              <w:bottom w:val="single" w:sz="12" w:space="0" w:color="auto"/>
            </w:tcBorders>
            <w:vAlign w:val="center"/>
          </w:tcPr>
          <w:p w14:paraId="6C63A0B4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+14.3%</w:t>
            </w:r>
          </w:p>
        </w:tc>
      </w:tr>
    </w:tbl>
    <w:p w14:paraId="6CEF6572" w14:textId="77777777" w:rsidR="00894763" w:rsidRPr="00375E42" w:rsidRDefault="00894763" w:rsidP="00894763">
      <w:pPr>
        <w:spacing w:line="300" w:lineRule="auto"/>
        <w:jc w:val="center"/>
        <w:rPr>
          <w:rFonts w:ascii="Times New Roman" w:hAnsi="Times New Roman" w:cs="Times New Roman"/>
          <w:bCs/>
          <w:sz w:val="24"/>
        </w:rPr>
      </w:pPr>
      <w:r w:rsidRPr="00375E42">
        <w:rPr>
          <w:rFonts w:ascii="Times New Roman" w:hAnsi="Times New Roman" w:cs="Times New Roman"/>
          <w:bCs/>
          <w:sz w:val="24"/>
        </w:rPr>
        <w:t>Tab</w:t>
      </w:r>
      <w:r>
        <w:rPr>
          <w:rFonts w:ascii="Times New Roman" w:hAnsi="Times New Roman" w:cs="Times New Roman" w:hint="eastAsia"/>
          <w:bCs/>
          <w:sz w:val="24"/>
        </w:rPr>
        <w:t>. 5</w:t>
      </w:r>
      <w:r w:rsidRPr="00375E42">
        <w:rPr>
          <w:rFonts w:ascii="Times New Roman" w:hAnsi="Times New Roman" w:cs="Times New Roman"/>
          <w:bCs/>
          <w:sz w:val="24"/>
        </w:rPr>
        <w:t xml:space="preserve"> Metrics for sensitivity analysis of </w:t>
      </w:r>
      <w:r w:rsidRPr="00A41699">
        <w:rPr>
          <w:rFonts w:ascii="Times New Roman" w:hAnsi="Times New Roman" w:cs="Times New Roman"/>
          <w:bCs/>
          <w:i/>
          <w:iCs/>
          <w:sz w:val="24"/>
        </w:rPr>
        <w:t>s</w:t>
      </w:r>
      <w:r w:rsidRPr="00375E42">
        <w:rPr>
          <w:rFonts w:ascii="Times New Roman" w:hAnsi="Times New Roman" w:cs="Times New Roman"/>
          <w:bCs/>
          <w:sz w:val="24"/>
        </w:rPr>
        <w:t xml:space="preserve"> on the Street08 sequence.</w:t>
      </w: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4"/>
        <w:gridCol w:w="2074"/>
      </w:tblGrid>
      <w:tr w:rsidR="00894763" w:rsidRPr="00421098" w14:paraId="7B357B2C" w14:textId="77777777" w:rsidTr="00A20A42">
        <w:trPr>
          <w:jc w:val="center"/>
        </w:trPr>
        <w:tc>
          <w:tcPr>
            <w:tcW w:w="207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713BEC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s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B899ACE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RMSE (m)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904762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Δ</w:t>
            </w:r>
          </w:p>
        </w:tc>
      </w:tr>
      <w:tr w:rsidR="00894763" w:rsidRPr="00421098" w14:paraId="4295CDC0" w14:textId="77777777" w:rsidTr="00A20A42">
        <w:trPr>
          <w:jc w:val="center"/>
        </w:trPr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4DC3525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0.40</w:t>
            </w:r>
          </w:p>
        </w:tc>
        <w:tc>
          <w:tcPr>
            <w:tcW w:w="2074" w:type="dxa"/>
            <w:tcBorders>
              <w:top w:val="single" w:sz="4" w:space="0" w:color="auto"/>
            </w:tcBorders>
            <w:vAlign w:val="center"/>
          </w:tcPr>
          <w:p w14:paraId="593B1AD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0.51</w:t>
            </w:r>
          </w:p>
        </w:tc>
        <w:tc>
          <w:tcPr>
            <w:tcW w:w="2074" w:type="dxa"/>
            <w:tcBorders>
              <w:top w:val="single" w:sz="4" w:space="0" w:color="auto"/>
            </w:tcBorders>
            <w:vAlign w:val="center"/>
          </w:tcPr>
          <w:p w14:paraId="4B81834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+10.9%</w:t>
            </w:r>
          </w:p>
        </w:tc>
      </w:tr>
      <w:tr w:rsidR="00894763" w:rsidRPr="00421098" w14:paraId="760C7A08" w14:textId="77777777" w:rsidTr="00A20A42">
        <w:trPr>
          <w:jc w:val="center"/>
        </w:trPr>
        <w:tc>
          <w:tcPr>
            <w:tcW w:w="2075" w:type="dxa"/>
            <w:vAlign w:val="center"/>
          </w:tcPr>
          <w:p w14:paraId="080316DF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2074" w:type="dxa"/>
            <w:vAlign w:val="center"/>
          </w:tcPr>
          <w:p w14:paraId="79910D8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0.48</w:t>
            </w:r>
          </w:p>
        </w:tc>
        <w:tc>
          <w:tcPr>
            <w:tcW w:w="2074" w:type="dxa"/>
            <w:vAlign w:val="center"/>
          </w:tcPr>
          <w:p w14:paraId="4CBFD2F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+4.3%</w:t>
            </w:r>
          </w:p>
        </w:tc>
      </w:tr>
      <w:tr w:rsidR="00894763" w:rsidRPr="00421098" w14:paraId="1CADC43C" w14:textId="77777777" w:rsidTr="00A20A42">
        <w:trPr>
          <w:jc w:val="center"/>
        </w:trPr>
        <w:tc>
          <w:tcPr>
            <w:tcW w:w="2075" w:type="dxa"/>
            <w:vAlign w:val="center"/>
          </w:tcPr>
          <w:p w14:paraId="57B2893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2074" w:type="dxa"/>
            <w:vAlign w:val="center"/>
          </w:tcPr>
          <w:p w14:paraId="77476DE1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0.47</w:t>
            </w:r>
          </w:p>
        </w:tc>
        <w:tc>
          <w:tcPr>
            <w:tcW w:w="2074" w:type="dxa"/>
            <w:vAlign w:val="center"/>
          </w:tcPr>
          <w:p w14:paraId="0A4F3B9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+2.2%</w:t>
            </w:r>
          </w:p>
        </w:tc>
      </w:tr>
      <w:tr w:rsidR="00894763" w:rsidRPr="00421098" w14:paraId="50721285" w14:textId="77777777" w:rsidTr="00A20A42">
        <w:trPr>
          <w:jc w:val="center"/>
        </w:trPr>
        <w:tc>
          <w:tcPr>
            <w:tcW w:w="2075" w:type="dxa"/>
            <w:vAlign w:val="center"/>
          </w:tcPr>
          <w:p w14:paraId="514DE40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0.55</w:t>
            </w:r>
          </w:p>
        </w:tc>
        <w:tc>
          <w:tcPr>
            <w:tcW w:w="2074" w:type="dxa"/>
            <w:vAlign w:val="center"/>
          </w:tcPr>
          <w:p w14:paraId="3430A24D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0.46</w:t>
            </w:r>
          </w:p>
        </w:tc>
        <w:tc>
          <w:tcPr>
            <w:tcW w:w="2074" w:type="dxa"/>
            <w:vAlign w:val="center"/>
          </w:tcPr>
          <w:p w14:paraId="48CF36B1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—</w:t>
            </w:r>
          </w:p>
        </w:tc>
      </w:tr>
      <w:tr w:rsidR="00894763" w:rsidRPr="00421098" w14:paraId="6C0A1A74" w14:textId="77777777" w:rsidTr="00A20A42">
        <w:trPr>
          <w:jc w:val="center"/>
        </w:trPr>
        <w:tc>
          <w:tcPr>
            <w:tcW w:w="2075" w:type="dxa"/>
            <w:vAlign w:val="center"/>
          </w:tcPr>
          <w:p w14:paraId="433D599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2074" w:type="dxa"/>
            <w:vAlign w:val="center"/>
          </w:tcPr>
          <w:p w14:paraId="23A22D6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0.47</w:t>
            </w:r>
          </w:p>
        </w:tc>
        <w:tc>
          <w:tcPr>
            <w:tcW w:w="2074" w:type="dxa"/>
            <w:vAlign w:val="center"/>
          </w:tcPr>
          <w:p w14:paraId="1FB4897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+2.2%</w:t>
            </w:r>
          </w:p>
        </w:tc>
      </w:tr>
      <w:tr w:rsidR="00894763" w:rsidRPr="00421098" w14:paraId="29EEF5DB" w14:textId="77777777" w:rsidTr="00A20A42">
        <w:trPr>
          <w:jc w:val="center"/>
        </w:trPr>
        <w:tc>
          <w:tcPr>
            <w:tcW w:w="2075" w:type="dxa"/>
            <w:vAlign w:val="center"/>
          </w:tcPr>
          <w:p w14:paraId="5AA5C2E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2074" w:type="dxa"/>
            <w:vAlign w:val="center"/>
          </w:tcPr>
          <w:p w14:paraId="243243ED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0.49</w:t>
            </w:r>
          </w:p>
        </w:tc>
        <w:tc>
          <w:tcPr>
            <w:tcW w:w="2074" w:type="dxa"/>
            <w:vAlign w:val="center"/>
          </w:tcPr>
          <w:p w14:paraId="37649D2F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+6.5%</w:t>
            </w:r>
          </w:p>
        </w:tc>
      </w:tr>
      <w:tr w:rsidR="00894763" w:rsidRPr="00421098" w14:paraId="5EF6DDD9" w14:textId="77777777" w:rsidTr="00A20A42">
        <w:trPr>
          <w:jc w:val="center"/>
        </w:trPr>
        <w:tc>
          <w:tcPr>
            <w:tcW w:w="2075" w:type="dxa"/>
            <w:tcBorders>
              <w:bottom w:val="single" w:sz="12" w:space="0" w:color="auto"/>
            </w:tcBorders>
            <w:vAlign w:val="center"/>
          </w:tcPr>
          <w:p w14:paraId="4F5AADF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2074" w:type="dxa"/>
            <w:tcBorders>
              <w:bottom w:val="single" w:sz="12" w:space="0" w:color="auto"/>
            </w:tcBorders>
            <w:vAlign w:val="center"/>
          </w:tcPr>
          <w:p w14:paraId="64D0F40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0.52</w:t>
            </w:r>
          </w:p>
        </w:tc>
        <w:tc>
          <w:tcPr>
            <w:tcW w:w="2074" w:type="dxa"/>
            <w:tcBorders>
              <w:bottom w:val="single" w:sz="12" w:space="0" w:color="auto"/>
            </w:tcBorders>
            <w:vAlign w:val="center"/>
          </w:tcPr>
          <w:p w14:paraId="3F2DE6A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+13.0%</w:t>
            </w:r>
          </w:p>
        </w:tc>
      </w:tr>
    </w:tbl>
    <w:p w14:paraId="3FA9C2B8" w14:textId="77777777" w:rsidR="00894763" w:rsidRPr="00421098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421098">
        <w:rPr>
          <w:rFonts w:ascii="Times New Roman" w:hAnsi="Times New Roman" w:cs="Times New Roman"/>
          <w:sz w:val="24"/>
        </w:rPr>
        <w:t xml:space="preserve">When </w:t>
      </w:r>
      <w:r w:rsidRPr="00421098">
        <w:rPr>
          <w:rFonts w:ascii="Times New Roman" w:hAnsi="Times New Roman" w:cs="Times New Roman"/>
          <w:i/>
          <w:iCs/>
          <w:sz w:val="24"/>
        </w:rPr>
        <w:t>s</w:t>
      </w:r>
      <w:r w:rsidRPr="00421098">
        <w:rPr>
          <w:rFonts w:ascii="Times New Roman" w:hAnsi="Times New Roman" w:cs="Times New Roman"/>
          <w:sz w:val="24"/>
        </w:rPr>
        <w:t xml:space="preserve"> = 0.40, the midpoint position is below the typical density ratio range of the urban scenario. Therefore, even under slight field</w:t>
      </w:r>
      <w:r w:rsidRPr="00421098">
        <w:rPr>
          <w:rFonts w:ascii="Times New Roman" w:hAnsi="Times New Roman" w:cs="Times New Roman" w:hint="eastAsia"/>
          <w:sz w:val="24"/>
        </w:rPr>
        <w:t xml:space="preserve"> </w:t>
      </w:r>
      <w:r w:rsidRPr="00421098">
        <w:rPr>
          <w:rFonts w:ascii="Times New Roman" w:hAnsi="Times New Roman" w:cs="Times New Roman"/>
          <w:sz w:val="24"/>
        </w:rPr>
        <w:t>of</w:t>
      </w:r>
      <w:r w:rsidRPr="00421098">
        <w:rPr>
          <w:rFonts w:ascii="Times New Roman" w:hAnsi="Times New Roman" w:cs="Times New Roman" w:hint="eastAsia"/>
          <w:sz w:val="24"/>
        </w:rPr>
        <w:t xml:space="preserve"> </w:t>
      </w:r>
      <w:r w:rsidRPr="00421098">
        <w:rPr>
          <w:rFonts w:ascii="Times New Roman" w:hAnsi="Times New Roman" w:cs="Times New Roman"/>
          <w:sz w:val="24"/>
        </w:rPr>
        <w:t xml:space="preserve">view limitations, </w:t>
      </w:r>
      <w:r w:rsidRPr="00421098">
        <w:rPr>
          <w:rFonts w:ascii="Times New Roman" w:hAnsi="Times New Roman" w:cs="Times New Roman"/>
          <w:i/>
          <w:iCs/>
          <w:sz w:val="24"/>
        </w:rPr>
        <w:t xml:space="preserve">α </w:t>
      </w:r>
      <w:r w:rsidRPr="00421098">
        <w:rPr>
          <w:rFonts w:ascii="Times New Roman" w:hAnsi="Times New Roman" w:cs="Times New Roman"/>
          <w:sz w:val="24"/>
        </w:rPr>
        <w:t>still tends to approach 1, resulting in an increase in computational cost without an improvement in accuracy.</w:t>
      </w:r>
    </w:p>
    <w:p w14:paraId="6E9FF478" w14:textId="77777777" w:rsidR="00894763" w:rsidRPr="00421098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421098">
        <w:rPr>
          <w:rFonts w:ascii="Times New Roman" w:hAnsi="Times New Roman" w:cs="Times New Roman"/>
          <w:sz w:val="24"/>
        </w:rPr>
        <w:t xml:space="preserve">When </w:t>
      </w:r>
      <w:r w:rsidRPr="00421098">
        <w:rPr>
          <w:rFonts w:ascii="Times New Roman" w:hAnsi="Times New Roman" w:cs="Times New Roman"/>
          <w:i/>
          <w:iCs/>
          <w:sz w:val="24"/>
        </w:rPr>
        <w:t>s</w:t>
      </w:r>
      <w:r w:rsidRPr="00421098">
        <w:rPr>
          <w:rFonts w:ascii="Times New Roman" w:hAnsi="Times New Roman" w:cs="Times New Roman"/>
          <w:sz w:val="24"/>
        </w:rPr>
        <w:t xml:space="preserve"> = 0.70, the midpoint exceeds the density ratio range typically encountered, causing </w:t>
      </w:r>
      <w:r w:rsidRPr="00421098">
        <w:rPr>
          <w:rFonts w:ascii="Times New Roman" w:hAnsi="Times New Roman" w:cs="Times New Roman"/>
          <w:i/>
          <w:iCs/>
          <w:sz w:val="24"/>
        </w:rPr>
        <w:t>α</w:t>
      </w:r>
      <w:r w:rsidRPr="00421098">
        <w:rPr>
          <w:rFonts w:ascii="Times New Roman" w:hAnsi="Times New Roman" w:cs="Times New Roman"/>
          <w:sz w:val="24"/>
        </w:rPr>
        <w:t xml:space="preserve"> to remain close to </w:t>
      </w:r>
      <w:r w:rsidRPr="00421098">
        <w:rPr>
          <w:rFonts w:ascii="Times New Roman" w:hAnsi="Times New Roman" w:cs="Times New Roman" w:hint="eastAsia"/>
          <w:sz w:val="24"/>
        </w:rPr>
        <w:t>0</w:t>
      </w:r>
      <w:r w:rsidRPr="00421098">
        <w:rPr>
          <w:rFonts w:ascii="Times New Roman" w:hAnsi="Times New Roman" w:cs="Times New Roman"/>
          <w:sz w:val="24"/>
        </w:rPr>
        <w:t>, thus unable to promptly compensate for the impact of field</w:t>
      </w:r>
      <w:r w:rsidRPr="00421098">
        <w:rPr>
          <w:rFonts w:ascii="Times New Roman" w:hAnsi="Times New Roman" w:cs="Times New Roman" w:hint="eastAsia"/>
          <w:sz w:val="24"/>
        </w:rPr>
        <w:t xml:space="preserve"> </w:t>
      </w:r>
      <w:r w:rsidRPr="00421098">
        <w:rPr>
          <w:rFonts w:ascii="Times New Roman" w:hAnsi="Times New Roman" w:cs="Times New Roman"/>
          <w:sz w:val="24"/>
        </w:rPr>
        <w:t>of</w:t>
      </w:r>
      <w:r w:rsidRPr="00421098">
        <w:rPr>
          <w:rFonts w:ascii="Times New Roman" w:hAnsi="Times New Roman" w:cs="Times New Roman" w:hint="eastAsia"/>
          <w:sz w:val="24"/>
        </w:rPr>
        <w:t xml:space="preserve"> </w:t>
      </w:r>
      <w:r w:rsidRPr="00421098">
        <w:rPr>
          <w:rFonts w:ascii="Times New Roman" w:hAnsi="Times New Roman" w:cs="Times New Roman"/>
          <w:sz w:val="24"/>
        </w:rPr>
        <w:t>view changes.</w:t>
      </w:r>
    </w:p>
    <w:p w14:paraId="09728174" w14:textId="77777777" w:rsidR="00894763" w:rsidRPr="00421098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421098">
        <w:rPr>
          <w:rFonts w:ascii="Times New Roman" w:hAnsi="Times New Roman" w:cs="Times New Roman"/>
          <w:sz w:val="24"/>
        </w:rPr>
        <w:t xml:space="preserve">The robust interval </w:t>
      </w:r>
      <w:r w:rsidRPr="00421098">
        <w:rPr>
          <w:rFonts w:ascii="Times New Roman" w:hAnsi="Times New Roman" w:cs="Times New Roman"/>
          <w:i/>
          <w:iCs/>
          <w:sz w:val="24"/>
        </w:rPr>
        <w:t>s</w:t>
      </w:r>
      <w:r w:rsidRPr="00421098">
        <w:rPr>
          <w:rFonts w:ascii="Times New Roman" w:hAnsi="Times New Roman" w:cs="Times New Roman"/>
          <w:sz w:val="24"/>
        </w:rPr>
        <w:t xml:space="preserve"> </w:t>
      </w:r>
      <w:r w:rsidRPr="00421098">
        <w:rPr>
          <w:rFonts w:ascii="Cambria Math" w:hAnsi="Cambria Math" w:cs="Cambria Math"/>
          <w:sz w:val="24"/>
        </w:rPr>
        <w:t>∈</w:t>
      </w:r>
      <w:r w:rsidRPr="00421098">
        <w:rPr>
          <w:rFonts w:ascii="Times New Roman" w:hAnsi="Times New Roman" w:cs="Times New Roman"/>
          <w:sz w:val="24"/>
        </w:rPr>
        <w:t xml:space="preserve"> [0.50, 0.60] enables </w:t>
      </w:r>
      <w:r w:rsidRPr="00421098">
        <w:rPr>
          <w:rFonts w:ascii="Times New Roman" w:hAnsi="Times New Roman" w:cs="Times New Roman"/>
          <w:i/>
          <w:iCs/>
          <w:sz w:val="24"/>
        </w:rPr>
        <w:t>α</w:t>
      </w:r>
      <w:r w:rsidRPr="00421098">
        <w:rPr>
          <w:rFonts w:ascii="Times New Roman" w:hAnsi="Times New Roman" w:cs="Times New Roman" w:hint="eastAsia"/>
          <w:sz w:val="24"/>
        </w:rPr>
        <w:t xml:space="preserve"> </w:t>
      </w:r>
      <w:r w:rsidRPr="00421098">
        <w:rPr>
          <w:rFonts w:ascii="Times New Roman" w:hAnsi="Times New Roman" w:cs="Times New Roman"/>
          <w:sz w:val="24"/>
        </w:rPr>
        <w:t>to be well calibrated in most typical scenarios of the urban environment, with the RMSE controlled within +2.4%.</w:t>
      </w:r>
    </w:p>
    <w:p w14:paraId="08DCFB50" w14:textId="77777777" w:rsidR="00894763" w:rsidRPr="00421098" w:rsidRDefault="00894763" w:rsidP="00894763">
      <w:pPr>
        <w:spacing w:line="300" w:lineRule="auto"/>
        <w:rPr>
          <w:rFonts w:ascii="Times New Roman" w:hAnsi="Times New Roman" w:cs="Times New Roman"/>
          <w:b/>
          <w:sz w:val="24"/>
        </w:rPr>
      </w:pPr>
      <w:r w:rsidRPr="00421098">
        <w:rPr>
          <w:rFonts w:ascii="Times New Roman" w:hAnsi="Times New Roman" w:cs="Times New Roman" w:hint="eastAsia"/>
          <w:b/>
          <w:sz w:val="24"/>
        </w:rPr>
        <w:t>(3)</w:t>
      </w:r>
      <w:r w:rsidRPr="00421098">
        <w:rPr>
          <w:rFonts w:ascii="Times New Roman" w:hAnsi="Times New Roman" w:cs="Times New Roman"/>
          <w:b/>
          <w:sz w:val="24"/>
        </w:rPr>
        <w:t xml:space="preserve"> Analysis of Steepness </w:t>
      </w:r>
      <w:r w:rsidRPr="00421098">
        <w:rPr>
          <w:rFonts w:ascii="Times New Roman" w:hAnsi="Times New Roman" w:cs="Times New Roman"/>
          <w:b/>
          <w:i/>
          <w:iCs/>
          <w:sz w:val="24"/>
        </w:rPr>
        <w:t>k</w:t>
      </w:r>
    </w:p>
    <w:p w14:paraId="20A1DA12" w14:textId="77777777" w:rsidR="00894763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421098">
        <w:rPr>
          <w:rFonts w:ascii="Times New Roman" w:hAnsi="Times New Roman" w:cs="Times New Roman"/>
          <w:i/>
          <w:iCs/>
          <w:sz w:val="24"/>
        </w:rPr>
        <w:t>k</w:t>
      </w:r>
      <w:r w:rsidRPr="00421098">
        <w:rPr>
          <w:rFonts w:ascii="Times New Roman" w:hAnsi="Times New Roman" w:cs="Times New Roman"/>
          <w:sz w:val="24"/>
        </w:rPr>
        <w:t xml:space="preserve"> </w:t>
      </w:r>
      <w:r w:rsidRPr="0028751B">
        <w:rPr>
          <w:rFonts w:ascii="Times New Roman" w:hAnsi="Times New Roman" w:cs="Times New Roman"/>
          <w:sz w:val="24"/>
        </w:rPr>
        <w:t xml:space="preserve">was varied within </w:t>
      </w:r>
      <w:r w:rsidRPr="00421098">
        <w:rPr>
          <w:rFonts w:ascii="Times New Roman" w:hAnsi="Times New Roman" w:cs="Times New Roman"/>
          <w:sz w:val="24"/>
        </w:rPr>
        <w:t>{4.0, 5.0</w:t>
      </w:r>
      <w:r w:rsidRPr="00464073">
        <w:rPr>
          <w:rFonts w:ascii="Times New Roman" w:hAnsi="Times New Roman" w:cs="Times New Roman"/>
          <w:sz w:val="24"/>
        </w:rPr>
        <w:t>, 6.0, 7.0, 8.0, 9.0, 10.0, 12.</w:t>
      </w:r>
      <w:r w:rsidRPr="00421098">
        <w:rPr>
          <w:rFonts w:ascii="Times New Roman" w:hAnsi="Times New Roman" w:cs="Times New Roman"/>
          <w:sz w:val="24"/>
        </w:rPr>
        <w:t>0}</w:t>
      </w:r>
      <w:r w:rsidRPr="0028751B">
        <w:rPr>
          <w:rFonts w:ascii="Times New Roman" w:hAnsi="Times New Roman" w:cs="Times New Roman"/>
          <w:sz w:val="24"/>
        </w:rPr>
        <w:t xml:space="preserve"> while all other parameters were fixed at their default values.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421098">
        <w:rPr>
          <w:rFonts w:ascii="Times New Roman" w:hAnsi="Times New Roman" w:cs="Times New Roman"/>
          <w:sz w:val="24"/>
        </w:rPr>
        <w:t>The evaluation</w:t>
      </w:r>
      <w:r>
        <w:rPr>
          <w:rFonts w:ascii="Times New Roman" w:hAnsi="Times New Roman" w:cs="Times New Roman"/>
          <w:sz w:val="24"/>
        </w:rPr>
        <w:t xml:space="preserve"> is </w:t>
      </w:r>
      <w:r w:rsidRPr="00421098">
        <w:rPr>
          <w:rFonts w:ascii="Times New Roman" w:hAnsi="Times New Roman" w:cs="Times New Roman"/>
          <w:sz w:val="24"/>
        </w:rPr>
        <w:t>conducted on the M2DGR Street06 and Street08 sequences.</w:t>
      </w:r>
    </w:p>
    <w:p w14:paraId="7C37AC3E" w14:textId="77777777" w:rsidR="00894763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</w:p>
    <w:p w14:paraId="7ED7C034" w14:textId="77777777" w:rsidR="00894763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</w:p>
    <w:p w14:paraId="35F58A7F" w14:textId="77777777" w:rsidR="00894763" w:rsidRPr="00421098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</w:p>
    <w:p w14:paraId="27CEEA80" w14:textId="77777777" w:rsidR="00894763" w:rsidRPr="00375E42" w:rsidRDefault="00894763" w:rsidP="00894763">
      <w:pPr>
        <w:spacing w:line="300" w:lineRule="auto"/>
        <w:jc w:val="center"/>
        <w:rPr>
          <w:rFonts w:ascii="Times New Roman" w:hAnsi="Times New Roman" w:cs="Times New Roman"/>
          <w:bCs/>
          <w:sz w:val="24"/>
        </w:rPr>
      </w:pPr>
      <w:r w:rsidRPr="00375E42">
        <w:rPr>
          <w:rFonts w:ascii="Times New Roman" w:hAnsi="Times New Roman" w:cs="Times New Roman"/>
          <w:bCs/>
          <w:sz w:val="24"/>
        </w:rPr>
        <w:lastRenderedPageBreak/>
        <w:t>Tab.</w:t>
      </w:r>
      <w:r>
        <w:rPr>
          <w:rFonts w:ascii="Times New Roman" w:hAnsi="Times New Roman" w:cs="Times New Roman" w:hint="eastAsia"/>
          <w:bCs/>
          <w:sz w:val="24"/>
        </w:rPr>
        <w:t xml:space="preserve"> 6</w:t>
      </w:r>
      <w:r w:rsidRPr="00375E42">
        <w:rPr>
          <w:rFonts w:ascii="Times New Roman" w:hAnsi="Times New Roman" w:cs="Times New Roman"/>
          <w:bCs/>
          <w:sz w:val="24"/>
        </w:rPr>
        <w:t xml:space="preserve"> Metrics for sensitivity analysis of</w:t>
      </w:r>
      <w:r w:rsidRPr="00A41699">
        <w:rPr>
          <w:rFonts w:ascii="Times New Roman" w:hAnsi="Times New Roman" w:cs="Times New Roman"/>
          <w:bCs/>
          <w:i/>
          <w:iCs/>
          <w:sz w:val="24"/>
        </w:rPr>
        <w:t xml:space="preserve"> k</w:t>
      </w:r>
      <w:r w:rsidRPr="00375E42">
        <w:rPr>
          <w:rFonts w:ascii="Times New Roman" w:hAnsi="Times New Roman" w:cs="Times New Roman"/>
          <w:bCs/>
          <w:sz w:val="24"/>
        </w:rPr>
        <w:t xml:space="preserve"> on the Street06 sequence.</w:t>
      </w: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4"/>
        <w:gridCol w:w="2074"/>
      </w:tblGrid>
      <w:tr w:rsidR="00894763" w:rsidRPr="00421098" w14:paraId="09921A58" w14:textId="77777777" w:rsidTr="00A20A42">
        <w:trPr>
          <w:jc w:val="center"/>
        </w:trPr>
        <w:tc>
          <w:tcPr>
            <w:tcW w:w="207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8070B7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k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14F9B5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RMSE (m)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6071A8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Δ</w:t>
            </w:r>
          </w:p>
        </w:tc>
      </w:tr>
      <w:tr w:rsidR="00894763" w:rsidRPr="00421098" w14:paraId="726C5197" w14:textId="77777777" w:rsidTr="00A20A42">
        <w:trPr>
          <w:jc w:val="center"/>
        </w:trPr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45095F5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2074" w:type="dxa"/>
            <w:tcBorders>
              <w:top w:val="single" w:sz="4" w:space="0" w:color="auto"/>
            </w:tcBorders>
            <w:vAlign w:val="center"/>
          </w:tcPr>
          <w:p w14:paraId="139B370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0.48</w:t>
            </w:r>
          </w:p>
        </w:tc>
        <w:tc>
          <w:tcPr>
            <w:tcW w:w="2074" w:type="dxa"/>
            <w:tcBorders>
              <w:top w:val="single" w:sz="4" w:space="0" w:color="auto"/>
            </w:tcBorders>
            <w:vAlign w:val="center"/>
          </w:tcPr>
          <w:p w14:paraId="449A66F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+14.3%</w:t>
            </w:r>
          </w:p>
        </w:tc>
      </w:tr>
      <w:tr w:rsidR="00894763" w:rsidRPr="00421098" w14:paraId="026DF1A7" w14:textId="77777777" w:rsidTr="00A20A42">
        <w:trPr>
          <w:jc w:val="center"/>
        </w:trPr>
        <w:tc>
          <w:tcPr>
            <w:tcW w:w="2075" w:type="dxa"/>
            <w:vAlign w:val="center"/>
          </w:tcPr>
          <w:p w14:paraId="4082FB7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2074" w:type="dxa"/>
            <w:vAlign w:val="center"/>
          </w:tcPr>
          <w:p w14:paraId="7BF64744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2074" w:type="dxa"/>
            <w:vAlign w:val="center"/>
          </w:tcPr>
          <w:p w14:paraId="3218F4A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+7.1%</w:t>
            </w:r>
          </w:p>
        </w:tc>
      </w:tr>
      <w:tr w:rsidR="00894763" w:rsidRPr="00421098" w14:paraId="592057F8" w14:textId="77777777" w:rsidTr="00A20A42">
        <w:trPr>
          <w:jc w:val="center"/>
        </w:trPr>
        <w:tc>
          <w:tcPr>
            <w:tcW w:w="2075" w:type="dxa"/>
            <w:vAlign w:val="center"/>
          </w:tcPr>
          <w:p w14:paraId="4EDC3E6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2074" w:type="dxa"/>
            <w:vAlign w:val="center"/>
          </w:tcPr>
          <w:p w14:paraId="7251D73E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0.44</w:t>
            </w:r>
          </w:p>
        </w:tc>
        <w:tc>
          <w:tcPr>
            <w:tcW w:w="2074" w:type="dxa"/>
            <w:vAlign w:val="center"/>
          </w:tcPr>
          <w:p w14:paraId="48BB6BB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+4.8%</w:t>
            </w:r>
          </w:p>
        </w:tc>
      </w:tr>
      <w:tr w:rsidR="00894763" w:rsidRPr="00421098" w14:paraId="568F7A15" w14:textId="77777777" w:rsidTr="00A20A42">
        <w:trPr>
          <w:jc w:val="center"/>
        </w:trPr>
        <w:tc>
          <w:tcPr>
            <w:tcW w:w="2075" w:type="dxa"/>
            <w:vAlign w:val="center"/>
          </w:tcPr>
          <w:p w14:paraId="48DBB509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7.0</w:t>
            </w:r>
          </w:p>
        </w:tc>
        <w:tc>
          <w:tcPr>
            <w:tcW w:w="2074" w:type="dxa"/>
            <w:vAlign w:val="center"/>
          </w:tcPr>
          <w:p w14:paraId="2FBD0259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</w:tc>
        <w:tc>
          <w:tcPr>
            <w:tcW w:w="2074" w:type="dxa"/>
            <w:vAlign w:val="center"/>
          </w:tcPr>
          <w:p w14:paraId="010FCF4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+2.4%</w:t>
            </w:r>
          </w:p>
        </w:tc>
      </w:tr>
      <w:tr w:rsidR="00894763" w:rsidRPr="00421098" w14:paraId="3FA58599" w14:textId="77777777" w:rsidTr="00A20A42">
        <w:trPr>
          <w:jc w:val="center"/>
        </w:trPr>
        <w:tc>
          <w:tcPr>
            <w:tcW w:w="2075" w:type="dxa"/>
            <w:vAlign w:val="center"/>
          </w:tcPr>
          <w:p w14:paraId="594B66AC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8.0</w:t>
            </w:r>
          </w:p>
        </w:tc>
        <w:tc>
          <w:tcPr>
            <w:tcW w:w="2074" w:type="dxa"/>
            <w:vAlign w:val="center"/>
          </w:tcPr>
          <w:p w14:paraId="3CAEC12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0.42</w:t>
            </w:r>
          </w:p>
        </w:tc>
        <w:tc>
          <w:tcPr>
            <w:tcW w:w="2074" w:type="dxa"/>
            <w:vAlign w:val="center"/>
          </w:tcPr>
          <w:p w14:paraId="1733F75E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—</w:t>
            </w:r>
          </w:p>
        </w:tc>
      </w:tr>
      <w:tr w:rsidR="00894763" w:rsidRPr="00421098" w14:paraId="68FCE51E" w14:textId="77777777" w:rsidTr="00A20A42">
        <w:trPr>
          <w:jc w:val="center"/>
        </w:trPr>
        <w:tc>
          <w:tcPr>
            <w:tcW w:w="2075" w:type="dxa"/>
            <w:vAlign w:val="center"/>
          </w:tcPr>
          <w:p w14:paraId="4C031E1D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9.0</w:t>
            </w:r>
          </w:p>
        </w:tc>
        <w:tc>
          <w:tcPr>
            <w:tcW w:w="2074" w:type="dxa"/>
            <w:vAlign w:val="center"/>
          </w:tcPr>
          <w:p w14:paraId="2EA72F14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</w:tc>
        <w:tc>
          <w:tcPr>
            <w:tcW w:w="2074" w:type="dxa"/>
            <w:vAlign w:val="center"/>
          </w:tcPr>
          <w:p w14:paraId="5EC5E55C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+2.4%</w:t>
            </w:r>
          </w:p>
        </w:tc>
      </w:tr>
      <w:tr w:rsidR="00894763" w:rsidRPr="00421098" w14:paraId="5561D86C" w14:textId="77777777" w:rsidTr="00A20A42">
        <w:trPr>
          <w:jc w:val="center"/>
        </w:trPr>
        <w:tc>
          <w:tcPr>
            <w:tcW w:w="2075" w:type="dxa"/>
            <w:vAlign w:val="center"/>
          </w:tcPr>
          <w:p w14:paraId="48EEA2E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2074" w:type="dxa"/>
            <w:vAlign w:val="center"/>
          </w:tcPr>
          <w:p w14:paraId="05ECBDE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0.46</w:t>
            </w:r>
          </w:p>
        </w:tc>
        <w:tc>
          <w:tcPr>
            <w:tcW w:w="2074" w:type="dxa"/>
            <w:vAlign w:val="center"/>
          </w:tcPr>
          <w:p w14:paraId="663D368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+9.5%</w:t>
            </w:r>
          </w:p>
        </w:tc>
      </w:tr>
      <w:tr w:rsidR="00894763" w:rsidRPr="00421098" w14:paraId="1A15C313" w14:textId="77777777" w:rsidTr="00A20A42">
        <w:trPr>
          <w:jc w:val="center"/>
        </w:trPr>
        <w:tc>
          <w:tcPr>
            <w:tcW w:w="2075" w:type="dxa"/>
            <w:tcBorders>
              <w:bottom w:val="single" w:sz="12" w:space="0" w:color="auto"/>
            </w:tcBorders>
            <w:vAlign w:val="center"/>
          </w:tcPr>
          <w:p w14:paraId="25B878FC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12.0</w:t>
            </w:r>
          </w:p>
        </w:tc>
        <w:tc>
          <w:tcPr>
            <w:tcW w:w="2074" w:type="dxa"/>
            <w:tcBorders>
              <w:bottom w:val="single" w:sz="12" w:space="0" w:color="auto"/>
            </w:tcBorders>
            <w:vAlign w:val="center"/>
          </w:tcPr>
          <w:p w14:paraId="3106158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0.51</w:t>
            </w:r>
          </w:p>
        </w:tc>
        <w:tc>
          <w:tcPr>
            <w:tcW w:w="2074" w:type="dxa"/>
            <w:tcBorders>
              <w:bottom w:val="single" w:sz="12" w:space="0" w:color="auto"/>
            </w:tcBorders>
            <w:vAlign w:val="center"/>
          </w:tcPr>
          <w:p w14:paraId="51753F99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+21.4%</w:t>
            </w:r>
          </w:p>
        </w:tc>
      </w:tr>
    </w:tbl>
    <w:p w14:paraId="4FE9785B" w14:textId="77777777" w:rsidR="00894763" w:rsidRPr="00375E42" w:rsidRDefault="00894763" w:rsidP="00894763">
      <w:pPr>
        <w:spacing w:line="300" w:lineRule="auto"/>
        <w:jc w:val="center"/>
        <w:rPr>
          <w:rFonts w:ascii="Times New Roman" w:hAnsi="Times New Roman" w:cs="Times New Roman"/>
          <w:bCs/>
          <w:sz w:val="24"/>
        </w:rPr>
      </w:pPr>
      <w:r w:rsidRPr="00375E42">
        <w:rPr>
          <w:rFonts w:ascii="Times New Roman" w:hAnsi="Times New Roman" w:cs="Times New Roman"/>
          <w:bCs/>
          <w:sz w:val="24"/>
        </w:rPr>
        <w:t>Tab.</w:t>
      </w:r>
      <w:r>
        <w:rPr>
          <w:rFonts w:ascii="Times New Roman" w:hAnsi="Times New Roman" w:cs="Times New Roman" w:hint="eastAsia"/>
          <w:bCs/>
          <w:sz w:val="24"/>
        </w:rPr>
        <w:t xml:space="preserve"> 7</w:t>
      </w:r>
      <w:r w:rsidRPr="00375E42">
        <w:rPr>
          <w:rFonts w:ascii="Times New Roman" w:hAnsi="Times New Roman" w:cs="Times New Roman"/>
          <w:bCs/>
          <w:sz w:val="24"/>
        </w:rPr>
        <w:t xml:space="preserve"> Metrics for sensitivity analysis of </w:t>
      </w:r>
      <w:r w:rsidRPr="00A41699">
        <w:rPr>
          <w:rFonts w:ascii="Times New Roman" w:hAnsi="Times New Roman" w:cs="Times New Roman"/>
          <w:bCs/>
          <w:i/>
          <w:iCs/>
          <w:sz w:val="24"/>
        </w:rPr>
        <w:t>k</w:t>
      </w:r>
      <w:r w:rsidRPr="00375E42">
        <w:rPr>
          <w:rFonts w:ascii="Times New Roman" w:hAnsi="Times New Roman" w:cs="Times New Roman"/>
          <w:bCs/>
          <w:sz w:val="24"/>
        </w:rPr>
        <w:t xml:space="preserve"> on the Street08 sequence.</w:t>
      </w: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4"/>
        <w:gridCol w:w="2074"/>
      </w:tblGrid>
      <w:tr w:rsidR="00894763" w:rsidRPr="00421098" w14:paraId="39660735" w14:textId="77777777" w:rsidTr="00A20A42">
        <w:trPr>
          <w:jc w:val="center"/>
        </w:trPr>
        <w:tc>
          <w:tcPr>
            <w:tcW w:w="207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ABB2DB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k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9D5026C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RMSE (m)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BCAAD4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Δ</w:t>
            </w:r>
          </w:p>
        </w:tc>
      </w:tr>
      <w:tr w:rsidR="00894763" w:rsidRPr="00421098" w14:paraId="0D0073D3" w14:textId="77777777" w:rsidTr="00A20A42">
        <w:trPr>
          <w:jc w:val="center"/>
        </w:trPr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1A2F5F9D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2074" w:type="dxa"/>
            <w:tcBorders>
              <w:top w:val="single" w:sz="4" w:space="0" w:color="auto"/>
            </w:tcBorders>
            <w:vAlign w:val="center"/>
          </w:tcPr>
          <w:p w14:paraId="2673B7F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0.52</w:t>
            </w:r>
          </w:p>
        </w:tc>
        <w:tc>
          <w:tcPr>
            <w:tcW w:w="2074" w:type="dxa"/>
            <w:tcBorders>
              <w:top w:val="single" w:sz="4" w:space="0" w:color="auto"/>
            </w:tcBorders>
            <w:vAlign w:val="center"/>
          </w:tcPr>
          <w:p w14:paraId="406565D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+13.0%</w:t>
            </w:r>
          </w:p>
        </w:tc>
      </w:tr>
      <w:tr w:rsidR="00894763" w:rsidRPr="00421098" w14:paraId="3C2A6E9C" w14:textId="77777777" w:rsidTr="00A20A42">
        <w:trPr>
          <w:jc w:val="center"/>
        </w:trPr>
        <w:tc>
          <w:tcPr>
            <w:tcW w:w="2075" w:type="dxa"/>
            <w:vAlign w:val="center"/>
          </w:tcPr>
          <w:p w14:paraId="6568182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2074" w:type="dxa"/>
            <w:vAlign w:val="center"/>
          </w:tcPr>
          <w:p w14:paraId="65737A5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0.49</w:t>
            </w:r>
          </w:p>
        </w:tc>
        <w:tc>
          <w:tcPr>
            <w:tcW w:w="2074" w:type="dxa"/>
            <w:vAlign w:val="center"/>
          </w:tcPr>
          <w:p w14:paraId="1A29443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+6.5%</w:t>
            </w:r>
          </w:p>
        </w:tc>
      </w:tr>
      <w:tr w:rsidR="00894763" w:rsidRPr="00421098" w14:paraId="54EFA41D" w14:textId="77777777" w:rsidTr="00A20A42">
        <w:trPr>
          <w:jc w:val="center"/>
        </w:trPr>
        <w:tc>
          <w:tcPr>
            <w:tcW w:w="2075" w:type="dxa"/>
            <w:vAlign w:val="center"/>
          </w:tcPr>
          <w:p w14:paraId="42E229D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2074" w:type="dxa"/>
            <w:vAlign w:val="center"/>
          </w:tcPr>
          <w:p w14:paraId="796C0EC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0.48</w:t>
            </w:r>
          </w:p>
        </w:tc>
        <w:tc>
          <w:tcPr>
            <w:tcW w:w="2074" w:type="dxa"/>
            <w:vAlign w:val="center"/>
          </w:tcPr>
          <w:p w14:paraId="417F8A7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+4.3%</w:t>
            </w:r>
          </w:p>
        </w:tc>
      </w:tr>
      <w:tr w:rsidR="00894763" w:rsidRPr="00421098" w14:paraId="478376FF" w14:textId="77777777" w:rsidTr="00A20A42">
        <w:trPr>
          <w:jc w:val="center"/>
        </w:trPr>
        <w:tc>
          <w:tcPr>
            <w:tcW w:w="2075" w:type="dxa"/>
            <w:vAlign w:val="center"/>
          </w:tcPr>
          <w:p w14:paraId="0877BECF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7.0</w:t>
            </w:r>
          </w:p>
        </w:tc>
        <w:tc>
          <w:tcPr>
            <w:tcW w:w="2074" w:type="dxa"/>
            <w:vAlign w:val="center"/>
          </w:tcPr>
          <w:p w14:paraId="74DFCF9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0.47</w:t>
            </w:r>
          </w:p>
        </w:tc>
        <w:tc>
          <w:tcPr>
            <w:tcW w:w="2074" w:type="dxa"/>
            <w:vAlign w:val="center"/>
          </w:tcPr>
          <w:p w14:paraId="492C674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+2.2%</w:t>
            </w:r>
          </w:p>
        </w:tc>
      </w:tr>
      <w:tr w:rsidR="00894763" w:rsidRPr="00421098" w14:paraId="74CBDA0B" w14:textId="77777777" w:rsidTr="00A20A42">
        <w:trPr>
          <w:jc w:val="center"/>
        </w:trPr>
        <w:tc>
          <w:tcPr>
            <w:tcW w:w="2075" w:type="dxa"/>
            <w:vAlign w:val="center"/>
          </w:tcPr>
          <w:p w14:paraId="1978EACF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8.0</w:t>
            </w:r>
          </w:p>
        </w:tc>
        <w:tc>
          <w:tcPr>
            <w:tcW w:w="2074" w:type="dxa"/>
            <w:vAlign w:val="center"/>
          </w:tcPr>
          <w:p w14:paraId="4ED4B654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0.46</w:t>
            </w:r>
          </w:p>
        </w:tc>
        <w:tc>
          <w:tcPr>
            <w:tcW w:w="2074" w:type="dxa"/>
            <w:vAlign w:val="center"/>
          </w:tcPr>
          <w:p w14:paraId="5163980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—</w:t>
            </w:r>
          </w:p>
        </w:tc>
      </w:tr>
      <w:tr w:rsidR="00894763" w:rsidRPr="00421098" w14:paraId="08001E1E" w14:textId="77777777" w:rsidTr="00A20A42">
        <w:trPr>
          <w:jc w:val="center"/>
        </w:trPr>
        <w:tc>
          <w:tcPr>
            <w:tcW w:w="2075" w:type="dxa"/>
            <w:vAlign w:val="center"/>
          </w:tcPr>
          <w:p w14:paraId="4B78DD3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9.0</w:t>
            </w:r>
          </w:p>
        </w:tc>
        <w:tc>
          <w:tcPr>
            <w:tcW w:w="2074" w:type="dxa"/>
            <w:vAlign w:val="center"/>
          </w:tcPr>
          <w:p w14:paraId="76CB85AE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0.47</w:t>
            </w:r>
          </w:p>
        </w:tc>
        <w:tc>
          <w:tcPr>
            <w:tcW w:w="2074" w:type="dxa"/>
            <w:vAlign w:val="center"/>
          </w:tcPr>
          <w:p w14:paraId="78D46A54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+2.2%</w:t>
            </w:r>
          </w:p>
        </w:tc>
      </w:tr>
      <w:tr w:rsidR="00894763" w:rsidRPr="00421098" w14:paraId="45E367B0" w14:textId="77777777" w:rsidTr="00A20A42">
        <w:trPr>
          <w:jc w:val="center"/>
        </w:trPr>
        <w:tc>
          <w:tcPr>
            <w:tcW w:w="2075" w:type="dxa"/>
            <w:vAlign w:val="center"/>
          </w:tcPr>
          <w:p w14:paraId="0790134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2074" w:type="dxa"/>
            <w:vAlign w:val="center"/>
          </w:tcPr>
          <w:p w14:paraId="3D40755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2074" w:type="dxa"/>
            <w:vAlign w:val="center"/>
          </w:tcPr>
          <w:p w14:paraId="6CE26FAE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+8.7%</w:t>
            </w:r>
          </w:p>
        </w:tc>
      </w:tr>
      <w:tr w:rsidR="00894763" w:rsidRPr="00421098" w14:paraId="101DDE83" w14:textId="77777777" w:rsidTr="00A20A42">
        <w:trPr>
          <w:jc w:val="center"/>
        </w:trPr>
        <w:tc>
          <w:tcPr>
            <w:tcW w:w="2075" w:type="dxa"/>
            <w:tcBorders>
              <w:bottom w:val="single" w:sz="12" w:space="0" w:color="auto"/>
            </w:tcBorders>
            <w:vAlign w:val="center"/>
          </w:tcPr>
          <w:p w14:paraId="400D9FF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12.0</w:t>
            </w:r>
          </w:p>
        </w:tc>
        <w:tc>
          <w:tcPr>
            <w:tcW w:w="2074" w:type="dxa"/>
            <w:tcBorders>
              <w:bottom w:val="single" w:sz="12" w:space="0" w:color="auto"/>
            </w:tcBorders>
            <w:vAlign w:val="center"/>
          </w:tcPr>
          <w:p w14:paraId="65BF403D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2074" w:type="dxa"/>
            <w:tcBorders>
              <w:bottom w:val="single" w:sz="12" w:space="0" w:color="auto"/>
            </w:tcBorders>
            <w:vAlign w:val="center"/>
          </w:tcPr>
          <w:p w14:paraId="75105F1D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+19.6%</w:t>
            </w:r>
          </w:p>
        </w:tc>
      </w:tr>
    </w:tbl>
    <w:p w14:paraId="64EE0E8C" w14:textId="77777777" w:rsidR="00894763" w:rsidRPr="00421098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421098">
        <w:rPr>
          <w:rFonts w:ascii="Times New Roman" w:hAnsi="Times New Roman" w:cs="Times New Roman"/>
          <w:sz w:val="24"/>
        </w:rPr>
        <w:t xml:space="preserve">When </w:t>
      </w:r>
      <w:r w:rsidRPr="00421098">
        <w:rPr>
          <w:rFonts w:ascii="Times New Roman" w:hAnsi="Times New Roman" w:cs="Times New Roman"/>
          <w:i/>
          <w:iCs/>
          <w:sz w:val="24"/>
        </w:rPr>
        <w:t>k</w:t>
      </w:r>
      <w:r w:rsidRPr="00421098">
        <w:rPr>
          <w:rFonts w:ascii="Times New Roman" w:hAnsi="Times New Roman" w:cs="Times New Roman"/>
          <w:sz w:val="24"/>
        </w:rPr>
        <w:t xml:space="preserve"> = 4.0, the asymptotic Sigmoid curve disables the adaptive distinction between different field</w:t>
      </w:r>
      <w:r w:rsidRPr="00421098">
        <w:rPr>
          <w:rFonts w:ascii="Times New Roman" w:hAnsi="Times New Roman" w:cs="Times New Roman" w:hint="eastAsia"/>
          <w:sz w:val="24"/>
        </w:rPr>
        <w:t xml:space="preserve"> </w:t>
      </w:r>
      <w:r w:rsidRPr="00421098">
        <w:rPr>
          <w:rFonts w:ascii="Times New Roman" w:hAnsi="Times New Roman" w:cs="Times New Roman"/>
          <w:sz w:val="24"/>
        </w:rPr>
        <w:t>of</w:t>
      </w:r>
      <w:r w:rsidRPr="00421098">
        <w:rPr>
          <w:rFonts w:ascii="Times New Roman" w:hAnsi="Times New Roman" w:cs="Times New Roman" w:hint="eastAsia"/>
          <w:sz w:val="24"/>
        </w:rPr>
        <w:t xml:space="preserve"> </w:t>
      </w:r>
      <w:r w:rsidRPr="00421098">
        <w:rPr>
          <w:rFonts w:ascii="Times New Roman" w:hAnsi="Times New Roman" w:cs="Times New Roman"/>
          <w:sz w:val="24"/>
        </w:rPr>
        <w:t>view states.</w:t>
      </w:r>
    </w:p>
    <w:p w14:paraId="1BB0EB3A" w14:textId="77777777" w:rsidR="00894763" w:rsidRPr="00421098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421098">
        <w:rPr>
          <w:rFonts w:ascii="Times New Roman" w:hAnsi="Times New Roman" w:cs="Times New Roman"/>
          <w:sz w:val="24"/>
        </w:rPr>
        <w:t>When</w:t>
      </w:r>
      <w:r w:rsidRPr="00421098">
        <w:rPr>
          <w:rFonts w:ascii="Times New Roman" w:hAnsi="Times New Roman" w:cs="Times New Roman"/>
          <w:i/>
          <w:iCs/>
          <w:sz w:val="24"/>
        </w:rPr>
        <w:t xml:space="preserve"> k</w:t>
      </w:r>
      <w:r w:rsidRPr="00421098">
        <w:rPr>
          <w:rFonts w:ascii="Times New Roman" w:hAnsi="Times New Roman" w:cs="Times New Roman"/>
          <w:sz w:val="24"/>
        </w:rPr>
        <w:t xml:space="preserve"> = 12.0, the steep transition causes </w:t>
      </w:r>
      <w:r w:rsidRPr="00421098">
        <w:rPr>
          <w:rFonts w:ascii="Times New Roman" w:hAnsi="Times New Roman" w:cs="Times New Roman"/>
          <w:i/>
          <w:iCs/>
          <w:sz w:val="24"/>
        </w:rPr>
        <w:t>α</w:t>
      </w:r>
      <w:r w:rsidRPr="00421098">
        <w:rPr>
          <w:rFonts w:ascii="Times New Roman" w:hAnsi="Times New Roman" w:cs="Times New Roman"/>
          <w:sz w:val="24"/>
        </w:rPr>
        <w:t xml:space="preserve"> to suddenly jump between frames as the density ratio crosses the midpoint, introducing temporal oscillations in the </w:t>
      </w:r>
      <w:proofErr w:type="spellStart"/>
      <w:r w:rsidRPr="00421098">
        <w:rPr>
          <w:rFonts w:ascii="Times New Roman" w:hAnsi="Times New Roman" w:cs="Times New Roman"/>
          <w:sz w:val="24"/>
        </w:rPr>
        <w:t>downsampling</w:t>
      </w:r>
      <w:proofErr w:type="spellEnd"/>
      <w:r w:rsidRPr="00421098">
        <w:rPr>
          <w:rFonts w:ascii="Times New Roman" w:hAnsi="Times New Roman" w:cs="Times New Roman"/>
          <w:sz w:val="24"/>
        </w:rPr>
        <w:t xml:space="preserve"> resolution and map density.</w:t>
      </w:r>
    </w:p>
    <w:p w14:paraId="6D3CC5CB" w14:textId="77777777" w:rsidR="00894763" w:rsidRPr="00421098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421098">
        <w:rPr>
          <w:rFonts w:ascii="Times New Roman" w:hAnsi="Times New Roman" w:cs="Times New Roman"/>
          <w:sz w:val="24"/>
        </w:rPr>
        <w:t xml:space="preserve">The range </w:t>
      </w:r>
      <w:r w:rsidRPr="00421098">
        <w:rPr>
          <w:rFonts w:ascii="Times New Roman" w:hAnsi="Times New Roman" w:cs="Times New Roman"/>
          <w:i/>
          <w:iCs/>
          <w:sz w:val="24"/>
        </w:rPr>
        <w:t xml:space="preserve">k </w:t>
      </w:r>
      <w:r w:rsidRPr="00421098">
        <w:rPr>
          <w:rFonts w:ascii="Cambria Math" w:hAnsi="Cambria Math" w:cs="Cambria Math"/>
          <w:sz w:val="24"/>
        </w:rPr>
        <w:t>∈</w:t>
      </w:r>
      <w:r w:rsidRPr="00421098">
        <w:rPr>
          <w:rFonts w:ascii="Times New Roman" w:hAnsi="Times New Roman" w:cs="Times New Roman"/>
          <w:sz w:val="24"/>
        </w:rPr>
        <w:t xml:space="preserve"> [7.0, 8.5] can provide a balanced </w:t>
      </w:r>
      <w:r w:rsidRPr="00421098">
        <w:rPr>
          <w:rFonts w:ascii="Times New Roman" w:hAnsi="Times New Roman" w:cs="Times New Roman"/>
          <w:i/>
          <w:iCs/>
          <w:sz w:val="24"/>
        </w:rPr>
        <w:t>α</w:t>
      </w:r>
      <w:r w:rsidRPr="00421098">
        <w:rPr>
          <w:rFonts w:ascii="Times New Roman" w:hAnsi="Times New Roman" w:cs="Times New Roman"/>
          <w:sz w:val="24"/>
        </w:rPr>
        <w:t xml:space="preserve"> response curve, keeping the RMSE within +2.4%.</w:t>
      </w:r>
    </w:p>
    <w:p w14:paraId="4F7CDFA7" w14:textId="77777777" w:rsidR="00894763" w:rsidRPr="00421098" w:rsidRDefault="00894763" w:rsidP="00894763">
      <w:pPr>
        <w:spacing w:line="300" w:lineRule="auto"/>
        <w:rPr>
          <w:rFonts w:ascii="Times New Roman" w:hAnsi="Times New Roman" w:cs="Times New Roman"/>
          <w:b/>
          <w:sz w:val="24"/>
        </w:rPr>
      </w:pPr>
      <w:r w:rsidRPr="00421098">
        <w:rPr>
          <w:rFonts w:ascii="Times New Roman" w:hAnsi="Times New Roman" w:cs="Times New Roman" w:hint="eastAsia"/>
          <w:b/>
          <w:sz w:val="24"/>
        </w:rPr>
        <w:t>(4)</w:t>
      </w:r>
      <w:r w:rsidRPr="00421098">
        <w:rPr>
          <w:rFonts w:ascii="Times New Roman" w:hAnsi="Times New Roman" w:cs="Times New Roman"/>
          <w:b/>
          <w:sz w:val="24"/>
        </w:rPr>
        <w:t xml:space="preserve"> Combined </w:t>
      </w:r>
      <w:r>
        <w:rPr>
          <w:rFonts w:ascii="Times New Roman" w:hAnsi="Times New Roman" w:cs="Times New Roman" w:hint="eastAsia"/>
          <w:b/>
          <w:sz w:val="24"/>
        </w:rPr>
        <w:t>s</w:t>
      </w:r>
      <w:r w:rsidRPr="00421098">
        <w:rPr>
          <w:rFonts w:ascii="Times New Roman" w:hAnsi="Times New Roman" w:cs="Times New Roman"/>
          <w:b/>
          <w:sz w:val="24"/>
        </w:rPr>
        <w:t xml:space="preserve">ensitivity </w:t>
      </w:r>
      <w:r>
        <w:rPr>
          <w:rFonts w:ascii="Times New Roman" w:hAnsi="Times New Roman" w:cs="Times New Roman" w:hint="eastAsia"/>
          <w:b/>
          <w:sz w:val="24"/>
        </w:rPr>
        <w:t>a</w:t>
      </w:r>
      <w:r w:rsidRPr="00421098">
        <w:rPr>
          <w:rFonts w:ascii="Times New Roman" w:hAnsi="Times New Roman" w:cs="Times New Roman"/>
          <w:b/>
          <w:sz w:val="24"/>
        </w:rPr>
        <w:t xml:space="preserve">nalysis of </w:t>
      </w:r>
      <w:r>
        <w:rPr>
          <w:rFonts w:ascii="Times New Roman" w:hAnsi="Times New Roman" w:cs="Times New Roman" w:hint="eastAsia"/>
          <w:b/>
          <w:sz w:val="24"/>
        </w:rPr>
        <w:t>s</w:t>
      </w:r>
      <w:r w:rsidRPr="00421098">
        <w:rPr>
          <w:rFonts w:ascii="Times New Roman" w:hAnsi="Times New Roman" w:cs="Times New Roman"/>
          <w:b/>
          <w:sz w:val="24"/>
        </w:rPr>
        <w:t xml:space="preserve">patial </w:t>
      </w:r>
      <w:r>
        <w:rPr>
          <w:rFonts w:ascii="Times New Roman" w:hAnsi="Times New Roman" w:cs="Times New Roman" w:hint="eastAsia"/>
          <w:b/>
          <w:sz w:val="24"/>
        </w:rPr>
        <w:t>r</w:t>
      </w:r>
      <w:r w:rsidRPr="00421098">
        <w:rPr>
          <w:rFonts w:ascii="Times New Roman" w:hAnsi="Times New Roman" w:cs="Times New Roman"/>
          <w:b/>
          <w:sz w:val="24"/>
        </w:rPr>
        <w:t xml:space="preserve">adii </w:t>
      </w:r>
      <w:r w:rsidRPr="00421098">
        <w:rPr>
          <w:rFonts w:ascii="Times New Roman" w:hAnsi="Times New Roman" w:cs="Times New Roman"/>
          <w:i/>
          <w:iCs/>
          <w:sz w:val="24"/>
        </w:rPr>
        <w:t>R</w:t>
      </w:r>
      <w:r w:rsidRPr="00421098">
        <w:rPr>
          <w:rFonts w:ascii="Times New Roman" w:hAnsi="Times New Roman" w:cs="Times New Roman"/>
          <w:i/>
          <w:iCs/>
          <w:sz w:val="24"/>
          <w:vertAlign w:val="subscript"/>
        </w:rPr>
        <w:t>inner</w:t>
      </w:r>
      <w:r w:rsidRPr="00421098">
        <w:rPr>
          <w:rFonts w:ascii="Times New Roman" w:hAnsi="Times New Roman" w:cs="Times New Roman"/>
          <w:b/>
          <w:sz w:val="24"/>
        </w:rPr>
        <w:t xml:space="preserve"> and </w:t>
      </w:r>
      <w:r w:rsidRPr="00421098">
        <w:rPr>
          <w:rFonts w:ascii="Times New Roman" w:hAnsi="Times New Roman" w:cs="Times New Roman"/>
          <w:i/>
          <w:iCs/>
          <w:sz w:val="24"/>
        </w:rPr>
        <w:t>R</w:t>
      </w:r>
      <w:r w:rsidRPr="00421098">
        <w:rPr>
          <w:rFonts w:ascii="Times New Roman" w:hAnsi="Times New Roman" w:cs="Times New Roman"/>
          <w:i/>
          <w:iCs/>
          <w:sz w:val="24"/>
          <w:vertAlign w:val="subscript"/>
        </w:rPr>
        <w:t>outer</w:t>
      </w:r>
    </w:p>
    <w:p w14:paraId="049CDA85" w14:textId="77777777" w:rsidR="00894763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515BBF">
        <w:rPr>
          <w:rFonts w:ascii="Times New Roman" w:hAnsi="Times New Roman" w:cs="Times New Roman"/>
          <w:sz w:val="24"/>
        </w:rPr>
        <w:t xml:space="preserve">All combinations of </w:t>
      </w:r>
      <w:r w:rsidRPr="00421098">
        <w:rPr>
          <w:rFonts w:ascii="Times New Roman" w:hAnsi="Times New Roman" w:cs="Times New Roman"/>
          <w:i/>
          <w:iCs/>
          <w:sz w:val="24"/>
        </w:rPr>
        <w:t>R</w:t>
      </w:r>
      <w:r w:rsidRPr="00421098">
        <w:rPr>
          <w:rFonts w:ascii="Times New Roman" w:hAnsi="Times New Roman" w:cs="Times New Roman"/>
          <w:i/>
          <w:iCs/>
          <w:sz w:val="24"/>
          <w:vertAlign w:val="subscript"/>
        </w:rPr>
        <w:t>inner</w:t>
      </w:r>
      <w:r w:rsidRPr="00421098">
        <w:rPr>
          <w:rFonts w:ascii="Times New Roman" w:hAnsi="Times New Roman" w:cs="Times New Roman"/>
          <w:i/>
          <w:sz w:val="24"/>
        </w:rPr>
        <w:t xml:space="preserve"> </w:t>
      </w:r>
      <w:r w:rsidRPr="00421098">
        <w:rPr>
          <w:rFonts w:ascii="Cambria Math" w:hAnsi="Cambria Math" w:cs="Cambria Math"/>
          <w:iCs/>
          <w:sz w:val="24"/>
        </w:rPr>
        <w:t>∈</w:t>
      </w:r>
      <w:r w:rsidRPr="00421098">
        <w:rPr>
          <w:rFonts w:ascii="Times New Roman" w:hAnsi="Times New Roman" w:cs="Times New Roman"/>
          <w:iCs/>
          <w:sz w:val="24"/>
        </w:rPr>
        <w:t xml:space="preserve"> {3, 4, 5, 6, 7}</w:t>
      </w:r>
      <w:r w:rsidRPr="00515BBF">
        <w:rPr>
          <w:rFonts w:ascii="Times New Roman" w:hAnsi="Times New Roman" w:cs="Times New Roman"/>
          <w:iCs/>
          <w:sz w:val="24"/>
        </w:rPr>
        <w:t xml:space="preserve"> m and</w:t>
      </w:r>
      <w:r w:rsidRPr="00421098">
        <w:rPr>
          <w:rFonts w:ascii="Times New Roman" w:hAnsi="Times New Roman" w:cs="Times New Roman"/>
          <w:i/>
          <w:sz w:val="24"/>
        </w:rPr>
        <w:t xml:space="preserve"> </w:t>
      </w:r>
      <w:r w:rsidRPr="00421098">
        <w:rPr>
          <w:rFonts w:ascii="Times New Roman" w:hAnsi="Times New Roman" w:cs="Times New Roman"/>
          <w:i/>
          <w:iCs/>
          <w:sz w:val="24"/>
        </w:rPr>
        <w:t>R</w:t>
      </w:r>
      <w:r w:rsidRPr="00421098">
        <w:rPr>
          <w:rFonts w:ascii="Times New Roman" w:hAnsi="Times New Roman" w:cs="Times New Roman"/>
          <w:i/>
          <w:iCs/>
          <w:sz w:val="24"/>
          <w:vertAlign w:val="subscript"/>
        </w:rPr>
        <w:t>outer</w:t>
      </w:r>
      <w:r w:rsidRPr="00421098">
        <w:rPr>
          <w:rFonts w:ascii="Times New Roman" w:hAnsi="Times New Roman" w:cs="Times New Roman"/>
          <w:sz w:val="24"/>
        </w:rPr>
        <w:t xml:space="preserve"> </w:t>
      </w:r>
      <w:r w:rsidRPr="00421098">
        <w:rPr>
          <w:rFonts w:ascii="Cambria Math" w:hAnsi="Cambria Math" w:cs="Cambria Math"/>
          <w:sz w:val="24"/>
        </w:rPr>
        <w:t>∈</w:t>
      </w:r>
      <w:r w:rsidRPr="00421098">
        <w:rPr>
          <w:rFonts w:ascii="Times New Roman" w:hAnsi="Times New Roman" w:cs="Times New Roman"/>
          <w:sz w:val="24"/>
        </w:rPr>
        <w:t xml:space="preserve"> {12, 15, </w:t>
      </w:r>
      <w:r w:rsidRPr="00421098">
        <w:rPr>
          <w:rFonts w:ascii="Times New Roman" w:hAnsi="Times New Roman" w:cs="Times New Roman"/>
          <w:bCs/>
          <w:sz w:val="24"/>
        </w:rPr>
        <w:t>20</w:t>
      </w:r>
      <w:r w:rsidRPr="00421098">
        <w:rPr>
          <w:rFonts w:ascii="Times New Roman" w:hAnsi="Times New Roman" w:cs="Times New Roman"/>
          <w:sz w:val="24"/>
        </w:rPr>
        <w:t>, 22, 25} m</w:t>
      </w:r>
      <w:r w:rsidRPr="00515BBF">
        <w:rPr>
          <w:rFonts w:ascii="Times New Roman" w:hAnsi="Times New Roman" w:cs="Times New Roman"/>
          <w:sz w:val="24"/>
        </w:rPr>
        <w:t xml:space="preserve"> were evaluated on the M2DGR Street06 and Street08 sequences, with all other parameters fixed at defaults.</w:t>
      </w:r>
    </w:p>
    <w:p w14:paraId="1077D36C" w14:textId="77777777" w:rsidR="00894763" w:rsidRDefault="00894763" w:rsidP="00894763">
      <w:pPr>
        <w:spacing w:line="300" w:lineRule="auto"/>
        <w:jc w:val="center"/>
        <w:rPr>
          <w:rFonts w:ascii="Times New Roman" w:hAnsi="Times New Roman" w:cs="Times New Roman"/>
          <w:bCs/>
          <w:sz w:val="24"/>
        </w:rPr>
      </w:pPr>
    </w:p>
    <w:p w14:paraId="5FF68510" w14:textId="77777777" w:rsidR="00894763" w:rsidRDefault="00894763" w:rsidP="00894763">
      <w:pPr>
        <w:spacing w:line="300" w:lineRule="auto"/>
        <w:jc w:val="center"/>
        <w:rPr>
          <w:rFonts w:ascii="Times New Roman" w:hAnsi="Times New Roman" w:cs="Times New Roman"/>
          <w:bCs/>
          <w:sz w:val="24"/>
        </w:rPr>
      </w:pPr>
    </w:p>
    <w:p w14:paraId="0F5BA4CF" w14:textId="77777777" w:rsidR="00894763" w:rsidRDefault="00894763" w:rsidP="00894763">
      <w:pPr>
        <w:spacing w:line="300" w:lineRule="auto"/>
        <w:jc w:val="center"/>
        <w:rPr>
          <w:rFonts w:ascii="Times New Roman" w:hAnsi="Times New Roman" w:cs="Times New Roman"/>
          <w:bCs/>
          <w:sz w:val="24"/>
        </w:rPr>
      </w:pPr>
    </w:p>
    <w:p w14:paraId="49CE658D" w14:textId="77777777" w:rsidR="00894763" w:rsidRDefault="00894763" w:rsidP="00894763">
      <w:pPr>
        <w:spacing w:line="300" w:lineRule="auto"/>
        <w:jc w:val="center"/>
        <w:rPr>
          <w:rFonts w:ascii="Times New Roman" w:hAnsi="Times New Roman" w:cs="Times New Roman"/>
          <w:bCs/>
          <w:sz w:val="24"/>
        </w:rPr>
      </w:pPr>
    </w:p>
    <w:p w14:paraId="0E1AAF96" w14:textId="77777777" w:rsidR="00894763" w:rsidRPr="00375E42" w:rsidRDefault="00894763" w:rsidP="00894763">
      <w:pPr>
        <w:spacing w:line="300" w:lineRule="auto"/>
        <w:jc w:val="center"/>
        <w:rPr>
          <w:rFonts w:ascii="Times New Roman" w:hAnsi="Times New Roman" w:cs="Times New Roman"/>
          <w:bCs/>
          <w:sz w:val="24"/>
        </w:rPr>
      </w:pPr>
      <w:r w:rsidRPr="00375E42">
        <w:rPr>
          <w:rFonts w:ascii="Times New Roman" w:hAnsi="Times New Roman" w:cs="Times New Roman"/>
          <w:bCs/>
          <w:sz w:val="24"/>
        </w:rPr>
        <w:lastRenderedPageBreak/>
        <w:t>Tab.</w:t>
      </w:r>
      <w:r>
        <w:rPr>
          <w:rFonts w:ascii="Times New Roman" w:hAnsi="Times New Roman" w:cs="Times New Roman" w:hint="eastAsia"/>
          <w:bCs/>
          <w:sz w:val="24"/>
        </w:rPr>
        <w:t xml:space="preserve"> 8</w:t>
      </w:r>
      <w:r w:rsidRPr="00375E42">
        <w:rPr>
          <w:rFonts w:ascii="Times New Roman" w:hAnsi="Times New Roman" w:cs="Times New Roman"/>
          <w:bCs/>
          <w:sz w:val="24"/>
        </w:rPr>
        <w:t xml:space="preserve"> RMSE (m) for sensitivity analysis of </w:t>
      </w:r>
      <w:r w:rsidRPr="00A41699">
        <w:rPr>
          <w:rFonts w:ascii="Times New Roman" w:hAnsi="Times New Roman" w:cs="Times New Roman"/>
          <w:bCs/>
          <w:i/>
          <w:iCs/>
          <w:sz w:val="24"/>
        </w:rPr>
        <w:t>Rinner</w:t>
      </w:r>
      <w:r w:rsidRPr="00375E42">
        <w:rPr>
          <w:rFonts w:ascii="Times New Roman" w:hAnsi="Times New Roman" w:cs="Times New Roman"/>
          <w:bCs/>
          <w:sz w:val="24"/>
        </w:rPr>
        <w:t xml:space="preserve"> and </w:t>
      </w:r>
      <w:r w:rsidRPr="00A41699">
        <w:rPr>
          <w:rFonts w:ascii="Times New Roman" w:hAnsi="Times New Roman" w:cs="Times New Roman"/>
          <w:bCs/>
          <w:i/>
          <w:iCs/>
          <w:sz w:val="24"/>
        </w:rPr>
        <w:t>Router</w:t>
      </w:r>
      <w:r w:rsidRPr="00375E42">
        <w:rPr>
          <w:rFonts w:ascii="Times New Roman" w:hAnsi="Times New Roman" w:cs="Times New Roman"/>
          <w:bCs/>
          <w:sz w:val="24"/>
        </w:rPr>
        <w:t xml:space="preserve"> on the Street06.</w:t>
      </w: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5"/>
        <w:gridCol w:w="1385"/>
        <w:gridCol w:w="1385"/>
        <w:gridCol w:w="1385"/>
        <w:gridCol w:w="1385"/>
        <w:gridCol w:w="1385"/>
      </w:tblGrid>
      <w:tr w:rsidR="00894763" w:rsidRPr="00421098" w14:paraId="089CAB10" w14:textId="77777777" w:rsidTr="00A20A42">
        <w:trPr>
          <w:jc w:val="center"/>
        </w:trPr>
        <w:tc>
          <w:tcPr>
            <w:tcW w:w="1385" w:type="dxa"/>
            <w:tcBorders>
              <w:top w:val="single" w:sz="12" w:space="0" w:color="auto"/>
              <w:bottom w:val="single" w:sz="4" w:space="0" w:color="auto"/>
              <w:tl2br w:val="single" w:sz="4" w:space="0" w:color="auto"/>
            </w:tcBorders>
            <w:vAlign w:val="center"/>
          </w:tcPr>
          <w:p w14:paraId="30CECD68" w14:textId="77777777" w:rsidR="00894763" w:rsidRPr="00421098" w:rsidRDefault="00894763" w:rsidP="00A20A42">
            <w:pPr>
              <w:spacing w:line="300" w:lineRule="auto"/>
              <w:jc w:val="righ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421098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outer</w:t>
            </w:r>
          </w:p>
          <w:p w14:paraId="08AAE64D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421098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inner</w:t>
            </w:r>
          </w:p>
        </w:tc>
        <w:tc>
          <w:tcPr>
            <w:tcW w:w="13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F51D17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12 m</w:t>
            </w:r>
          </w:p>
        </w:tc>
        <w:tc>
          <w:tcPr>
            <w:tcW w:w="13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0DCC21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15 m</w:t>
            </w:r>
          </w:p>
        </w:tc>
        <w:tc>
          <w:tcPr>
            <w:tcW w:w="13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00F486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20 m</w:t>
            </w:r>
          </w:p>
        </w:tc>
        <w:tc>
          <w:tcPr>
            <w:tcW w:w="13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55A1D11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22 m</w:t>
            </w:r>
          </w:p>
        </w:tc>
        <w:tc>
          <w:tcPr>
            <w:tcW w:w="13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D19FA1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25 m</w:t>
            </w:r>
          </w:p>
        </w:tc>
      </w:tr>
      <w:tr w:rsidR="00894763" w:rsidRPr="00421098" w14:paraId="18CED450" w14:textId="77777777" w:rsidTr="00A20A42">
        <w:trPr>
          <w:jc w:val="center"/>
        </w:trPr>
        <w:tc>
          <w:tcPr>
            <w:tcW w:w="1385" w:type="dxa"/>
            <w:tcBorders>
              <w:top w:val="single" w:sz="4" w:space="0" w:color="auto"/>
            </w:tcBorders>
            <w:vAlign w:val="center"/>
          </w:tcPr>
          <w:p w14:paraId="7D5B42B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3 m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vAlign w:val="center"/>
          </w:tcPr>
          <w:p w14:paraId="311ACE94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0.55 (+31.0%)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vAlign w:val="center"/>
          </w:tcPr>
          <w:p w14:paraId="6C73DFD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0.52 (+23.8%)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vAlign w:val="center"/>
          </w:tcPr>
          <w:p w14:paraId="345F911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0.49 (+16.7%)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vAlign w:val="center"/>
          </w:tcPr>
          <w:p w14:paraId="514E634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0.50 (+19.0%)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vAlign w:val="center"/>
          </w:tcPr>
          <w:p w14:paraId="47440DB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0.52 (+23.8%)</w:t>
            </w:r>
          </w:p>
        </w:tc>
      </w:tr>
      <w:tr w:rsidR="00894763" w:rsidRPr="00421098" w14:paraId="366EBD91" w14:textId="77777777" w:rsidTr="00A20A42">
        <w:trPr>
          <w:jc w:val="center"/>
        </w:trPr>
        <w:tc>
          <w:tcPr>
            <w:tcW w:w="1385" w:type="dxa"/>
            <w:vAlign w:val="center"/>
          </w:tcPr>
          <w:p w14:paraId="51B3C8B1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4 m</w:t>
            </w:r>
          </w:p>
        </w:tc>
        <w:tc>
          <w:tcPr>
            <w:tcW w:w="1385" w:type="dxa"/>
            <w:vAlign w:val="center"/>
          </w:tcPr>
          <w:p w14:paraId="7927210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0.50 (+19.0%)</w:t>
            </w:r>
          </w:p>
        </w:tc>
        <w:tc>
          <w:tcPr>
            <w:tcW w:w="1385" w:type="dxa"/>
            <w:vAlign w:val="center"/>
          </w:tcPr>
          <w:p w14:paraId="6D2A73D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0.47 (+11.9%)</w:t>
            </w:r>
          </w:p>
        </w:tc>
        <w:tc>
          <w:tcPr>
            <w:tcW w:w="1385" w:type="dxa"/>
            <w:vAlign w:val="center"/>
          </w:tcPr>
          <w:p w14:paraId="10A9D8FE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0.44 (+4.8%)</w:t>
            </w:r>
          </w:p>
        </w:tc>
        <w:tc>
          <w:tcPr>
            <w:tcW w:w="1385" w:type="dxa"/>
            <w:vAlign w:val="center"/>
          </w:tcPr>
          <w:p w14:paraId="5EF6477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0.45 (+7.1%)</w:t>
            </w:r>
          </w:p>
        </w:tc>
        <w:tc>
          <w:tcPr>
            <w:tcW w:w="1385" w:type="dxa"/>
            <w:vAlign w:val="center"/>
          </w:tcPr>
          <w:p w14:paraId="291F724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0.47 (+11.9%)</w:t>
            </w:r>
          </w:p>
        </w:tc>
      </w:tr>
      <w:tr w:rsidR="00894763" w:rsidRPr="00421098" w14:paraId="3B041BAA" w14:textId="77777777" w:rsidTr="00A20A42">
        <w:trPr>
          <w:jc w:val="center"/>
        </w:trPr>
        <w:tc>
          <w:tcPr>
            <w:tcW w:w="1385" w:type="dxa"/>
            <w:vAlign w:val="center"/>
          </w:tcPr>
          <w:p w14:paraId="516B45F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5 m</w:t>
            </w:r>
          </w:p>
        </w:tc>
        <w:tc>
          <w:tcPr>
            <w:tcW w:w="1385" w:type="dxa"/>
            <w:vAlign w:val="center"/>
          </w:tcPr>
          <w:p w14:paraId="1B689404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0.47 (+11.9%)</w:t>
            </w:r>
          </w:p>
        </w:tc>
        <w:tc>
          <w:tcPr>
            <w:tcW w:w="1385" w:type="dxa"/>
            <w:vAlign w:val="center"/>
          </w:tcPr>
          <w:p w14:paraId="16030B2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0.44 (+4.8%)</w:t>
            </w:r>
          </w:p>
        </w:tc>
        <w:tc>
          <w:tcPr>
            <w:tcW w:w="1385" w:type="dxa"/>
            <w:vAlign w:val="center"/>
          </w:tcPr>
          <w:p w14:paraId="0DCFF61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0.42 (—)</w:t>
            </w:r>
          </w:p>
        </w:tc>
        <w:tc>
          <w:tcPr>
            <w:tcW w:w="1385" w:type="dxa"/>
            <w:vAlign w:val="center"/>
          </w:tcPr>
          <w:p w14:paraId="7E20B42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0.43 (+2.4%)</w:t>
            </w:r>
          </w:p>
        </w:tc>
        <w:tc>
          <w:tcPr>
            <w:tcW w:w="1385" w:type="dxa"/>
            <w:vAlign w:val="center"/>
          </w:tcPr>
          <w:p w14:paraId="47AC60A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0.45 (+7.1%)</w:t>
            </w:r>
          </w:p>
        </w:tc>
      </w:tr>
      <w:tr w:rsidR="00894763" w:rsidRPr="00421098" w14:paraId="2D06073E" w14:textId="77777777" w:rsidTr="00A20A42">
        <w:trPr>
          <w:jc w:val="center"/>
        </w:trPr>
        <w:tc>
          <w:tcPr>
            <w:tcW w:w="1385" w:type="dxa"/>
            <w:vAlign w:val="center"/>
          </w:tcPr>
          <w:p w14:paraId="27A6296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6 m</w:t>
            </w:r>
          </w:p>
        </w:tc>
        <w:tc>
          <w:tcPr>
            <w:tcW w:w="1385" w:type="dxa"/>
            <w:vAlign w:val="center"/>
          </w:tcPr>
          <w:p w14:paraId="2C8FAD7D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0.51 (+21.4%)</w:t>
            </w:r>
          </w:p>
        </w:tc>
        <w:tc>
          <w:tcPr>
            <w:tcW w:w="1385" w:type="dxa"/>
            <w:vAlign w:val="center"/>
          </w:tcPr>
          <w:p w14:paraId="1EFF500E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0.47 (+11.9%)</w:t>
            </w:r>
          </w:p>
        </w:tc>
        <w:tc>
          <w:tcPr>
            <w:tcW w:w="1385" w:type="dxa"/>
            <w:vAlign w:val="center"/>
          </w:tcPr>
          <w:p w14:paraId="43AEF30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0.44 (+4.8%)</w:t>
            </w:r>
          </w:p>
        </w:tc>
        <w:tc>
          <w:tcPr>
            <w:tcW w:w="1385" w:type="dxa"/>
            <w:vAlign w:val="center"/>
          </w:tcPr>
          <w:p w14:paraId="29AEAB3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0.45 (+7.1%)</w:t>
            </w:r>
          </w:p>
        </w:tc>
        <w:tc>
          <w:tcPr>
            <w:tcW w:w="1385" w:type="dxa"/>
            <w:vAlign w:val="center"/>
          </w:tcPr>
          <w:p w14:paraId="2CEA212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0.47 (+11.9%)</w:t>
            </w:r>
          </w:p>
        </w:tc>
      </w:tr>
      <w:tr w:rsidR="00894763" w:rsidRPr="00421098" w14:paraId="7064BFBD" w14:textId="77777777" w:rsidTr="00A20A42">
        <w:trPr>
          <w:jc w:val="center"/>
        </w:trPr>
        <w:tc>
          <w:tcPr>
            <w:tcW w:w="1385" w:type="dxa"/>
            <w:tcBorders>
              <w:bottom w:val="single" w:sz="12" w:space="0" w:color="auto"/>
            </w:tcBorders>
            <w:vAlign w:val="center"/>
          </w:tcPr>
          <w:p w14:paraId="5B50B2F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7 m</w:t>
            </w:r>
          </w:p>
        </w:tc>
        <w:tc>
          <w:tcPr>
            <w:tcW w:w="1385" w:type="dxa"/>
            <w:tcBorders>
              <w:bottom w:val="single" w:sz="12" w:space="0" w:color="auto"/>
            </w:tcBorders>
            <w:vAlign w:val="center"/>
          </w:tcPr>
          <w:p w14:paraId="41EE4E4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0.56 (+33.3%)</w:t>
            </w:r>
          </w:p>
        </w:tc>
        <w:tc>
          <w:tcPr>
            <w:tcW w:w="1385" w:type="dxa"/>
            <w:tcBorders>
              <w:bottom w:val="single" w:sz="12" w:space="0" w:color="auto"/>
            </w:tcBorders>
            <w:vAlign w:val="center"/>
          </w:tcPr>
          <w:p w14:paraId="6E3CC0A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0.52 (+23.8%)</w:t>
            </w:r>
          </w:p>
        </w:tc>
        <w:tc>
          <w:tcPr>
            <w:tcW w:w="1385" w:type="dxa"/>
            <w:tcBorders>
              <w:bottom w:val="single" w:sz="12" w:space="0" w:color="auto"/>
            </w:tcBorders>
            <w:vAlign w:val="center"/>
          </w:tcPr>
          <w:p w14:paraId="2BB75A2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0.48 (+14.3%)</w:t>
            </w:r>
          </w:p>
        </w:tc>
        <w:tc>
          <w:tcPr>
            <w:tcW w:w="1385" w:type="dxa"/>
            <w:tcBorders>
              <w:bottom w:val="single" w:sz="12" w:space="0" w:color="auto"/>
            </w:tcBorders>
            <w:vAlign w:val="center"/>
          </w:tcPr>
          <w:p w14:paraId="340A465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0.50 (+19.0%)</w:t>
            </w:r>
          </w:p>
        </w:tc>
        <w:tc>
          <w:tcPr>
            <w:tcW w:w="1385" w:type="dxa"/>
            <w:tcBorders>
              <w:bottom w:val="single" w:sz="12" w:space="0" w:color="auto"/>
            </w:tcBorders>
            <w:vAlign w:val="center"/>
          </w:tcPr>
          <w:p w14:paraId="0939259D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0.53 (+26.2%)</w:t>
            </w:r>
          </w:p>
        </w:tc>
      </w:tr>
    </w:tbl>
    <w:p w14:paraId="641CAF58" w14:textId="77777777" w:rsidR="00894763" w:rsidRPr="00375E42" w:rsidRDefault="00894763" w:rsidP="00894763">
      <w:pPr>
        <w:keepNext/>
        <w:spacing w:line="300" w:lineRule="auto"/>
        <w:jc w:val="center"/>
        <w:rPr>
          <w:rFonts w:ascii="Times New Roman" w:hAnsi="Times New Roman" w:cs="Times New Roman"/>
          <w:bCs/>
          <w:sz w:val="24"/>
        </w:rPr>
      </w:pPr>
      <w:r w:rsidRPr="00375E42">
        <w:rPr>
          <w:rFonts w:ascii="Times New Roman" w:hAnsi="Times New Roman" w:cs="Times New Roman"/>
          <w:bCs/>
          <w:sz w:val="24"/>
        </w:rPr>
        <w:t>Tab.</w:t>
      </w:r>
      <w:r>
        <w:rPr>
          <w:rFonts w:ascii="Times New Roman" w:hAnsi="Times New Roman" w:cs="Times New Roman" w:hint="eastAsia"/>
          <w:bCs/>
          <w:sz w:val="24"/>
        </w:rPr>
        <w:t xml:space="preserve"> 9</w:t>
      </w:r>
      <w:r w:rsidRPr="00375E42">
        <w:rPr>
          <w:rFonts w:ascii="Times New Roman" w:hAnsi="Times New Roman" w:cs="Times New Roman"/>
          <w:bCs/>
          <w:sz w:val="24"/>
        </w:rPr>
        <w:t xml:space="preserve"> RMSE (m) for sensitivity analysis of </w:t>
      </w:r>
      <w:r w:rsidRPr="00A41699">
        <w:rPr>
          <w:rFonts w:ascii="Times New Roman" w:hAnsi="Times New Roman" w:cs="Times New Roman"/>
          <w:bCs/>
          <w:i/>
          <w:iCs/>
          <w:sz w:val="24"/>
        </w:rPr>
        <w:t>Rinner</w:t>
      </w:r>
      <w:r w:rsidRPr="00375E42">
        <w:rPr>
          <w:rFonts w:ascii="Times New Roman" w:hAnsi="Times New Roman" w:cs="Times New Roman"/>
          <w:bCs/>
          <w:sz w:val="24"/>
        </w:rPr>
        <w:t xml:space="preserve"> and </w:t>
      </w:r>
      <w:r w:rsidRPr="00A41699">
        <w:rPr>
          <w:rFonts w:ascii="Times New Roman" w:hAnsi="Times New Roman" w:cs="Times New Roman"/>
          <w:bCs/>
          <w:i/>
          <w:iCs/>
          <w:sz w:val="24"/>
        </w:rPr>
        <w:t>Router</w:t>
      </w:r>
      <w:r w:rsidRPr="00375E42">
        <w:rPr>
          <w:rFonts w:ascii="Times New Roman" w:hAnsi="Times New Roman" w:cs="Times New Roman"/>
          <w:bCs/>
          <w:sz w:val="24"/>
        </w:rPr>
        <w:t xml:space="preserve"> on the Street08.</w:t>
      </w: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5"/>
        <w:gridCol w:w="1385"/>
        <w:gridCol w:w="1385"/>
        <w:gridCol w:w="1385"/>
        <w:gridCol w:w="1385"/>
        <w:gridCol w:w="1385"/>
      </w:tblGrid>
      <w:tr w:rsidR="00894763" w:rsidRPr="00421098" w14:paraId="52CE8400" w14:textId="77777777" w:rsidTr="00A20A42">
        <w:trPr>
          <w:jc w:val="center"/>
        </w:trPr>
        <w:tc>
          <w:tcPr>
            <w:tcW w:w="1385" w:type="dxa"/>
            <w:tcBorders>
              <w:top w:val="single" w:sz="12" w:space="0" w:color="auto"/>
              <w:bottom w:val="single" w:sz="4" w:space="0" w:color="auto"/>
              <w:tl2br w:val="single" w:sz="4" w:space="0" w:color="auto"/>
            </w:tcBorders>
            <w:vAlign w:val="center"/>
          </w:tcPr>
          <w:p w14:paraId="3B7F9C35" w14:textId="77777777" w:rsidR="00894763" w:rsidRPr="00421098" w:rsidRDefault="00894763" w:rsidP="00A20A42">
            <w:pPr>
              <w:spacing w:line="30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421098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outer</w:t>
            </w:r>
          </w:p>
          <w:p w14:paraId="299883E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421098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inner</w:t>
            </w:r>
          </w:p>
        </w:tc>
        <w:tc>
          <w:tcPr>
            <w:tcW w:w="13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B092F4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12 m</w:t>
            </w:r>
          </w:p>
        </w:tc>
        <w:tc>
          <w:tcPr>
            <w:tcW w:w="13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A67820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15 m</w:t>
            </w:r>
          </w:p>
        </w:tc>
        <w:tc>
          <w:tcPr>
            <w:tcW w:w="13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FF3E1BE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20 m</w:t>
            </w:r>
          </w:p>
        </w:tc>
        <w:tc>
          <w:tcPr>
            <w:tcW w:w="13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A280D6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22 m</w:t>
            </w:r>
          </w:p>
        </w:tc>
        <w:tc>
          <w:tcPr>
            <w:tcW w:w="13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D96873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25 m</w:t>
            </w:r>
          </w:p>
        </w:tc>
      </w:tr>
      <w:tr w:rsidR="00894763" w:rsidRPr="00421098" w14:paraId="1702EFE6" w14:textId="77777777" w:rsidTr="00A20A42">
        <w:trPr>
          <w:jc w:val="center"/>
        </w:trPr>
        <w:tc>
          <w:tcPr>
            <w:tcW w:w="1385" w:type="dxa"/>
            <w:tcBorders>
              <w:top w:val="single" w:sz="4" w:space="0" w:color="auto"/>
            </w:tcBorders>
            <w:vAlign w:val="center"/>
          </w:tcPr>
          <w:p w14:paraId="57AADC39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3 m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vAlign w:val="center"/>
          </w:tcPr>
          <w:p w14:paraId="50CF69F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0.60 (+30.4%)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vAlign w:val="center"/>
          </w:tcPr>
          <w:p w14:paraId="402050B1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0.57 (+23.9%)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vAlign w:val="center"/>
          </w:tcPr>
          <w:p w14:paraId="32C45FB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0.54 (+17.4%)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vAlign w:val="center"/>
          </w:tcPr>
          <w:p w14:paraId="3299631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0.55 (+19.6%)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vAlign w:val="center"/>
          </w:tcPr>
          <w:p w14:paraId="417A971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0.57 (+23.9%)</w:t>
            </w:r>
          </w:p>
        </w:tc>
      </w:tr>
      <w:tr w:rsidR="00894763" w:rsidRPr="00421098" w14:paraId="6E1A5141" w14:textId="77777777" w:rsidTr="00A20A42">
        <w:trPr>
          <w:jc w:val="center"/>
        </w:trPr>
        <w:tc>
          <w:tcPr>
            <w:tcW w:w="1385" w:type="dxa"/>
            <w:vAlign w:val="center"/>
          </w:tcPr>
          <w:p w14:paraId="66BA1A4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4 m</w:t>
            </w:r>
          </w:p>
        </w:tc>
        <w:tc>
          <w:tcPr>
            <w:tcW w:w="1385" w:type="dxa"/>
            <w:vAlign w:val="center"/>
          </w:tcPr>
          <w:p w14:paraId="0C8EF9D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0.54 (+17.4%)</w:t>
            </w:r>
          </w:p>
        </w:tc>
        <w:tc>
          <w:tcPr>
            <w:tcW w:w="1385" w:type="dxa"/>
            <w:vAlign w:val="center"/>
          </w:tcPr>
          <w:p w14:paraId="6412D9EF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0.51 (+10.9%)</w:t>
            </w:r>
          </w:p>
        </w:tc>
        <w:tc>
          <w:tcPr>
            <w:tcW w:w="1385" w:type="dxa"/>
            <w:vAlign w:val="center"/>
          </w:tcPr>
          <w:p w14:paraId="423F8E3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0.48 (+4.3%)</w:t>
            </w:r>
          </w:p>
        </w:tc>
        <w:tc>
          <w:tcPr>
            <w:tcW w:w="1385" w:type="dxa"/>
            <w:vAlign w:val="center"/>
          </w:tcPr>
          <w:p w14:paraId="1B3F155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0.49 (+6.5%)</w:t>
            </w:r>
          </w:p>
        </w:tc>
        <w:tc>
          <w:tcPr>
            <w:tcW w:w="1385" w:type="dxa"/>
            <w:vAlign w:val="center"/>
          </w:tcPr>
          <w:p w14:paraId="5E228A2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0.51 (+10.9%)</w:t>
            </w:r>
          </w:p>
        </w:tc>
      </w:tr>
      <w:tr w:rsidR="00894763" w:rsidRPr="00421098" w14:paraId="13A0E9EA" w14:textId="77777777" w:rsidTr="00A20A42">
        <w:trPr>
          <w:jc w:val="center"/>
        </w:trPr>
        <w:tc>
          <w:tcPr>
            <w:tcW w:w="1385" w:type="dxa"/>
            <w:vAlign w:val="center"/>
          </w:tcPr>
          <w:p w14:paraId="02AC241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5 m</w:t>
            </w:r>
          </w:p>
        </w:tc>
        <w:tc>
          <w:tcPr>
            <w:tcW w:w="1385" w:type="dxa"/>
            <w:vAlign w:val="center"/>
          </w:tcPr>
          <w:p w14:paraId="20F0B15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0.51 (+10.9%)</w:t>
            </w:r>
          </w:p>
        </w:tc>
        <w:tc>
          <w:tcPr>
            <w:tcW w:w="1385" w:type="dxa"/>
            <w:vAlign w:val="center"/>
          </w:tcPr>
          <w:p w14:paraId="4CCF1DAF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0.48 (+4.3%)</w:t>
            </w:r>
          </w:p>
        </w:tc>
        <w:tc>
          <w:tcPr>
            <w:tcW w:w="1385" w:type="dxa"/>
            <w:vAlign w:val="center"/>
          </w:tcPr>
          <w:p w14:paraId="40B2A854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/>
                <w:sz w:val="24"/>
                <w:szCs w:val="24"/>
              </w:rPr>
              <w:t>0.46 (—)</w:t>
            </w:r>
          </w:p>
        </w:tc>
        <w:tc>
          <w:tcPr>
            <w:tcW w:w="1385" w:type="dxa"/>
            <w:vAlign w:val="center"/>
          </w:tcPr>
          <w:p w14:paraId="20F06B9E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0.47 (+2.2%)</w:t>
            </w:r>
          </w:p>
        </w:tc>
        <w:tc>
          <w:tcPr>
            <w:tcW w:w="1385" w:type="dxa"/>
            <w:vAlign w:val="center"/>
          </w:tcPr>
          <w:p w14:paraId="425D62B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0.49 (+6.5%)</w:t>
            </w:r>
          </w:p>
        </w:tc>
      </w:tr>
      <w:tr w:rsidR="00894763" w:rsidRPr="00421098" w14:paraId="6E32584A" w14:textId="77777777" w:rsidTr="00A20A42">
        <w:trPr>
          <w:jc w:val="center"/>
        </w:trPr>
        <w:tc>
          <w:tcPr>
            <w:tcW w:w="1385" w:type="dxa"/>
            <w:vAlign w:val="center"/>
          </w:tcPr>
          <w:p w14:paraId="1F3A6AE9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6 m</w:t>
            </w:r>
          </w:p>
        </w:tc>
        <w:tc>
          <w:tcPr>
            <w:tcW w:w="1385" w:type="dxa"/>
            <w:vAlign w:val="center"/>
          </w:tcPr>
          <w:p w14:paraId="1F242944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0.55 (+19.6%)</w:t>
            </w:r>
          </w:p>
        </w:tc>
        <w:tc>
          <w:tcPr>
            <w:tcW w:w="1385" w:type="dxa"/>
            <w:vAlign w:val="center"/>
          </w:tcPr>
          <w:p w14:paraId="494FC72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0.51 (+10.9%)</w:t>
            </w:r>
          </w:p>
        </w:tc>
        <w:tc>
          <w:tcPr>
            <w:tcW w:w="1385" w:type="dxa"/>
            <w:vAlign w:val="center"/>
          </w:tcPr>
          <w:p w14:paraId="14981EE1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0.48 (+4.3%)</w:t>
            </w:r>
          </w:p>
        </w:tc>
        <w:tc>
          <w:tcPr>
            <w:tcW w:w="1385" w:type="dxa"/>
            <w:vAlign w:val="center"/>
          </w:tcPr>
          <w:p w14:paraId="2AE54CF2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0.49 (+6.5%)</w:t>
            </w:r>
          </w:p>
        </w:tc>
        <w:tc>
          <w:tcPr>
            <w:tcW w:w="1385" w:type="dxa"/>
            <w:vAlign w:val="center"/>
          </w:tcPr>
          <w:p w14:paraId="39C5A40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0.51 (+10.9%)</w:t>
            </w:r>
          </w:p>
        </w:tc>
      </w:tr>
      <w:tr w:rsidR="00894763" w:rsidRPr="00421098" w14:paraId="3A626057" w14:textId="77777777" w:rsidTr="00A20A42">
        <w:trPr>
          <w:jc w:val="center"/>
        </w:trPr>
        <w:tc>
          <w:tcPr>
            <w:tcW w:w="1385" w:type="dxa"/>
            <w:tcBorders>
              <w:bottom w:val="single" w:sz="12" w:space="0" w:color="auto"/>
            </w:tcBorders>
            <w:vAlign w:val="center"/>
          </w:tcPr>
          <w:p w14:paraId="1C71EE1F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7 m</w:t>
            </w:r>
          </w:p>
        </w:tc>
        <w:tc>
          <w:tcPr>
            <w:tcW w:w="1385" w:type="dxa"/>
            <w:tcBorders>
              <w:bottom w:val="single" w:sz="12" w:space="0" w:color="auto"/>
            </w:tcBorders>
            <w:vAlign w:val="center"/>
          </w:tcPr>
          <w:p w14:paraId="59C8C9A4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0.61 (+32.6%)</w:t>
            </w:r>
          </w:p>
        </w:tc>
        <w:tc>
          <w:tcPr>
            <w:tcW w:w="1385" w:type="dxa"/>
            <w:tcBorders>
              <w:bottom w:val="single" w:sz="12" w:space="0" w:color="auto"/>
            </w:tcBorders>
            <w:vAlign w:val="center"/>
          </w:tcPr>
          <w:p w14:paraId="06EC8321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0.57 (+23.9%)</w:t>
            </w:r>
          </w:p>
        </w:tc>
        <w:tc>
          <w:tcPr>
            <w:tcW w:w="1385" w:type="dxa"/>
            <w:tcBorders>
              <w:bottom w:val="single" w:sz="12" w:space="0" w:color="auto"/>
            </w:tcBorders>
            <w:vAlign w:val="center"/>
          </w:tcPr>
          <w:p w14:paraId="3A6F47B4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0.52 (+13.0%)</w:t>
            </w:r>
          </w:p>
        </w:tc>
        <w:tc>
          <w:tcPr>
            <w:tcW w:w="1385" w:type="dxa"/>
            <w:tcBorders>
              <w:bottom w:val="single" w:sz="12" w:space="0" w:color="auto"/>
            </w:tcBorders>
            <w:vAlign w:val="center"/>
          </w:tcPr>
          <w:p w14:paraId="5A1E9F81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0.54 (+17.4%)</w:t>
            </w:r>
          </w:p>
        </w:tc>
        <w:tc>
          <w:tcPr>
            <w:tcW w:w="1385" w:type="dxa"/>
            <w:tcBorders>
              <w:bottom w:val="single" w:sz="12" w:space="0" w:color="auto"/>
            </w:tcBorders>
            <w:vAlign w:val="center"/>
          </w:tcPr>
          <w:p w14:paraId="63D9ECE8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0.57 (+23.9%)</w:t>
            </w:r>
          </w:p>
        </w:tc>
      </w:tr>
    </w:tbl>
    <w:p w14:paraId="6B16BE32" w14:textId="77777777" w:rsidR="00894763" w:rsidRPr="00421098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421098">
        <w:rPr>
          <w:rFonts w:ascii="Times New Roman" w:hAnsi="Times New Roman" w:cs="Times New Roman"/>
          <w:sz w:val="24"/>
        </w:rPr>
        <w:t xml:space="preserve">At </w:t>
      </w:r>
      <w:r w:rsidRPr="00421098">
        <w:rPr>
          <w:rFonts w:ascii="Times New Roman" w:hAnsi="Times New Roman" w:cs="Times New Roman"/>
          <w:i/>
          <w:iCs/>
          <w:sz w:val="24"/>
        </w:rPr>
        <w:t>R</w:t>
      </w:r>
      <w:r w:rsidRPr="00421098">
        <w:rPr>
          <w:rFonts w:ascii="Times New Roman" w:hAnsi="Times New Roman" w:cs="Times New Roman"/>
          <w:i/>
          <w:iCs/>
          <w:sz w:val="24"/>
          <w:vertAlign w:val="subscript"/>
        </w:rPr>
        <w:t>inner</w:t>
      </w:r>
      <w:r w:rsidRPr="00421098">
        <w:rPr>
          <w:rFonts w:ascii="Times New Roman" w:hAnsi="Times New Roman" w:cs="Times New Roman"/>
          <w:sz w:val="24"/>
        </w:rPr>
        <w:t xml:space="preserve"> = 3 m, too few near-field points yield a density ratio dominated by sampling noise rather than scene structure, increasing RMSE by up to 33.3%. When </w:t>
      </w:r>
      <w:r w:rsidRPr="00421098">
        <w:rPr>
          <w:rFonts w:ascii="Times New Roman" w:hAnsi="Times New Roman" w:cs="Times New Roman"/>
          <w:i/>
          <w:iCs/>
          <w:sz w:val="24"/>
        </w:rPr>
        <w:t>R</w:t>
      </w:r>
      <w:r w:rsidRPr="00421098">
        <w:rPr>
          <w:rFonts w:ascii="Times New Roman" w:hAnsi="Times New Roman" w:cs="Times New Roman"/>
          <w:i/>
          <w:iCs/>
          <w:sz w:val="24"/>
          <w:vertAlign w:val="subscript"/>
        </w:rPr>
        <w:t>inner</w:t>
      </w:r>
      <w:r w:rsidRPr="00421098">
        <w:rPr>
          <w:rFonts w:ascii="Times New Roman" w:hAnsi="Times New Roman" w:cs="Times New Roman"/>
          <w:sz w:val="24"/>
        </w:rPr>
        <w:t xml:space="preserve"> = 7 m, the scale difference between the local details and the overall structure is not reflected.</w:t>
      </w:r>
    </w:p>
    <w:p w14:paraId="628B8723" w14:textId="77777777" w:rsidR="00894763" w:rsidRPr="00421098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421098">
        <w:rPr>
          <w:rFonts w:ascii="Times New Roman" w:hAnsi="Times New Roman" w:cs="Times New Roman"/>
          <w:sz w:val="24"/>
        </w:rPr>
        <w:t xml:space="preserve">At </w:t>
      </w:r>
      <w:r w:rsidRPr="00421098">
        <w:rPr>
          <w:rFonts w:ascii="Times New Roman" w:hAnsi="Times New Roman" w:cs="Times New Roman"/>
          <w:i/>
          <w:iCs/>
          <w:sz w:val="24"/>
        </w:rPr>
        <w:t>R</w:t>
      </w:r>
      <w:r w:rsidRPr="00421098">
        <w:rPr>
          <w:rFonts w:ascii="Times New Roman" w:hAnsi="Times New Roman" w:cs="Times New Roman"/>
          <w:i/>
          <w:iCs/>
          <w:sz w:val="24"/>
          <w:vertAlign w:val="subscript"/>
        </w:rPr>
        <w:t>outer</w:t>
      </w:r>
      <w:r w:rsidRPr="00421098">
        <w:rPr>
          <w:rFonts w:ascii="Times New Roman" w:hAnsi="Times New Roman" w:cs="Times New Roman"/>
          <w:b/>
          <w:sz w:val="24"/>
        </w:rPr>
        <w:t xml:space="preserve"> </w:t>
      </w:r>
      <w:r w:rsidRPr="00421098">
        <w:rPr>
          <w:rFonts w:ascii="Times New Roman" w:hAnsi="Times New Roman" w:cs="Times New Roman"/>
          <w:sz w:val="24"/>
        </w:rPr>
        <w:t xml:space="preserve">= 12 m, the outer shell fails to span typical urban street widths, contaminating the background density reference with local fluctuations. At </w:t>
      </w:r>
      <w:r w:rsidRPr="00421098">
        <w:rPr>
          <w:rFonts w:ascii="Times New Roman" w:hAnsi="Times New Roman" w:cs="Times New Roman"/>
          <w:i/>
          <w:iCs/>
          <w:sz w:val="24"/>
        </w:rPr>
        <w:t>R</w:t>
      </w:r>
      <w:r w:rsidRPr="00421098">
        <w:rPr>
          <w:rFonts w:ascii="Times New Roman" w:hAnsi="Times New Roman" w:cs="Times New Roman"/>
          <w:i/>
          <w:iCs/>
          <w:sz w:val="24"/>
          <w:vertAlign w:val="subscript"/>
        </w:rPr>
        <w:t>outer</w:t>
      </w:r>
      <w:r w:rsidRPr="00421098">
        <w:rPr>
          <w:rFonts w:ascii="Times New Roman" w:hAnsi="Times New Roman" w:cs="Times New Roman"/>
          <w:b/>
          <w:sz w:val="24"/>
        </w:rPr>
        <w:t xml:space="preserve"> </w:t>
      </w:r>
      <w:r w:rsidRPr="00421098">
        <w:rPr>
          <w:rFonts w:ascii="Times New Roman" w:hAnsi="Times New Roman" w:cs="Times New Roman"/>
          <w:sz w:val="24"/>
        </w:rPr>
        <w:t>= 25 m, distant sparse returns from building edges and foliage destabilize the density ratio.</w:t>
      </w:r>
    </w:p>
    <w:p w14:paraId="1DCC370A" w14:textId="77777777" w:rsidR="00894763" w:rsidRPr="00421098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421098">
        <w:rPr>
          <w:rFonts w:ascii="Times New Roman" w:hAnsi="Times New Roman" w:cs="Times New Roman"/>
          <w:sz w:val="24"/>
        </w:rPr>
        <w:t xml:space="preserve">The robust region </w:t>
      </w:r>
      <w:r w:rsidRPr="00421098">
        <w:rPr>
          <w:rFonts w:ascii="Times New Roman" w:hAnsi="Times New Roman" w:cs="Times New Roman"/>
          <w:i/>
          <w:iCs/>
          <w:sz w:val="24"/>
        </w:rPr>
        <w:t>R</w:t>
      </w:r>
      <w:r w:rsidRPr="00421098">
        <w:rPr>
          <w:rFonts w:ascii="Times New Roman" w:hAnsi="Times New Roman" w:cs="Times New Roman"/>
          <w:i/>
          <w:iCs/>
          <w:sz w:val="24"/>
          <w:vertAlign w:val="subscript"/>
        </w:rPr>
        <w:t>inner</w:t>
      </w:r>
      <w:r w:rsidRPr="00421098">
        <w:rPr>
          <w:rFonts w:ascii="Times New Roman" w:hAnsi="Times New Roman" w:cs="Times New Roman"/>
          <w:sz w:val="24"/>
        </w:rPr>
        <w:t xml:space="preserve"> </w:t>
      </w:r>
      <w:r w:rsidRPr="00421098">
        <w:rPr>
          <w:rFonts w:ascii="Cambria Math" w:hAnsi="Cambria Math" w:cs="Cambria Math"/>
          <w:sz w:val="24"/>
        </w:rPr>
        <w:t>∈</w:t>
      </w:r>
      <w:r w:rsidRPr="00421098">
        <w:rPr>
          <w:rFonts w:ascii="Times New Roman" w:hAnsi="Times New Roman" w:cs="Times New Roman"/>
          <w:sz w:val="24"/>
        </w:rPr>
        <w:t xml:space="preserve"> [4, 6] m, </w:t>
      </w:r>
      <w:r w:rsidRPr="00421098">
        <w:rPr>
          <w:rFonts w:ascii="Times New Roman" w:hAnsi="Times New Roman" w:cs="Times New Roman"/>
          <w:i/>
          <w:iCs/>
          <w:sz w:val="24"/>
        </w:rPr>
        <w:t>R</w:t>
      </w:r>
      <w:r w:rsidRPr="00421098">
        <w:rPr>
          <w:rFonts w:ascii="Times New Roman" w:hAnsi="Times New Roman" w:cs="Times New Roman"/>
          <w:i/>
          <w:iCs/>
          <w:sz w:val="24"/>
          <w:vertAlign w:val="subscript"/>
        </w:rPr>
        <w:t>outer</w:t>
      </w:r>
      <w:r w:rsidRPr="00421098">
        <w:rPr>
          <w:rFonts w:ascii="Times New Roman" w:hAnsi="Times New Roman" w:cs="Times New Roman"/>
          <w:sz w:val="24"/>
        </w:rPr>
        <w:t xml:space="preserve"> </w:t>
      </w:r>
      <w:r w:rsidRPr="00421098">
        <w:rPr>
          <w:rFonts w:ascii="Cambria Math" w:hAnsi="Cambria Math" w:cs="Cambria Math"/>
          <w:sz w:val="24"/>
        </w:rPr>
        <w:t>∈</w:t>
      </w:r>
      <w:r w:rsidRPr="00421098">
        <w:rPr>
          <w:rFonts w:ascii="Times New Roman" w:hAnsi="Times New Roman" w:cs="Times New Roman"/>
          <w:sz w:val="24"/>
        </w:rPr>
        <w:t xml:space="preserve"> [15, 22] m maintains RMSE within 11.9% across both sequences.</w:t>
      </w:r>
    </w:p>
    <w:p w14:paraId="3E682EA2" w14:textId="77777777" w:rsidR="00894763" w:rsidRPr="00421098" w:rsidRDefault="00894763" w:rsidP="00894763">
      <w:pPr>
        <w:spacing w:line="300" w:lineRule="auto"/>
        <w:rPr>
          <w:rFonts w:ascii="Times New Roman" w:hAnsi="Times New Roman" w:cs="Times New Roman"/>
          <w:b/>
          <w:sz w:val="24"/>
        </w:rPr>
      </w:pPr>
      <w:r w:rsidRPr="00421098">
        <w:rPr>
          <w:rFonts w:ascii="Times New Roman" w:hAnsi="Times New Roman" w:cs="Times New Roman" w:hint="eastAsia"/>
          <w:b/>
          <w:sz w:val="24"/>
        </w:rPr>
        <w:lastRenderedPageBreak/>
        <w:t xml:space="preserve">(5) </w:t>
      </w:r>
      <w:r w:rsidRPr="00421098">
        <w:rPr>
          <w:rFonts w:ascii="Times New Roman" w:hAnsi="Times New Roman" w:cs="Times New Roman"/>
          <w:b/>
          <w:sz w:val="24"/>
        </w:rPr>
        <w:t xml:space="preserve">Summary of </w:t>
      </w:r>
      <w:r>
        <w:rPr>
          <w:rFonts w:ascii="Times New Roman" w:hAnsi="Times New Roman" w:cs="Times New Roman" w:hint="eastAsia"/>
          <w:b/>
          <w:sz w:val="24"/>
        </w:rPr>
        <w:t>s</w:t>
      </w:r>
      <w:r w:rsidRPr="00421098">
        <w:rPr>
          <w:rFonts w:ascii="Times New Roman" w:hAnsi="Times New Roman" w:cs="Times New Roman"/>
          <w:b/>
          <w:sz w:val="24"/>
        </w:rPr>
        <w:t xml:space="preserve">ensitivity </w:t>
      </w:r>
      <w:r>
        <w:rPr>
          <w:rFonts w:ascii="Times New Roman" w:hAnsi="Times New Roman" w:cs="Times New Roman" w:hint="eastAsia"/>
          <w:b/>
          <w:sz w:val="24"/>
        </w:rPr>
        <w:t>r</w:t>
      </w:r>
      <w:r w:rsidRPr="00421098">
        <w:rPr>
          <w:rFonts w:ascii="Times New Roman" w:hAnsi="Times New Roman" w:cs="Times New Roman"/>
          <w:b/>
          <w:sz w:val="24"/>
        </w:rPr>
        <w:t>esults</w:t>
      </w:r>
    </w:p>
    <w:p w14:paraId="3DD1D8F0" w14:textId="77777777" w:rsidR="00894763" w:rsidRDefault="00894763" w:rsidP="00894763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421098">
        <w:rPr>
          <w:rFonts w:ascii="Times New Roman" w:hAnsi="Times New Roman" w:cs="Times New Roman"/>
          <w:sz w:val="24"/>
        </w:rPr>
        <w:t>To provide a consolidated view, the sensitivity ranges for all five parameters</w:t>
      </w:r>
      <w:r>
        <w:rPr>
          <w:rFonts w:ascii="Times New Roman" w:hAnsi="Times New Roman" w:cs="Times New Roman" w:hint="eastAsia"/>
          <w:sz w:val="24"/>
        </w:rPr>
        <w:t xml:space="preserve"> is</w:t>
      </w:r>
      <w:r w:rsidRPr="00421098">
        <w:rPr>
          <w:rFonts w:ascii="Times New Roman" w:hAnsi="Times New Roman" w:cs="Times New Roman"/>
          <w:sz w:val="24"/>
        </w:rPr>
        <w:t xml:space="preserve"> summarize</w:t>
      </w:r>
      <w:r>
        <w:rPr>
          <w:rFonts w:ascii="Times New Roman" w:hAnsi="Times New Roman" w:cs="Times New Roman" w:hint="eastAsia"/>
          <w:sz w:val="24"/>
        </w:rPr>
        <w:t>d</w:t>
      </w:r>
      <w:r w:rsidRPr="00421098">
        <w:rPr>
          <w:rFonts w:ascii="Times New Roman" w:hAnsi="Times New Roman" w:cs="Times New Roman"/>
          <w:sz w:val="24"/>
        </w:rPr>
        <w:t xml:space="preserve"> based on the M2DGR Street06 and Street08 sequences:</w:t>
      </w:r>
    </w:p>
    <w:p w14:paraId="367C5218" w14:textId="77777777" w:rsidR="00894763" w:rsidRPr="00375E42" w:rsidRDefault="00894763" w:rsidP="00894763">
      <w:pPr>
        <w:spacing w:line="300" w:lineRule="auto"/>
        <w:jc w:val="center"/>
        <w:rPr>
          <w:rFonts w:ascii="Times New Roman" w:hAnsi="Times New Roman" w:cs="Times New Roman"/>
          <w:bCs/>
          <w:sz w:val="24"/>
        </w:rPr>
      </w:pPr>
      <w:r w:rsidRPr="00375E42">
        <w:rPr>
          <w:rFonts w:ascii="Times New Roman" w:hAnsi="Times New Roman" w:cs="Times New Roman"/>
          <w:bCs/>
          <w:sz w:val="24"/>
        </w:rPr>
        <w:t>Tab.</w:t>
      </w:r>
      <w:r>
        <w:rPr>
          <w:rFonts w:ascii="Times New Roman" w:hAnsi="Times New Roman" w:cs="Times New Roman" w:hint="eastAsia"/>
          <w:bCs/>
          <w:sz w:val="24"/>
        </w:rPr>
        <w:t xml:space="preserve"> 10</w:t>
      </w:r>
      <w:r w:rsidRPr="00375E42">
        <w:rPr>
          <w:rFonts w:ascii="Times New Roman" w:hAnsi="Times New Roman" w:cs="Times New Roman"/>
          <w:bCs/>
          <w:sz w:val="24"/>
        </w:rPr>
        <w:t xml:space="preserve"> Summary of Sensitivity Results</w:t>
      </w: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9"/>
        <w:gridCol w:w="936"/>
        <w:gridCol w:w="1570"/>
        <w:gridCol w:w="3496"/>
      </w:tblGrid>
      <w:tr w:rsidR="00894763" w:rsidRPr="00421098" w14:paraId="3624542A" w14:textId="77777777" w:rsidTr="00A20A42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A663391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DD51B24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37F094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Robust Range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B938A11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bCs/>
                <w:sz w:val="24"/>
                <w:szCs w:val="24"/>
              </w:rPr>
              <w:t>RMSE Variation in Robust Range</w:t>
            </w:r>
          </w:p>
        </w:tc>
      </w:tr>
      <w:tr w:rsidR="00894763" w:rsidRPr="00421098" w14:paraId="135BF574" w14:textId="77777777" w:rsidTr="00A20A42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ABDAC9F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421098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inner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9940FAD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5 m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02A375D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4–6 m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E9ACA9D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+2.4% to +4.8%</w:t>
            </w:r>
          </w:p>
        </w:tc>
      </w:tr>
      <w:tr w:rsidR="00894763" w:rsidRPr="00421098" w14:paraId="738FF6F6" w14:textId="77777777" w:rsidTr="00A20A42">
        <w:trPr>
          <w:jc w:val="center"/>
        </w:trPr>
        <w:tc>
          <w:tcPr>
            <w:tcW w:w="0" w:type="auto"/>
            <w:vAlign w:val="center"/>
          </w:tcPr>
          <w:p w14:paraId="49E425E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421098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outer</w:t>
            </w:r>
          </w:p>
        </w:tc>
        <w:tc>
          <w:tcPr>
            <w:tcW w:w="0" w:type="auto"/>
            <w:vAlign w:val="center"/>
          </w:tcPr>
          <w:p w14:paraId="508EE2B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20 m</w:t>
            </w:r>
          </w:p>
        </w:tc>
        <w:tc>
          <w:tcPr>
            <w:tcW w:w="0" w:type="auto"/>
            <w:vAlign w:val="center"/>
          </w:tcPr>
          <w:p w14:paraId="149B56A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15–22 m</w:t>
            </w:r>
          </w:p>
        </w:tc>
        <w:tc>
          <w:tcPr>
            <w:tcW w:w="0" w:type="auto"/>
            <w:vAlign w:val="center"/>
          </w:tcPr>
          <w:p w14:paraId="2657060D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+2.4% to +7.1%</w:t>
            </w:r>
          </w:p>
        </w:tc>
      </w:tr>
      <w:tr w:rsidR="00894763" w:rsidRPr="00421098" w14:paraId="553E0AF9" w14:textId="77777777" w:rsidTr="00A20A42">
        <w:trPr>
          <w:jc w:val="center"/>
        </w:trPr>
        <w:tc>
          <w:tcPr>
            <w:tcW w:w="0" w:type="auto"/>
            <w:vAlign w:val="center"/>
          </w:tcPr>
          <w:p w14:paraId="75023E30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</w:tcPr>
          <w:p w14:paraId="7218BD55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</w:tcPr>
          <w:p w14:paraId="3A24567F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0.50–0.65</w:t>
            </w:r>
          </w:p>
        </w:tc>
        <w:tc>
          <w:tcPr>
            <w:tcW w:w="0" w:type="auto"/>
            <w:vAlign w:val="center"/>
          </w:tcPr>
          <w:p w14:paraId="1F17204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+0.0% to +4.8%</w:t>
            </w:r>
          </w:p>
        </w:tc>
      </w:tr>
      <w:tr w:rsidR="00894763" w:rsidRPr="00421098" w14:paraId="40454847" w14:textId="77777777" w:rsidTr="00A20A42">
        <w:trPr>
          <w:jc w:val="center"/>
        </w:trPr>
        <w:tc>
          <w:tcPr>
            <w:tcW w:w="0" w:type="auto"/>
            <w:vAlign w:val="center"/>
          </w:tcPr>
          <w:p w14:paraId="4837E1B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</w:tcPr>
          <w:p w14:paraId="22DB6C4C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0" w:type="auto"/>
            <w:vAlign w:val="center"/>
          </w:tcPr>
          <w:p w14:paraId="56D65D46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0.50–0.60</w:t>
            </w:r>
          </w:p>
        </w:tc>
        <w:tc>
          <w:tcPr>
            <w:tcW w:w="0" w:type="auto"/>
            <w:vAlign w:val="center"/>
          </w:tcPr>
          <w:p w14:paraId="78C53313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+0.0% to +2.4%</w:t>
            </w:r>
          </w:p>
        </w:tc>
      </w:tr>
      <w:tr w:rsidR="00894763" w:rsidRPr="00421098" w14:paraId="151D7D20" w14:textId="77777777" w:rsidTr="00A20A42">
        <w:trPr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CF2A6AE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3F147B7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8.0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A58FD8B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7.0–8.5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3036A9A" w14:textId="77777777" w:rsidR="00894763" w:rsidRPr="00421098" w:rsidRDefault="00894763" w:rsidP="00A20A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1098">
              <w:rPr>
                <w:rFonts w:ascii="Times New Roman" w:hAnsi="Times New Roman" w:cs="Times New Roman"/>
                <w:sz w:val="24"/>
                <w:szCs w:val="24"/>
              </w:rPr>
              <w:t>+0.0% to +2.4%</w:t>
            </w:r>
          </w:p>
        </w:tc>
      </w:tr>
      <w:bookmarkEnd w:id="0"/>
    </w:tbl>
    <w:p w14:paraId="727F90F0" w14:textId="32179CCF" w:rsidR="00EF618F" w:rsidRPr="00894763" w:rsidRDefault="00EF618F" w:rsidP="00894763"/>
    <w:sectPr w:rsidR="00EF618F" w:rsidRPr="008947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FA0B0" w14:textId="77777777" w:rsidR="009D1979" w:rsidRDefault="009D1979" w:rsidP="00894763">
      <w:r>
        <w:separator/>
      </w:r>
    </w:p>
  </w:endnote>
  <w:endnote w:type="continuationSeparator" w:id="0">
    <w:p w14:paraId="55DD1C32" w14:textId="77777777" w:rsidR="009D1979" w:rsidRDefault="009D1979" w:rsidP="00894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5A6E9" w14:textId="77777777" w:rsidR="009D1979" w:rsidRDefault="009D1979" w:rsidP="00894763">
      <w:r>
        <w:separator/>
      </w:r>
    </w:p>
  </w:footnote>
  <w:footnote w:type="continuationSeparator" w:id="0">
    <w:p w14:paraId="6E94026B" w14:textId="77777777" w:rsidR="009D1979" w:rsidRDefault="009D1979" w:rsidP="008947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73FB4"/>
    <w:rsid w:val="0003605D"/>
    <w:rsid w:val="00894763"/>
    <w:rsid w:val="009A021F"/>
    <w:rsid w:val="009D1979"/>
    <w:rsid w:val="00A413F1"/>
    <w:rsid w:val="00A72975"/>
    <w:rsid w:val="00B90493"/>
    <w:rsid w:val="00BB2698"/>
    <w:rsid w:val="00DD62B2"/>
    <w:rsid w:val="00E41814"/>
    <w:rsid w:val="00E73FB4"/>
    <w:rsid w:val="00EF618F"/>
    <w:rsid w:val="00FE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08B425"/>
  <w14:defaultImageDpi w14:val="32767"/>
  <w15:chartTrackingRefBased/>
  <w15:docId w15:val="{9D047E9C-E38B-4E7A-A7A1-E6768018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3F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F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FB4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FB4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FB4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F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F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F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3FB4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3FB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3FB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3FB4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3FB4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3FB4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3F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3F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3F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3F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3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F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3F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F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3F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F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FB4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FB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3FB4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E73FB4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47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47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47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4763"/>
    <w:rPr>
      <w:sz w:val="18"/>
      <w:szCs w:val="18"/>
    </w:rPr>
  </w:style>
  <w:style w:type="table" w:styleId="af2">
    <w:name w:val="Table Grid"/>
    <w:basedOn w:val="a1"/>
    <w:uiPriority w:val="59"/>
    <w:qFormat/>
    <w:rsid w:val="00894763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884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8615515793305</dc:creator>
  <cp:keywords/>
  <dc:description/>
  <cp:lastModifiedBy>8615515793305</cp:lastModifiedBy>
  <cp:revision>2</cp:revision>
  <dcterms:created xsi:type="dcterms:W3CDTF">2026-07-27T09:07:00Z</dcterms:created>
  <dcterms:modified xsi:type="dcterms:W3CDTF">2026-07-27T09:08:00Z</dcterms:modified>
</cp:coreProperties>
</file>