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</w:pPr>
      <w:r>
        <w:rPr>
          <w:b w:val="0"/>
        </w:rPr>
        <w:t>数据分析课程项目</w:t>
      </w:r>
    </w:p>
    <w:p>
      <w:pPr>
        <w:pStyle w:val="Title"/>
      </w:pPr>
      <w:r>
        <w:t>Olist 电商数据质量分析报告</w:t>
      </w:r>
    </w:p>
    <w:p>
      <w:pPr>
        <w:pStyle w:val="Subtitle"/>
      </w:pPr>
      <w:r>
        <w:t>七表接入与关联审计  指标口径与样本适用性</w:t>
      </w:r>
    </w:p>
    <w:p>
      <w:pPr>
        <w:spacing w:before="560" w:after="140"/>
      </w:pPr>
      <w:r>
        <w:rPr>
          <w:b w:val="0"/>
        </w:rPr>
        <w:t>研究对象  2016—2018 年 Olist 历史交易样本</w:t>
      </w:r>
    </w:p>
    <w:p>
      <w:pPr>
        <w:spacing w:before="0" w:after="140"/>
      </w:pPr>
      <w:r>
        <w:rPr>
          <w:b w:val="0"/>
        </w:rPr>
        <w:t>数据来源  和鲸社区公开 SQL 数据集</w:t>
      </w:r>
    </w:p>
    <w:p>
      <w:pPr>
        <w:spacing w:before="0" w:after="140"/>
      </w:pPr>
      <w:r>
        <w:rPr>
          <w:b w:val="0"/>
        </w:rPr>
        <w:t>编制日期  2026-10-22</w:t>
      </w:r>
    </w:p>
    <w:p>
      <w:pPr>
        <w:spacing w:before="0" w:after="140"/>
      </w:pPr>
      <w:r>
        <w:rPr>
          <w:b w:val="0"/>
        </w:rPr>
        <w:t>项目组  赵子博  杨宇航  王子豪  周书悦</w:t>
      </w:r>
    </w:p>
    <w:p>
      <w:pPr>
        <w:spacing w:before="0" w:after="520"/>
      </w:pPr>
      <w:r>
        <w:rPr>
          <w:b w:val="0"/>
        </w:rPr>
        <w:t>分析方法  pandas 与 matplotlib  支持交互研究图谱</w:t>
      </w:r>
    </w:p>
    <w:p>
      <w:pPr>
        <w:spacing w:before="0" w:after="140"/>
      </w:pPr>
      <w:r>
        <w:rPr>
          <w:b w:val="0"/>
        </w:rPr>
        <w:t>本研究将订单、商品、支付和评价分别按业务粒度处理，用可复算的数字回答规模、结构和履约体验问题。报告中的图表仅使用汇总数据。</w:t>
      </w:r>
    </w:p>
    <w:p>
      <w:pPr>
        <w:pStyle w:val="TOCHeading"/>
        <w:pageBreakBefore/>
      </w:pPr>
      <w:r>
        <w:t>目录</w:t>
      </w:r>
    </w:p>
    <w:p>
      <w:pPr>
        <w:spacing w:line="380" w:lineRule="exact"/>
      </w:pPr>
      <w:r>
        <w:fldChar w:fldCharType="begin" w:fldLock="true"/>
      </w:r>
      <w:r>
        <w:instrText w:space="preserve"> TOC \o "1-1" \h \z \u </w:instrText>
      </w:r>
      <w:r>
        <w:fldChar w:fldCharType="separate"/>
      </w:r>
      <w:r>
        <w:rPr>
          <w:sz w:val="21"/>
        </w:rPr>
        <w:t>1 评估结论与关键处理决定  ……  3</w:t>
        <w:br/>
      </w:r>
      <w:r>
        <w:rPr>
          <w:sz w:val="21"/>
        </w:rPr>
        <w:t>2 数据来源 接入流程与业务粒度  ……  3</w:t>
        <w:br/>
      </w:r>
      <w:r>
        <w:rPr>
          <w:sz w:val="21"/>
        </w:rPr>
        <w:t>3 时间覆盖与样本形成过程  ……  5</w:t>
        <w:br/>
      </w:r>
      <w:r>
        <w:rPr>
          <w:sz w:val="21"/>
        </w:rPr>
        <w:t>4 完整性与订单状态的关系  ……  6</w:t>
        <w:br/>
      </w:r>
      <w:r>
        <w:rPr>
          <w:sz w:val="21"/>
        </w:rPr>
        <w:t>5 唯一性 主键与多事件关联  ……  8</w:t>
        <w:br/>
      </w:r>
      <w:r>
        <w:rPr>
          <w:sz w:val="21"/>
        </w:rPr>
        <w:t>6 跨表一致性与金额核验  ……  9</w:t>
        <w:br/>
      </w:r>
      <w:r>
        <w:rPr>
          <w:sz w:val="21"/>
        </w:rPr>
        <w:t>7 时间规范性与履约时序  ……  10</w:t>
        <w:br/>
      </w:r>
      <w:r>
        <w:rPr>
          <w:sz w:val="21"/>
        </w:rPr>
        <w:t>8 合理性检查与长尾保留  ……  12</w:t>
        <w:br/>
      </w:r>
      <w:r>
        <w:rPr>
          <w:sz w:val="21"/>
        </w:rPr>
        <w:t>9 清洗规则与指标分母对账  ……  13</w:t>
        <w:br/>
      </w:r>
      <w:r>
        <w:rPr>
          <w:sz w:val="21"/>
        </w:rPr>
        <w:t>10 地理代表性与业务适用范围  ……  14</w:t>
        <w:br/>
      </w:r>
      <w:r>
        <w:rPr>
          <w:sz w:val="21"/>
        </w:rPr>
        <w:t>11 问题清单 复现与持续监控  ……  15</w:t>
        <w:br/>
      </w:r>
      <w:r>
        <w:rPr>
          <w:sz w:val="21"/>
        </w:rPr>
        <w:t>附录 A 指标字典与辅助使用记录  ……  17</w:t>
        <w:br/>
      </w:r>
      <w:r>
        <w:rPr>
          <w:sz w:val="21"/>
        </w:rPr>
        <w:t>附录 B1 数据质量逐项检查  ……  19</w:t>
        <w:br/>
      </w:r>
      <w:r>
        <w:rPr>
          <w:sz w:val="21"/>
        </w:rPr>
        <w:t>附录 B2 数据质量逐项检查  ……  20</w:t>
        <w:br/>
      </w:r>
      <w:r>
        <w:rPr>
          <w:sz w:val="21"/>
        </w:rPr>
        <w:t>附录 B3 数据质量逐项检查  ……  21</w:t>
        <w:br/>
      </w:r>
      <w:r>
        <w:rPr>
          <w:sz w:val="21"/>
        </w:rPr>
        <w:t>附录 C1 原始字段字典  ……  22</w:t>
        <w:br/>
      </w:r>
      <w:r>
        <w:rPr>
          <w:sz w:val="21"/>
        </w:rPr>
        <w:t>附录 C2 原始字段字典  ……  23</w:t>
        <w:br/>
      </w:r>
      <w:r>
        <w:rPr>
          <w:sz w:val="21"/>
        </w:rPr>
        <w:t>附录 C3 原始字段字典  ……  24</w:t>
      </w:r>
      <w:r>
        <w:fldChar w:fldCharType="end"/>
      </w:r>
    </w:p>
    <w:p>
      <w:pPr>
        <w:spacing w:before="320" w:after="140"/>
      </w:pPr>
      <w:r>
        <w:rPr>
          <w:b w:val="0"/>
        </w:rPr>
        <w:t>阅读方式  正文按问题展开；图下注明分母与来源；附录给出代码入口、证据文件和辅助使用记录。</w:t>
      </w:r>
    </w:p>
    <w:p>
      <w:pPr>
        <w:pStyle w:val="Heading1"/>
        <w:pageBreakBefore/>
        <w:spacing w:before="360" w:after="180"/>
      </w:pPr>
      <w:r>
        <w:t>1 评估结论与关键处理决定</w:t>
      </w:r>
    </w:p>
    <w:p>
      <w:pPr>
        <w:spacing w:before="0" w:after="140"/>
      </w:pPr>
      <w:r>
        <w:rPr>
          <w:b w:val="0"/>
        </w:rPr>
        <w:t>本报告评估公开历史电商提取能否支撑交易结构、履约体验和客户回访研究。原始七表覆盖 99,441 笔订单，订单业务键重复为0，六组核心外键均可匹配。将商品和评价先按订单聚合后，订单事实表仍为 99,441 行，商品金额合计 BRL 13,591,643.70，没有因多表合并放大规模。</w:t>
      </w:r>
    </w:p>
    <w:p>
      <w:pPr>
        <w:spacing w:before="0" w:after="140"/>
      </w:pPr>
      <w:r>
        <w:rPr>
          <w:b w:val="0"/>
        </w:rPr>
        <w:t>数据可以使用，但需要分指标定义可用样本。送达日期、评价、商品明细的缺失具有不同业务含义，不能统一删除整行，也不能把预计日期或平均评分填进缺失位置。报告把异常拆为“影响多少记录、采取什么处理、改变哪一个分母”，并保留原始文件用于重跑。</w:t>
      </w:r>
    </w:p>
    <w:p>
      <w:pPr>
        <w:keepNext/>
        <w:spacing w:before="120" w:after="120"/>
      </w:pPr>
      <w:r>
        <w:rPr>
          <w:b/>
        </w:rPr>
        <w:t>表 1-1 核心质量发现及其影响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551"/>
        <w:gridCol w:w="4252"/>
      </w:tblGrid>
      <w:tr>
        <w:trPr>
          <w:cantSplit/>
          <w:tblHeader w:val="true"/>
        </w:trPr>
        <w:tc>
          <w:tcPr>
            <w:tcW w:type="dxa" w:w="232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发现</w:t>
            </w:r>
          </w:p>
        </w:tc>
        <w:tc>
          <w:tcPr>
            <w:tcW w:type="dxa" w:w="255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数量与分母</w:t>
            </w:r>
          </w:p>
        </w:tc>
        <w:tc>
          <w:tcPr>
            <w:tcW w:type="dxa" w:w="4252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已经执行的处理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订单无商品明细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775 / 99,441 笔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保留订单；金额0仅表示本提取无商品记录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订单无有效评分</w:t>
            </w:r>
          </w:p>
        </w:tc>
        <w:tc>
          <w:tcPr>
            <w:tcW w:type="dxa" w:w="255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768 / 99,441 笔</w:t>
            </w:r>
          </w:p>
        </w:tc>
        <w:tc>
          <w:tcPr>
            <w:tcW w:type="dxa" w:w="425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评分指标仅以有有效评分订单为分母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已送达缺实际时间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8 / 96,478 笔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配送和延迟指标单独排除，不填预计时间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同单多次评价</w:t>
            </w:r>
          </w:p>
        </w:tc>
        <w:tc>
          <w:tcPr>
            <w:tcW w:type="dxa" w:w="255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547 笔订单</w:t>
            </w:r>
          </w:p>
        </w:tc>
        <w:tc>
          <w:tcPr>
            <w:tcW w:type="dxa" w:w="425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订单内先平均，使每笔有评分订单等权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承运商时间逆序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23 笔已送达订单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不用承运商字段重建核心总时长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支付差额超过0.01</w:t>
            </w:r>
          </w:p>
        </w:tc>
        <w:tc>
          <w:tcPr>
            <w:tcW w:type="dxa" w:w="255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1,075 / 99,440 笔</w:t>
            </w:r>
          </w:p>
        </w:tc>
        <w:tc>
          <w:tcPr>
            <w:tcW w:type="dxa" w:w="425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分别披露商品、运费和支付，不作损失归因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1.1 质量结论怎样用于后续分析</w:t>
      </w:r>
    </w:p>
    <w:p>
      <w:pPr>
        <w:spacing w:before="0" w:after="140"/>
      </w:pPr>
      <w:r>
        <w:rPr>
          <w:b w:val="0"/>
        </w:rPr>
        <w:t>第一，规模分析保留全部订单状态，表述为“这批记录的订单数与商品金额”，不把已取消交易的商品金额解释成已实现收入。第二，配送分析只看已送达且相关日期有效的订单，评分分析使用有有效星级的订单；讨论延迟与评分时再取两者交集。第三，客户回访采用稳定客户标识，首次购买只定义为本提取中首次观察到的已送达购买。</w:t>
      </w:r>
    </w:p>
    <w:p>
      <w:pPr>
        <w:spacing w:before="0" w:after="140"/>
      </w:pPr>
      <w:r>
        <w:rPr>
          <w:b w:val="0"/>
        </w:rPr>
        <w:t>这些限制直接决定正式分析报告中的措辞。支付与商品金额不同不等于发生欺诈，地理集中不等于全国市场份额，未再次出现不等于永久流失。质量审计的价值在于划清可用范围，并让每条后续结论有可检查的取样规则。</w:t>
      </w:r>
    </w:p>
    <w:p>
      <w:pPr>
        <w:pStyle w:val="Heading1"/>
        <w:pageBreakBefore w:val="0"/>
        <w:spacing w:before="360" w:after="180"/>
      </w:pPr>
      <w:r>
        <w:t>2 数据来源 接入流程与业务粒度</w:t>
      </w:r>
    </w:p>
    <w:p>
      <w:pPr>
        <w:spacing w:before="0" w:after="140"/>
      </w:pPr>
      <w:r>
        <w:rPr>
          <w:b w:val="0"/>
        </w:rPr>
        <w:t>项目使用已下载的和鲸社区 Olist MySQL SQL 提取，内容包括订单、客户、商品明细、产品、卖家、支付和评价。原始文件保持不变，接入脚本把 MySQL 建表与插入语句转换为 SQLite 可执行形式。正式分析读取临时库的只读连接，在内存中生成订单事实表，并输出汇总快照与CSV证据；当前提交入口不另存订单明细数据库。</w:t>
      </w:r>
    </w:p>
    <w:p>
      <w:pPr>
        <w:spacing w:before="0" w:after="140"/>
      </w:pPr>
      <w:r>
        <w:rPr>
          <w:b w:val="0"/>
        </w:rPr>
        <w:t>数据来源入口：https://www.heywhale.com/mw/dataset/6a71d8957e6fb585ffd50d27/file</w:t>
      </w:r>
    </w:p>
    <w:p>
      <w:pPr>
        <w:spacing w:before="0" w:after="140"/>
      </w:pPr>
      <w:r>
        <w:rPr>
          <w:b w:val="0"/>
        </w:rPr>
        <w:t>公开上游说明：https://www.kaggle.com/datasets/olistbr/brazilian-ecommerce</w:t>
      </w:r>
    </w:p>
    <w:p>
      <w:pPr>
        <w:spacing w:before="0" w:after="140"/>
      </w:pPr>
      <w:r>
        <w:rPr>
          <w:b w:val="0"/>
        </w:rPr>
        <w:t>来源页用于确认获取方式和使用条件，实际行数、日期范围和字段可用性由本地文件重新计算。上游介绍不构成本批样本完整性的证明。本批没有抽样框、订单事件版本与覆盖率权重，因此不声明能够复原平台的全部真实交易。</w:t>
      </w:r>
    </w:p>
    <w:p>
      <w:pPr>
        <w:keepNext/>
        <w:spacing w:before="120" w:after="120"/>
      </w:pPr>
      <w:r>
        <w:rPr>
          <w:b/>
        </w:rPr>
        <w:t>表 2-1 七张表的业务键和分析用途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08"/>
        <w:gridCol w:w="4195"/>
      </w:tblGrid>
      <w:tr>
        <w:trPr>
          <w:cantSplit/>
          <w:tblHeader w:val="true"/>
        </w:trPr>
        <w:tc>
          <w:tcPr>
            <w:tcW w:type="dxa" w:w="232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表与行数</w:t>
            </w:r>
          </w:p>
        </w:tc>
        <w:tc>
          <w:tcPr>
            <w:tcW w:type="dxa" w:w="260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一行代表什么</w:t>
            </w:r>
          </w:p>
        </w:tc>
        <w:tc>
          <w:tcPr>
            <w:tcW w:type="dxa" w:w="419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用于分析的连接方式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  99,441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一笔订单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order_id 唯一；作为事实表主干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customers  99,441</w:t>
            </w:r>
          </w:p>
        </w:tc>
        <w:tc>
          <w:tcPr>
            <w:tcW w:type="dxa" w:w="260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一个订单侧客户记录</w:t>
            </w:r>
          </w:p>
        </w:tc>
        <w:tc>
          <w:tcPr>
            <w:tcW w:type="dxa" w:w="419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customer_id 连接订单；稳定身份另用customer_unique_id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  112,650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订单中的一个商品行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订单与商品行序号构成复合键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  32,951</w:t>
            </w:r>
          </w:p>
        </w:tc>
        <w:tc>
          <w:tcPr>
            <w:tcW w:type="dxa" w:w="260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一个商品属性记录</w:t>
            </w:r>
          </w:p>
        </w:tc>
        <w:tc>
          <w:tcPr>
            <w:tcW w:type="dxa" w:w="419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product_id 连接商品行；缺品类保留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sellers  3,095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一个卖家记录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seller_id 连接商品行与卖家州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payments  103,886</w:t>
            </w:r>
          </w:p>
        </w:tc>
        <w:tc>
          <w:tcPr>
            <w:tcW w:type="dxa" w:w="260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一次订单支付事件</w:t>
            </w:r>
          </w:p>
        </w:tc>
        <w:tc>
          <w:tcPr>
            <w:tcW w:type="dxa" w:w="419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订单与支付序号构成复合键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  99,224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一条评价记录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同单有效星级先平均；评价标识不能单独去重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957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field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95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2-1 七表共45字段 缺失集中在流程日期和商品属性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字段总数和存在缺失的字段数按各自表统计；证据 profiles.csv；计算 editorial_analysis.plot_all。</w:t>
      </w:r>
    </w:p>
    <w:p>
      <w:pPr>
        <w:spacing w:before="0" w:after="140"/>
      </w:pPr>
      <w:r>
        <w:rPr>
          <w:b w:val="0"/>
        </w:rPr>
        <w:t>图表解读  蓝灰条表示字段总数，中蓝色表示至少存在一行缺失的字段。该图用于定位审计重点，不能把“存在缺失的字段占比”当成“记录不可用率”。不同字段对核心指标的作用不同，后文按业务语义逐项判断。</w:t>
      </w:r>
    </w:p>
    <w:p>
      <w:pPr>
        <w:pStyle w:val="Heading2"/>
      </w:pPr>
      <w:r>
        <w:t>2.1 原始层与分析层的边界</w:t>
      </w:r>
    </w:p>
    <w:p>
      <w:pPr>
        <w:spacing w:before="0" w:after="140"/>
      </w:pPr>
      <w:r>
        <w:rPr>
          <w:b w:val="0"/>
        </w:rPr>
        <w:t>原始层保存提供方的表结构和取值，不做原地去重、日期替换或金额修正。分析层只选取当前问题需要的字段，并执行明确的类型转换、订单内聚合和样本筛选。缺失评价正文不影响星级使用，城市与邮编也不参与本次核心分析，避免无必要地扩大个人信息使用范围。</w:t>
      </w:r>
    </w:p>
    <w:p>
      <w:pPr>
        <w:spacing w:before="0" w:after="140"/>
      </w:pPr>
      <w:r>
        <w:rPr>
          <w:b w:val="0"/>
        </w:rPr>
        <w:t>一条命令从原始SQL重新接入时，数据库在临时目录中建立，所有分析进程使用该临时来源。脚本完成后比较七个原始SQL的SHA256，确认输入未被修改。临时SQLite运行后移除，不校验本机其他数据库。默认重算数字与图表，Word和PDF按选项分别生成。</w:t>
      </w:r>
    </w:p>
    <w:p>
      <w:pPr>
        <w:pStyle w:val="Heading1"/>
        <w:pageBreakBefore w:val="0"/>
        <w:spacing w:before="360" w:after="180"/>
      </w:pPr>
      <w:r>
        <w:t>3 时间覆盖与样本形成过程</w:t>
      </w:r>
    </w:p>
    <w:p>
      <w:pPr>
        <w:spacing w:before="0" w:after="140"/>
      </w:pPr>
      <w:r>
        <w:rPr>
          <w:b w:val="0"/>
        </w:rPr>
        <w:t>订单下单时间从 2016-09-04 21:15:19 到 2018-10-17 17:30:18。2016年 329 笔，2017年 45,101 笔，2018年 54,011 笔。2017年是本批唯一覆盖完整月份的自然年；首尾年度的稀疏记录不应直接参与全年增长比较。</w:t>
      </w:r>
    </w:p>
    <w:p>
      <w:pPr>
        <w:spacing w:before="0" w:after="140"/>
      </w:pPr>
      <w:r>
        <w:rPr>
          <w:b w:val="0"/>
        </w:rPr>
        <w:t>主要交易记录集中于2017年1月至2018年8月，共 99,092 笔。其余月份合计 349 笔。我们保留这些记录，避免按期望的趋势裁剪样本，但在年度、月度和回购分析中分别说明观察窗口。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585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lend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85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3-1 2017年日峰值为 1,176 笔 出现在 2017年11月24日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上图按2017年每天的订单数着色，色阶在P98封顶；下图展开2017年11月的真实日计数；证据 extended_snapshot.json daily。</w:t>
      </w:r>
    </w:p>
    <w:p>
      <w:pPr>
        <w:spacing w:before="0" w:after="140"/>
      </w:pPr>
      <w:r>
        <w:rPr>
          <w:b w:val="0"/>
        </w:rPr>
        <w:t>图表解读  日历图保留星期与月份位置，能看到连续高量窗口；展开图给出峰值的真实高度，弥补颜色封顶后无法区分极端值的限制。日期高峰是描述性事实，本提取没有促销或投放标记，不能单凭日期认定峰值由某次活动导致。</w:t>
      </w:r>
    </w:p>
    <w:p>
      <w:pPr>
        <w:pStyle w:val="Heading2"/>
      </w:pPr>
      <w:r>
        <w:t>3.1 末端稀疏记录怎样影响结论</w:t>
      </w:r>
    </w:p>
    <w:p>
      <w:pPr>
        <w:spacing w:before="0" w:after="140"/>
      </w:pPr>
      <w:r>
        <w:rPr>
          <w:b w:val="0"/>
        </w:rPr>
        <w:t>记录覆盖到某个月不等于该月完整可观察。规模趋势图可以显示稀疏尾端，但不能据此断言平台经营突然下滑。客户队列则需要更严格的完整月边界：最后一笔已送达订单的下单日未覆盖月末时，该月不作为完整的回访观察月。</w:t>
      </w:r>
    </w:p>
    <w:p>
      <w:pPr>
        <w:spacing w:before="0" w:after="140"/>
      </w:pPr>
      <w:r>
        <w:rPr>
          <w:b w:val="0"/>
        </w:rPr>
        <w:t>缺失月份补0是图形中的时间索引对齐，只表示样本里没有订单，不推断平台停止营业。正式分析中比较2017与2018年的同月区间，同时保留“2018年8月仍未证明覆盖完整”的限制。这样可以区分“修正明显不可比的年度口径”与“已经获得严格同比样本”两种不同程度的证据。</w:t>
      </w:r>
    </w:p>
    <w:p>
      <w:pPr>
        <w:pStyle w:val="Heading1"/>
        <w:pageBreakBefore w:val="0"/>
        <w:spacing w:before="360" w:after="180"/>
      </w:pPr>
      <w:r>
        <w:t>4 完整性与订单状态的关系</w:t>
      </w:r>
    </w:p>
    <w:p>
      <w:pPr>
        <w:spacing w:before="0" w:after="140"/>
      </w:pPr>
      <w:r>
        <w:rPr>
          <w:b w:val="0"/>
        </w:rPr>
        <w:t>字段缺失应结合订单生命周期解释。订单尚未送达时，客户送达时间为空通常是结构性的业务结果；已标记送达但实际时间为空，才直接影响完成订单的配送度量。将两种情形混合，会夸大核心样本的缺陷，或者反过来用预计时间填补而制造虚假的准时送达。</w:t>
      </w:r>
    </w:p>
    <w:p>
      <w:pPr>
        <w:spacing w:before="0" w:after="140"/>
      </w:pPr>
      <w:r>
        <w:rPr>
          <w:b w:val="0"/>
        </w:rPr>
        <w:t>原始订单的送达日期缺失为 2,965 行，但在已送达状态中只有 8 笔缺失。以下按状态拆解批准时间、承运商时间、送达时间、商品明细和有效评分，所有比例以该状态订单数为分母。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658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status_miss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5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4-1 已送达缺送达时间仅 8 笔 其余缺失按状态拆解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每行是一个订单状态，列为相应字段或事件缺失；状态内分母写在行标签；小于0.1%的非零比例显示为&lt;0.1%；证据 extended_missing_by_status.csv。</w:t>
      </w:r>
    </w:p>
    <w:p>
      <w:pPr>
        <w:spacing w:before="0" w:after="140"/>
      </w:pPr>
      <w:r>
        <w:rPr>
          <w:b w:val="0"/>
        </w:rPr>
        <w:t>图表解读  颜色越深表示缺失比例越高。created、invoiced等状态的流程日期成片缺失，反映阶段未完成；delivered行的送达日期虽接近0%，仍有少量非零缺失，不能因四舍五入显示接近0而忽略。小状态样本只有数笔时，其比例不稳定，只作为核查线索。</w:t>
      </w:r>
    </w:p>
    <w:p>
      <w:pPr>
        <w:pStyle w:val="Heading2"/>
      </w:pPr>
      <w:r>
        <w:t>4.1 商品品类缺失怎样影响金额结构</w:t>
      </w:r>
    </w:p>
    <w:p>
      <w:pPr>
        <w:spacing w:before="0" w:after="140"/>
      </w:pPr>
      <w:r>
        <w:rPr>
          <w:b w:val="0"/>
        </w:rPr>
        <w:t>有 610 个产品缺品类，涉及 1,603 条商品行，商品金额合计 BRL 179,535.28。这些商品行的金额没有缺失，删除它们会使品类分析的总金额低于订单规模口径。项目统一填入unknown并显示为“未分类”，同时将涉及数量和金额写入证据。</w:t>
      </w:r>
    </w:p>
    <w:p>
      <w:pPr>
        <w:spacing w:before="0" w:after="140"/>
      </w:pPr>
      <w:r>
        <w:rPr>
          <w:b w:val="0"/>
        </w:rPr>
        <w:t>产品名称长度、描述长度、图片数量等属性与品类的缺失可能共同出现，这提示属性抽取存在同源缺口，但不能据此确定提供方系统中的具体故障。后续若研究商品描述与评分，需要重新评估这些属性的可用样本；本报告没有把它们直接用于评价解释。</w:t>
      </w:r>
    </w:p>
    <w:p>
      <w:pPr>
        <w:pStyle w:val="Heading2"/>
      </w:pPr>
      <w:r>
        <w:t>4.2 评价文本为空与星级缺失不同</w:t>
      </w:r>
    </w:p>
    <w:p>
      <w:pPr>
        <w:spacing w:before="0" w:after="140"/>
      </w:pPr>
      <w:r>
        <w:rPr>
          <w:b w:val="0"/>
        </w:rPr>
        <w:t>评价标题缺失 87,656 行，正文缺失 58,247 行。用户可以只提供星级，不写文字，因此不能把文本缺失等同于评分无效。当前分析仅使用1至5的有效星级，不需要补写评论，也不进行情感推断。</w:t>
      </w:r>
    </w:p>
    <w:p>
      <w:pPr>
        <w:spacing w:before="0" w:after="140"/>
      </w:pPr>
      <w:r>
        <w:rPr>
          <w:b w:val="0"/>
        </w:rPr>
        <w:t>按订单聚合后，仍有 768 笔订单没有有效评分。评分平均数和低评分比例都排除这些订单，但保留其规模。评价缺失可能与体验或订单状态有关，这种选择性无法靠删除缺失记录解决，必须在解释中披露。</w:t>
      </w:r>
    </w:p>
    <w:p>
      <w:pPr>
        <w:pStyle w:val="Heading1"/>
        <w:pageBreakBefore w:val="0"/>
        <w:spacing w:before="360" w:after="180"/>
      </w:pPr>
      <w:r>
        <w:t>5 唯一性 主键与多事件关联</w:t>
      </w:r>
    </w:p>
    <w:p>
      <w:pPr>
        <w:spacing w:before="0" w:after="140"/>
      </w:pPr>
      <w:r>
        <w:rPr>
          <w:b w:val="0"/>
        </w:rPr>
        <w:t>唯一性检查首先明确“一行代表什么”。订单、产品和卖家可以使用单字段业务键；商品行和支付事件使用复合键；评价记录需要同时保留评价标识与订单标识的关系。七项业务键检查的重复数均为0，这支持按声明的关系进行合并。</w:t>
      </w:r>
    </w:p>
    <w:p>
      <w:pPr>
        <w:spacing w:before="0" w:after="140"/>
      </w:pPr>
      <w:r>
        <w:rPr>
          <w:b w:val="0"/>
        </w:rPr>
        <w:t>然而，事件表的多行并不是重复数据。有 547 笔订单包含多条评价，订单内额外评价共 551 行。单独观察review_id，还会发现 814 行复用标识。若只按review_id去重，会跨订单删掉有效关联；若将所有评价直接与商品行合并，又会改变订单的权重。</w:t>
      </w:r>
    </w:p>
    <w:p>
      <w:pPr>
        <w:keepNext/>
        <w:spacing w:before="120" w:after="120"/>
      </w:pPr>
      <w:r>
        <w:rPr>
          <w:b/>
        </w:rPr>
        <w:t>表 5-1 业务键 重复检查与聚合策略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3061"/>
        <w:gridCol w:w="4479"/>
      </w:tblGrid>
      <w:tr>
        <w:trPr>
          <w:cantSplit/>
          <w:tblHeader w:val="true"/>
        </w:trPr>
        <w:tc>
          <w:tcPr>
            <w:tcW w:type="dxa" w:w="158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数据对象</w:t>
            </w:r>
          </w:p>
        </w:tc>
        <w:tc>
          <w:tcPr>
            <w:tcW w:type="dxa" w:w="306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业务键检查结果</w:t>
            </w:r>
          </w:p>
        </w:tc>
        <w:tc>
          <w:tcPr>
            <w:tcW w:type="dxa" w:w="4479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聚合与解释规则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order_id重复0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每笔订单权重为1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商品行</w:t>
            </w:r>
          </w:p>
        </w:tc>
        <w:tc>
          <w:tcPr>
            <w:tcW w:type="dxa" w:w="306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订单与行序号重复0</w:t>
            </w:r>
          </w:p>
        </w:tc>
        <w:tc>
          <w:tcPr>
            <w:tcW w:type="dxa" w:w="447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商品金额和运费同单求和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支付事件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订单与支付序号重复0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同单多次支付求和，方式结构按支付金额统计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评价记录</w:t>
            </w:r>
          </w:p>
        </w:tc>
        <w:tc>
          <w:tcPr>
            <w:tcW w:type="dxa" w:w="306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评价与订单组合重复0</w:t>
            </w:r>
          </w:p>
        </w:tc>
        <w:tc>
          <w:tcPr>
            <w:tcW w:type="dxa" w:w="447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有效星级同单求均值，再跨订单取均值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稳定客户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同一标识可跨多单</w:t>
            </w:r>
          </w:p>
        </w:tc>
        <w:tc>
          <w:tcPr>
            <w:tcW w:type="dxa" w:w="447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回购时去重客户，不能直接去重订单侧customer_id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5.1 多表连接为什么会放大数字</w:t>
      </w:r>
    </w:p>
    <w:p>
      <w:pPr>
        <w:spacing w:before="0" w:after="140"/>
      </w:pPr>
      <w:r>
        <w:rPr>
          <w:b w:val="0"/>
        </w:rPr>
        <w:t>假设一笔订单有2条商品行、2次支付和2条评价，直接按订单键连接三张事件表会形成8条组合记录。每条商品行会重复4次，每次支付也会重复4次。此时COUNT(*)、商品金额与支付金额都不能代表原来的业务数量。这个例子仅用于说明连接机制，不充当本批数据结果。</w:t>
      </w:r>
    </w:p>
    <w:p>
      <w:pPr>
        <w:spacing w:before="0" w:after="140"/>
      </w:pPr>
      <w:r>
        <w:rPr>
          <w:b w:val="0"/>
        </w:rPr>
        <w:t>项目实际采用“各事件表内部先聚合，再与订单左连接”。结果仍是 99,441 笔订单，商品金额与原始商品行总和一致。品类金额从商品行本身汇总，而不是把整单商品金额重复赋给订单中的每一个品类。涉及多品类订单时，各品类订单数可以重叠，不能求和当作全平台去重订单数。</w:t>
      </w:r>
    </w:p>
    <w:p>
      <w:pPr>
        <w:pStyle w:val="Heading2"/>
      </w:pPr>
      <w:r>
        <w:t>5.2 评分的两种分母</w:t>
      </w:r>
    </w:p>
    <w:p>
      <w:pPr>
        <w:spacing w:before="0" w:after="140"/>
      </w:pPr>
      <w:r>
        <w:rPr>
          <w:b w:val="0"/>
        </w:rPr>
        <w:t>正式报告中的平均评分先在订单内平均有效星级，再在有评价订单间平均，使每单等权。原始星级构成若按评价事件计数，则是一条评价一票。这两种统计都可以描述数据，但回答的问题不同，不能拿其中一个比例去解释另一个平均数。</w:t>
      </w:r>
    </w:p>
    <w:p>
      <w:pPr>
        <w:spacing w:before="0" w:after="140"/>
      </w:pPr>
      <w:r>
        <w:rPr>
          <w:b w:val="0"/>
        </w:rPr>
        <w:t>低评分以订单均分≤2定义。同一订单若有多次评分，其均分可能不是整数；直接把平均数强制四舍五入成星级，会改变低评分边界。本项目保留均分原值，并在敏感性分析中将阈值分别设为1、2、3。</w:t>
      </w:r>
    </w:p>
    <w:p>
      <w:pPr>
        <w:pStyle w:val="Heading1"/>
        <w:pageBreakBefore w:val="0"/>
        <w:spacing w:before="360" w:after="180"/>
      </w:pPr>
      <w:r>
        <w:t>6 跨表一致性与金额核验</w:t>
      </w:r>
    </w:p>
    <w:p>
      <w:pPr>
        <w:spacing w:before="0" w:after="140"/>
      </w:pPr>
      <w:r>
        <w:rPr>
          <w:b w:val="0"/>
        </w:rPr>
        <w:t>本批检查了订单到客户、商品明细到订单、商品明细到产品、商品明细到卖家、支付到订单、评价到订单六组外键。未匹配行数均为0。该结果说明表间关联在本提取内一致，不等于已与平台外部支付账单或物流系统核验。</w:t>
      </w:r>
    </w:p>
    <w:p>
      <w:pPr>
        <w:spacing w:before="0" w:after="140"/>
      </w:pPr>
      <w:r>
        <w:rPr>
          <w:b w:val="0"/>
        </w:rPr>
        <w:t>连接操作声明many_to_one或one_to_one关系，若维表键重复会在分析开始时暴露，而不是静默产生笛卡尔扩展。商品与评价聚合后的订单键唯一，合并后再次核对行数和商品总金额。核心的行数守恒与金额守恒是两项独立验证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30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mon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3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6-1 支付差额超过0.01的订单为 1,075 笔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左图为同单支付减商品金额与运费之和的差额分组，订单数使用对称对数刻度；右图分别展示三个金额，不作加总；证据 extended_payment_diff_bins和extended_snapshot.json。</w:t>
      </w:r>
    </w:p>
    <w:p>
      <w:pPr>
        <w:spacing w:before="0" w:after="140"/>
      </w:pPr>
      <w:r>
        <w:rPr>
          <w:b w:val="0"/>
        </w:rPr>
        <w:t>图表解读  误差不超过BRL 0.01的订单为 98,365 笔。其余订单中支付较高 1,036 笔、支付较低 39 笔。对数刻度让较少的异常组可见，但不能用条形视觉长度推断线性数量差。三项金额的定义不同，右图只作并列披露。</w:t>
      </w:r>
    </w:p>
    <w:p>
      <w:pPr>
        <w:keepNext/>
        <w:spacing w:before="120" w:after="120"/>
      </w:pPr>
      <w:r>
        <w:rPr>
          <w:b/>
        </w:rPr>
        <w:t>表 6-1 金额勾稽边界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608"/>
        <w:gridCol w:w="4195"/>
      </w:tblGrid>
      <w:tr>
        <w:trPr>
          <w:cantSplit/>
          <w:tblHeader w:val="true"/>
        </w:trPr>
        <w:tc>
          <w:tcPr>
            <w:tcW w:type="dxa" w:w="232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60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本批结果</w:t>
            </w:r>
          </w:p>
        </w:tc>
        <w:tc>
          <w:tcPr>
            <w:tcW w:type="dxa" w:w="419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可得出的判断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有支付可比较订单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99,440 笔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缺支付订单不作相等判定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绝对差额大于0.01</w:t>
            </w:r>
          </w:p>
        </w:tc>
        <w:tc>
          <w:tcPr>
            <w:tcW w:type="dxa" w:w="260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1,075 笔</w:t>
            </w:r>
          </w:p>
        </w:tc>
        <w:tc>
          <w:tcPr>
            <w:tcW w:type="dxa" w:w="419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需要支付口径核验，不能直接认定错误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跨订单差额净合计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BRL 165,462.34</w:t>
            </w:r>
          </w:p>
        </w:tc>
        <w:tc>
          <w:tcPr>
            <w:tcW w:type="dxa" w:w="419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正负差额会抵销，不表示全部差额规模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绝对差额最大值</w:t>
            </w:r>
          </w:p>
        </w:tc>
        <w:tc>
          <w:tcPr>
            <w:tcW w:type="dxa" w:w="260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BRL 3,782.19</w:t>
            </w:r>
          </w:p>
        </w:tc>
        <w:tc>
          <w:tcPr>
            <w:tcW w:type="dxa" w:w="419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可作为核查优先线索，不输出具体订单身份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6.1 差额为什么没有自动修正</w:t>
      </w:r>
    </w:p>
    <w:p>
      <w:pPr>
        <w:spacing w:before="0" w:after="140"/>
      </w:pPr>
      <w:r>
        <w:rPr>
          <w:b w:val="0"/>
        </w:rPr>
        <w:t>本提取没有退款、优惠券抵扣、订单修订、补偿和财务结算事件。支付金额可能覆盖与商品行和运费不同的业务范围，差额原因不能只靠当前三列加减确定。把支付强行改为商品加运费，或把差额写成利润，会制造未经证实的财务事实。</w:t>
      </w:r>
    </w:p>
    <w:p>
      <w:pPr>
        <w:spacing w:before="0" w:after="140"/>
      </w:pPr>
      <w:r>
        <w:rPr>
          <w:b w:val="0"/>
        </w:rPr>
        <w:t>处理决定是保留原始金额，分别公布商品金额、运费与支付金额；差额只作为待核验线索。若数据提供方补充支付流水与退款口径，应先在订单层面重建财务事件，再判断哪些差额属于真实交易规则，哪些属于抽取缺失。</w:t>
      </w:r>
    </w:p>
    <w:p>
      <w:pPr>
        <w:pStyle w:val="Heading1"/>
        <w:pageBreakBefore w:val="0"/>
        <w:spacing w:before="360" w:after="180"/>
      </w:pPr>
      <w:r>
        <w:t>7 时间规范性与履约时序</w:t>
      </w:r>
    </w:p>
    <w:p>
      <w:pPr>
        <w:spacing w:before="0" w:after="140"/>
      </w:pPr>
      <w:r>
        <w:rPr>
          <w:b w:val="0"/>
        </w:rPr>
        <w:t>五个订单日期字段分别检查非空原值能否解析。解析失败均为0；空值仍保留为空，没有被当成格式错误，也没有以默认日期替换。四张主表中的关键标识满足32位十六进制字符约束，客户与卖家州代码均可映射至27州。格式通过只证明记录符合约定，不证明其业务事实完全正确。</w:t>
      </w:r>
    </w:p>
    <w:p>
      <w:pPr>
        <w:spacing w:before="0" w:after="140"/>
      </w:pPr>
      <w:r>
        <w:rPr>
          <w:b w:val="0"/>
        </w:rPr>
        <w:t>已送达订单中没有实际送达早于下单的记录，但有 23 笔订单的承运商交接时间晚于客户送达时间。这种时序不可能支持正常的阶段耗时解释，因此阶段分析必须排除负值并单独披露。核心配送总时长使用“下单至客户送达”，不依赖该异常字段。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2935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st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935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7-1 交承运商至客户阶段中位数 7.10 天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每阶段只使用已送达、对应两端时间非空且耗时非负的订单；粗线P25至P75，点为P50，竖标P90；各分母见右侧；证据 extended_delivery_stages.csv。</w:t>
      </w:r>
    </w:p>
    <w:p>
      <w:pPr>
        <w:spacing w:before="0" w:after="140"/>
      </w:pPr>
      <w:r>
        <w:rPr>
          <w:b w:val="0"/>
        </w:rPr>
        <w:t>图表解读  阶段分布帮助定位可能的流程瓶颈，但各阶段有效样本不同，中位数不能直接相加后声称等于总配送中位数。负耗时与缺失在阶段分母中排除，总时长分母维持原定义，避免为解释某一阶段而改变整体结论。</w:t>
      </w:r>
    </w:p>
    <w:p>
      <w:pPr>
        <w:keepNext/>
        <w:spacing w:before="120" w:after="120"/>
      </w:pPr>
      <w:r>
        <w:rPr>
          <w:b/>
        </w:rPr>
        <w:t>表 7-1 阶段有效性检查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984"/>
        <w:gridCol w:w="1984"/>
        <w:gridCol w:w="2098"/>
      </w:tblGrid>
      <w:tr>
        <w:trPr>
          <w:cantSplit/>
          <w:tblHeader w:val="true"/>
        </w:trPr>
        <w:tc>
          <w:tcPr>
            <w:tcW w:type="dxa" w:w="306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98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有效非负样本</w:t>
            </w:r>
          </w:p>
        </w:tc>
        <w:tc>
          <w:tcPr>
            <w:tcW w:type="dxa" w:w="198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负耗时记录</w:t>
            </w:r>
          </w:p>
        </w:tc>
        <w:tc>
          <w:tcPr>
            <w:tcW w:type="dxa" w:w="209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中位数 天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下单至批准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96,464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0.01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批准至交承运商</w:t>
            </w:r>
          </w:p>
        </w:tc>
        <w:tc>
          <w:tcPr>
            <w:tcW w:type="dxa" w:w="19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95,112</w:t>
            </w:r>
          </w:p>
        </w:tc>
        <w:tc>
          <w:tcPr>
            <w:tcW w:type="dxa" w:w="198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1,350</w:t>
            </w:r>
          </w:p>
        </w:tc>
        <w:tc>
          <w:tcPr>
            <w:tcW w:type="dxa" w:w="209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1.85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交承运商至客户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96,446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7.10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7.1 日历延迟与连续时长</w:t>
      </w:r>
    </w:p>
    <w:p>
      <w:pPr>
        <w:spacing w:before="0" w:after="140"/>
      </w:pPr>
      <w:r>
        <w:rPr>
          <w:b w:val="0"/>
        </w:rPr>
        <w:t>配送时长保留时分秒，将实际送达减下单的秒差除以86400得到自然日。延迟按实际与预计送达的日历日期比较，大于0才算延迟。同一天晚间送达仍算当天履约，不因为预计日期的时间部分是午夜就被判为迟到。</w:t>
      </w:r>
    </w:p>
    <w:p>
      <w:pPr>
        <w:spacing w:before="0" w:after="140"/>
      </w:pPr>
      <w:r>
        <w:rPr>
          <w:b w:val="0"/>
        </w:rPr>
        <w:t>原始时间没有在本项目中跨时区转换。按小时分布描述的是来源系统记录时间，无法确定所有客户当地的实际时钟。若后续需要研究跨时区服务或承诺到小时的履约，需要补充时间字段的时区定义并重新计算。</w:t>
      </w:r>
    </w:p>
    <w:p>
      <w:pPr>
        <w:pStyle w:val="Heading1"/>
        <w:pageBreakBefore w:val="0"/>
        <w:spacing w:before="360" w:after="180"/>
      </w:pPr>
      <w:r>
        <w:t>8 合理性检查与长尾保留</w:t>
      </w:r>
    </w:p>
    <w:p>
      <w:pPr>
        <w:spacing w:before="0" w:after="140"/>
      </w:pPr>
      <w:r>
        <w:rPr>
          <w:b w:val="0"/>
        </w:rPr>
        <w:t>商品行价格范围为 BRL 0.85 至 BRL 6,735.00；本批商品金额、运费和支付金额均未出现负值。零运费商品行有 383 条，支付金额为0的记录有 9 条，分期期数为0的记录有 2 条。它们是需要结合业务规则解释的取值，不因偏离典型值就自动删除。</w:t>
      </w:r>
    </w:p>
    <w:p>
      <w:pPr>
        <w:spacing w:before="0" w:after="140"/>
      </w:pPr>
      <w:r>
        <w:rPr>
          <w:b w:val="0"/>
        </w:rPr>
        <w:t>低价商品可能承担高比例运费，长距离或异常流程可能产生长配送时长。合理性检查的目的在于发现哪些结论会受长尾影响，而不是让分布看起来对称。统计量使用完整有效样本，图形若限制显示范围，会把未显示的数量写清楚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1307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30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8-1 有效配送P90为 23.10 天 P95为 29.27 天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曲线为全部有效配送订单的经验累计分布；图示横轴0至70天，分位数用完整样本计算；证据 delivery_quantiles。</w:t>
      </w:r>
    </w:p>
    <w:p>
      <w:pPr>
        <w:spacing w:before="0" w:after="140"/>
      </w:pPr>
      <w:r>
        <w:rPr>
          <w:b w:val="0"/>
        </w:rPr>
        <w:t>图表解读  中位数只能描述典型订单。P90和P95揭示较慢订单所处的时长范围，说明服务承诺不能只看平均或中位数。图示截断没有从分母中删去长尾，70天以上仍计入累计比例的总体。</w:t>
      </w:r>
    </w:p>
    <w:p>
      <w:pPr>
        <w:spacing w:before="0" w:after="140"/>
      </w:pPr>
      <w:r>
        <w:rPr>
          <w:b w:val="0"/>
        </w:rPr>
        <w:t>超过70天的有效配送订单有 180 笔，占有效配送样本 0.19%。报告保留它们，不以固定70天阈值清洗。若要核查，应结合事件版本、退款与物流补录逐笔检查；当前公开提取不足以区分所有原因。</w:t>
      </w:r>
    </w:p>
    <w:p>
      <w:pPr>
        <w:spacing w:before="0" w:after="140"/>
      </w:pPr>
      <w:r>
        <w:rPr>
          <w:b w:val="0"/>
        </w:rPr>
        <w:t>评分超出1至5的原始记录为0。低评分阈值是业务分析约定，不能以“评分看起来反常”为理由抹去负面体验。我们通过阈值与年份对照检查关联方向，并在正式分析报告中保留评分选择性和混杂因素的限制。</w:t>
      </w:r>
    </w:p>
    <w:p>
      <w:pPr>
        <w:pStyle w:val="Heading1"/>
        <w:pageBreakBefore w:val="0"/>
        <w:spacing w:before="360" w:after="180"/>
      </w:pPr>
      <w:r>
        <w:t>9 清洗规则与指标分母对账</w:t>
      </w:r>
    </w:p>
    <w:p>
      <w:pPr>
        <w:spacing w:before="0" w:after="140"/>
      </w:pPr>
      <w:r>
        <w:rPr>
          <w:b w:val="0"/>
        </w:rPr>
        <w:t>清洗不是把所有缺失都删掉，而是将原始记录转为可明确解释的分析样本。本项目的订单事实表不删除订单，派生配送、评分与交集样本时再使用各自条件。因此，配送样本数与评分样本数不能相加，也不能按一个连续漏斗依次相减。</w:t>
      </w:r>
    </w:p>
    <w:p>
      <w:pPr>
        <w:spacing w:before="0" w:after="140"/>
      </w:pPr>
      <w:r>
        <w:rPr>
          <w:b w:val="0"/>
        </w:rPr>
        <w:t>处理顺序为：读取只读原始表，校验业务键与外键，在事件表内部完成商品金额合计和有效评分平均，回连订单，解析日期，生成订单年份、月份、地区与有效履约字段。金额合计在回连后再次与商品原表核对。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33907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denominato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90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9-1 全订单保留 99,441 笔 配送与评分分母分别建立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配送样本先限制已送达状态再检查相关日期，评分样本从订单表独立筛选；证据 ledger.csv。</w:t>
      </w:r>
    </w:p>
    <w:p>
      <w:pPr>
        <w:spacing w:before="0" w:after="140"/>
      </w:pPr>
      <w:r>
        <w:rPr>
          <w:b w:val="0"/>
        </w:rPr>
        <w:t>图表解读  前三条反映订单到有效配送样本的范围变化，第四条是另一条独立分支。中蓝色用来区分评分分母，而不是表示评分样本是配送样本之后的剩余。正文中的每个比例均引用相应分母。</w:t>
      </w:r>
    </w:p>
    <w:p>
      <w:pPr>
        <w:keepNext/>
        <w:spacing w:before="120" w:after="120"/>
      </w:pPr>
      <w:r>
        <w:rPr>
          <w:b/>
        </w:rPr>
        <w:t>表 9-1 输入 排除 输出对账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1701"/>
        <w:gridCol w:w="1701"/>
        <w:gridCol w:w="1701"/>
      </w:tblGrid>
      <w:tr>
        <w:trPr>
          <w:cantSplit/>
          <w:tblHeader w:val="true"/>
        </w:trPr>
        <w:tc>
          <w:tcPr>
            <w:tcW w:type="dxa" w:w="402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70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输入</w:t>
            </w:r>
          </w:p>
        </w:tc>
        <w:tc>
          <w:tcPr>
            <w:tcW w:type="dxa" w:w="170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排除</w:t>
            </w:r>
          </w:p>
        </w:tc>
        <w:tc>
          <w:tcPr>
            <w:tcW w:type="dxa" w:w="170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原始订单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99,441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订单事实表 左连接与订单内聚合</w:t>
            </w:r>
          </w:p>
        </w:tc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99,441</w:t>
            </w:r>
          </w:p>
        </w:tc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99,441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配送样本 排除未送达状态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2,963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96,478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配送样本 排除送达时间缺失或逆序</w:t>
            </w:r>
          </w:p>
        </w:tc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96,478</w:t>
            </w:r>
          </w:p>
        </w:tc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96,470</w:t>
            </w:r>
          </w:p>
        </w:tc>
      </w:tr>
      <w:tr>
        <w:trPr>
          <w:cantSplit/>
        </w:trPr>
        <w:tc>
          <w:tcPr>
            <w:tcW w:type="dxa" w:w="402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评分样本 独立于配送分支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99,441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768</w:t>
            </w:r>
          </w:p>
        </w:tc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98,673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2"/>
      </w:pPr>
      <w:r>
        <w:t>9.1 规则带来的副作用</w:t>
      </w:r>
    </w:p>
    <w:p>
      <w:pPr>
        <w:spacing w:before="0" w:after="140"/>
      </w:pPr>
      <w:r>
        <w:rPr>
          <w:b w:val="0"/>
        </w:rPr>
        <w:t>缺商品明细的订单金额填0，有利于维持订单规模完整，但这个0只表示本提取无商品金额记录，不能把它们称为免费订单。平均每单商品金额使用全部订单作为分母，若只研究有商品明细的购买，应重新报告相应分母。</w:t>
      </w:r>
    </w:p>
    <w:p>
      <w:pPr>
        <w:spacing w:before="0" w:after="140"/>
      </w:pPr>
      <w:r>
        <w:rPr>
          <w:b w:val="0"/>
        </w:rPr>
        <w:t>只分析有效送达订单会排除尚未完成和取消的交易，故配送时长不代表全部已下单交易的最终结果。只分析有评分订单也可能带来选择偏差。这些副作用无法靠代码断言消除，必须与数字一起出现在解释中。</w:t>
      </w:r>
    </w:p>
    <w:p>
      <w:pPr>
        <w:pStyle w:val="Heading1"/>
        <w:pageBreakBefore w:val="0"/>
        <w:spacing w:before="360" w:after="180"/>
      </w:pPr>
      <w:r>
        <w:t>10 地理代表性与业务适用范围</w:t>
      </w:r>
    </w:p>
    <w:p>
      <w:pPr>
        <w:spacing w:before="0" w:after="140"/>
      </w:pPr>
      <w:r>
        <w:rPr>
          <w:b w:val="0"/>
        </w:rPr>
        <w:t>SP、RJ、MG三州商品金额合计占 63.37%，SP单州占 38.28%。地理集中既可能反映平台真实经营分布，也可能受到提取范围和商家覆盖影响。没有全国电商总体或人口参照，不能把这组比例解释成巴西各州的市场份额或人均消费能力。</w:t>
      </w:r>
    </w:p>
    <w:p>
      <w:pPr>
        <w:keepNext/>
        <w:spacing w:after="40" w:line="240" w:lineRule="auto"/>
      </w:pPr>
      <w:r>
        <w:drawing>
          <wp:inline xmlns:a="http://schemas.openxmlformats.org/drawingml/2006/main" xmlns:pic="http://schemas.openxmlformats.org/drawingml/2006/picture">
            <wp:extent cx="5796000" cy="41058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eograph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105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t>图 10-1 样本交易集中于东南部 三个核心州占金额 63.37%</w:t>
      </w:r>
    </w:p>
    <w:p>
      <w:pPr>
        <w:spacing w:before="0" w:after="120" w:line="290" w:lineRule="exact"/>
      </w:pPr>
      <w:r>
        <w:rPr>
          <w:b w:val="0"/>
          <w:color w:val="526A7A"/>
          <w:sz w:val="19"/>
        </w:rPr>
        <w:t>口径与来源  地图使用项目保留的IBGE州界；颜色按金额作幂次0.45拉伸以显示低量州，右侧给出精确金额占比；证据 extended_states.csv。</w:t>
      </w:r>
    </w:p>
    <w:p>
      <w:pPr>
        <w:spacing w:before="0" w:after="140"/>
      </w:pPr>
      <w:r>
        <w:rPr>
          <w:b w:val="0"/>
        </w:rPr>
        <w:t>图表解读  地图用于观察交易重心，排名用于核对精确比例。两种表示同时出现，避免只看色深就高估差距。小州交易少并不能证明需求弱，后续行动应结合覆盖与履约服务能力，而不是直接据此撤出市场。</w:t>
      </w:r>
    </w:p>
    <w:p>
      <w:pPr>
        <w:keepNext/>
        <w:spacing w:before="120" w:after="120"/>
      </w:pPr>
      <w:r>
        <w:rPr>
          <w:b/>
        </w:rPr>
        <w:t>表 10-1 适用性判断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304"/>
        <w:gridCol w:w="5102"/>
      </w:tblGrid>
      <w:tr>
        <w:trPr>
          <w:cantSplit/>
          <w:tblHeader w:val="true"/>
        </w:trPr>
        <w:tc>
          <w:tcPr>
            <w:tcW w:type="dxa" w:w="272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30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可用程度</w:t>
            </w:r>
          </w:p>
        </w:tc>
        <w:tc>
          <w:tcPr>
            <w:tcW w:type="dxa" w:w="5102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必要限制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历史交易结构描述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可以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限定为本平台公开提取与原始时间范围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有效送达样本履约比较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有条件</w:t>
            </w:r>
          </w:p>
        </w:tc>
        <w:tc>
          <w:tcPr>
            <w:tcW w:type="dxa" w:w="510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说明日期有效性与完成状态选择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延迟与评价的关联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有条件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有评分交集；混杂与选择性仍存在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客户后续月度回购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有条件</w:t>
            </w:r>
          </w:p>
        </w:tc>
        <w:tc>
          <w:tcPr>
            <w:tcW w:type="dxa" w:w="510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稳定客户标识；未来月份不可见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全国市场 当期经营 利润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不足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缺抽样框 当期样本 成本退款及结算事件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样本代表性也随问题变化。若研究的是“这些订单主要来自哪些州”，现有客户州字段就足够；若问题改成“哪个州值得扩大投放”，则还需要潜在人群、竞争、获客费用与供给约束。数据适用性不能用一个总评分替代，应按拟回答的问题逐项判断。</w:t>
      </w:r>
    </w:p>
    <w:p>
      <w:pPr>
        <w:pStyle w:val="Heading1"/>
        <w:pageBreakBefore w:val="0"/>
        <w:spacing w:before="360" w:after="180"/>
      </w:pPr>
      <w:r>
        <w:t>11 问题清单 复现与持续监控</w:t>
      </w:r>
    </w:p>
    <w:p>
      <w:pPr>
        <w:spacing w:before="0" w:after="140"/>
      </w:pPr>
      <w:r>
        <w:rPr>
          <w:b w:val="0"/>
        </w:rPr>
        <w:t>本批已落实的控制包括业务键与外键核验、订单内先聚合、日期解析、有效星级范围、配送样本判断、金额守恒断言、完整月客户队列和汇总导出。每条质量检查均保留编号、影响数、分母和处理决定，附录提供33项完整台账。</w:t>
      </w:r>
    </w:p>
    <w:p>
      <w:pPr>
        <w:spacing w:before="0" w:after="140"/>
      </w:pPr>
      <w:r>
        <w:rPr>
          <w:b w:val="0"/>
        </w:rPr>
        <w:t>需要数据提供方确认的事项包括支付差额的业务来源、承运商时间逆序的事件版本、原始时间的时区含义，以及数据集起止端的抽取规则。这些事项不会被“测试通过”自动消除；测试验证代码按约定计算，业务语义仍要通过额外资料确认。</w:t>
      </w:r>
    </w:p>
    <w:p>
      <w:pPr>
        <w:keepNext/>
        <w:spacing w:before="120" w:after="120"/>
      </w:pPr>
      <w:r>
        <w:rPr>
          <w:b/>
        </w:rPr>
        <w:t>表 11-1 持续监控与责任安排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3855"/>
        <w:gridCol w:w="2948"/>
      </w:tblGrid>
      <w:tr>
        <w:trPr>
          <w:cantSplit/>
          <w:tblHeader w:val="true"/>
        </w:trPr>
        <w:tc>
          <w:tcPr>
            <w:tcW w:type="dxa" w:w="232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监控内容</w:t>
            </w:r>
          </w:p>
        </w:tc>
        <w:tc>
          <w:tcPr>
            <w:tcW w:type="dxa" w:w="385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触发后处理</w:t>
            </w:r>
          </w:p>
        </w:tc>
        <w:tc>
          <w:tcPr>
            <w:tcW w:type="dxa" w:w="294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负责与交叉复核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主键重复 外键未匹配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中止并核查输入，防止金额放大或静默丢行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杨宇航负责，王子豪复核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缺评分 缺商品 缺送达</w:t>
            </w:r>
          </w:p>
        </w:tc>
        <w:tc>
          <w:tcPr>
            <w:tcW w:type="dxa" w:w="385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按状态拆解变化，记录各指标分母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杨宇航负责，赵子博复核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日期逆序和长尾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不盲目填补或删除，检查事件规则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王子豪负责，周书悦复核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队列与观察月</w:t>
            </w:r>
          </w:p>
        </w:tc>
        <w:tc>
          <w:tcPr>
            <w:tcW w:type="dxa" w:w="385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新增月份先确认完整性，再发布回购图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周书悦负责，赵子博复核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报告与交付一致性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同批快照生成，目录和页面逐页核查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赵子博负责，杨宇航复核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在分析代码目录运行 python scripts/reproduce_reports.py，可从七个SQL重算报告数字、CSV证据和22幅图表。使用创建虚拟环境的Python执行该命令；Windows示例与环境说明见README。运行记录保存在reports/reproduction.json，包含输入输出计数、耗时、状态和SQL哈希。</w:t>
      </w:r>
    </w:p>
    <w:p>
      <w:pPr>
        <w:spacing w:before="0" w:after="140"/>
      </w:pPr>
      <w:r>
        <w:rPr>
          <w:b w:val="0"/>
        </w:rPr>
        <w:t>加 --documents 可重建Word；自动PDF另需可选渲染环境和 --render，或在Word/WPS中打开DOCX后导出并检查目录。报告正文数字从聚合快照读取，图表同时保留PNG与SVG，附录列出证据文件和计算入口。对外材料仅含汇总结果，不含原始SQL、数据库、客户标识或评价正文。四名组员各占25%的工作安排与真实提交记录分开保留，由成员据实际协作确认。</w:t>
      </w:r>
    </w:p>
    <w:p>
      <w:pPr>
        <w:pStyle w:val="Heading1"/>
        <w:pageBreakBefore/>
        <w:spacing w:before="360" w:after="180"/>
      </w:pPr>
      <w:r>
        <w:t>附录 A 指标字典与辅助使用记录</w:t>
      </w:r>
    </w:p>
    <w:p>
      <w:pPr>
        <w:keepNext/>
        <w:spacing w:before="120" w:after="120"/>
      </w:pPr>
      <w:r>
        <w:rPr>
          <w:b/>
        </w:rPr>
        <w:t>表 A-1 核心指标和边界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3458"/>
      </w:tblGrid>
      <w:tr>
        <w:trPr>
          <w:cantSplit/>
          <w:tblHeader w:val="true"/>
        </w:trPr>
        <w:tc>
          <w:tcPr>
            <w:tcW w:type="dxa" w:w="170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969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可复算定义</w:t>
            </w:r>
          </w:p>
        </w:tc>
        <w:tc>
          <w:tcPr>
            <w:tcW w:type="dxa" w:w="345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限制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order_id去重；事实表每单一行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全状态，不等于全部已完成购买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商品金额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order_items.price合计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不含运费，不是净收入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支付金额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payments.payment_value合计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可能含运费，无退款结算闭环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平均评分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同单有效星级均值，再跨有评分订单平均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多次评价不增加订单权重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配送时长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有效已送达订单 下单至送达秒差/86400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不代表未完成订单最终时长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延迟率</w:t>
            </w:r>
          </w:p>
        </w:tc>
        <w:tc>
          <w:tcPr>
            <w:tcW w:type="dxa" w:w="396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实际送达日期晚于预计日期的订单/有效可判断订单</w:t>
            </w:r>
          </w:p>
        </w:tc>
        <w:tc>
          <w:tcPr>
            <w:tcW w:type="dxa" w:w="345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按日历日期判断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月度回购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首购队列在M+k再次出现的去重客户/队列人数</w:t>
            </w:r>
          </w:p>
        </w:tc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首次观察而非真实人生首购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keepNext/>
        <w:spacing w:before="120" w:after="120"/>
      </w:pPr>
      <w:r>
        <w:rPr>
          <w:b/>
        </w:rPr>
        <w:t>表 A-2 大模型辅助使用及验证记录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082"/>
        <w:gridCol w:w="3855"/>
      </w:tblGrid>
      <w:tr>
        <w:trPr>
          <w:cantSplit/>
          <w:tblHeader w:val="true"/>
        </w:trPr>
        <w:tc>
          <w:tcPr>
            <w:tcW w:type="dxa" w:w="119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4082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采纳与处理</w:t>
            </w:r>
          </w:p>
        </w:tc>
        <w:tc>
          <w:tcPr>
            <w:tcW w:type="dxa" w:w="385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验证方法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需求衔接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根据项目任务书完成Olist质量与分析报告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阅读任务书及四份参考文档；不沿用信令示例数字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质量与分析</w:t>
            </w:r>
          </w:p>
        </w:tc>
        <w:tc>
          <w:tcPr>
            <w:tcW w:type="dxa" w:w="408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辅助编写审计、汇总、图表和报告生成代码</w:t>
            </w:r>
          </w:p>
        </w:tc>
        <w:tc>
          <w:tcPr>
            <w:tcW w:type="dxa" w:w="385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本机运行原始七表；订单粒度与金额独立核对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写作排版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辅助统一字体、目录、行距与配色，正文数字由汇总结果生成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核对正文、图表与汇总快照，检查Word和PDF版式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代码审查</w:t>
            </w:r>
          </w:p>
        </w:tc>
        <w:tc>
          <w:tcPr>
            <w:tcW w:type="dxa" w:w="4082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使用大模型辅助检查复现入口、参数配置和关联校验，建议经检查和实际运行后采用</w:t>
            </w:r>
          </w:p>
        </w:tc>
        <w:tc>
          <w:tcPr>
            <w:tcW w:type="dxa" w:w="385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检查源码并重新运行；已验证macOS环境，Windows命令尚未实测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大模型用于辅助代码编写、报告组织和排版检查。统计结果由原始七表计算，并以独立SQL和自动测试核对。原始数据在本地处理，报告仅展示汇总结果。项目组负责复核与解释最终内容。</w:t>
      </w:r>
    </w:p>
    <w:p>
      <w:pPr>
        <w:keepNext/>
        <w:spacing w:before="120" w:after="120"/>
      </w:pPr>
      <w:r>
        <w:rPr>
          <w:b/>
        </w:rPr>
        <w:t>表 A-3 小组分工与交叉复核安排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5329"/>
        <w:gridCol w:w="1304"/>
      </w:tblGrid>
      <w:tr>
        <w:trPr>
          <w:cantSplit/>
          <w:tblHeader w:val="true"/>
        </w:trPr>
        <w:tc>
          <w:tcPr>
            <w:tcW w:type="dxa" w:w="124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124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安排占比</w:t>
            </w:r>
          </w:p>
        </w:tc>
        <w:tc>
          <w:tcPr>
            <w:tcW w:type="dxa" w:w="5329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负责内容</w:t>
            </w:r>
          </w:p>
        </w:tc>
        <w:tc>
          <w:tcPr>
            <w:tcW w:type="dxa" w:w="130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复核人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赵子博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总体集成 业务问题 结论复核 答辩统筹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杨宇航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杨宇航</w:t>
            </w:r>
          </w:p>
        </w:tc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数据接入 字段字典 质量检查 清洗对账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王子豪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王子豪</w:t>
            </w:r>
          </w:p>
        </w:tc>
        <w:tc>
          <w:tcPr>
            <w:tcW w:type="dxa" w:w="12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履约分析 评分关联 敏感性验证 自动验收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周书悦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周书悦</w:t>
            </w:r>
          </w:p>
        </w:tc>
        <w:tc>
          <w:tcPr>
            <w:tcW w:type="dxa" w:w="124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25%</w:t>
            </w:r>
          </w:p>
        </w:tc>
        <w:tc>
          <w:tcPr>
            <w:tcW w:type="dxa" w:w="5329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区域品类 客户队列 报告排版 Web展示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赵子博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spacing w:before="0" w:after="140"/>
      </w:pPr>
      <w:r>
        <w:rPr>
          <w:b w:val="0"/>
        </w:rPr>
        <w:t>四名成员各承担25%的安排比例。真实个人提交、完成后的交叉复核和成员确认由小组据实际协作补充，本表不代替个人Git记录或签字。</w:t>
      </w:r>
    </w:p>
    <w:p>
      <w:pPr>
        <w:pStyle w:val="Heading1"/>
        <w:pageBreakBefore/>
        <w:spacing w:before="360" w:after="180"/>
      </w:pPr>
      <w:r>
        <w:t>附录 B1 数据质量逐项检查</w:t>
      </w:r>
    </w:p>
    <w:p>
      <w:pPr>
        <w:spacing w:before="0" w:after="140"/>
      </w:pPr>
      <w:r>
        <w:rPr>
          <w:b w:val="0"/>
        </w:rPr>
        <w:t>每项检查同时记录零异常结果与处理规则。影响数的分母为该项原始表或相应订单状态的总体，不能将跨表影响数相加。机器可读明细位于 evidence/checks.csv。</w:t>
      </w:r>
    </w:p>
    <w:p>
      <w:pPr>
        <w:keepNext/>
        <w:spacing w:before="120" w:after="120"/>
      </w:pPr>
      <w:r>
        <w:rPr>
          <w:b/>
        </w:rPr>
        <w:t>表 B1-1 逐项审计台账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05"/>
        <w:gridCol w:w="1587"/>
        <w:gridCol w:w="3685"/>
      </w:tblGrid>
      <w:tr>
        <w:trPr>
          <w:cantSplit/>
          <w:tblHeader w:val="true"/>
        </w:trPr>
        <w:tc>
          <w:tcPr>
            <w:tcW w:type="dxa" w:w="850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00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维度与检查</w:t>
            </w:r>
          </w:p>
        </w:tc>
        <w:tc>
          <w:tcPr>
            <w:tcW w:type="dxa" w:w="158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影响数/分母</w:t>
            </w:r>
          </w:p>
        </w:tc>
        <w:tc>
          <w:tcPr>
            <w:tcW w:type="dxa" w:w="368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处理决定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DQ-01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orders复合业务键重复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DQ-02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customers复合业务键重复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DQ-03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order_items复合业务键重复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112,650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DQ-04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products复合业务键重复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32,951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DQ-05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payments复合业务键重复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103,886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DQ-06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reviews复合业务键重复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99,224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DQ-07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唯一性 sellers复合业务键重复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3,095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重复会终止合并；本批无需删除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DQ-08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order_purchase_timestamp解析失败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无效日期转为空，仅从依赖该字段的指标排除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DQ-09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order_estimated_delivery_date解析失败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无效日期转为空，仅从依赖该字段的指标排除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DQ-10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order_approved_at解析失败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无效日期转为空，仅从依赖该字段的指标排除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DQ-11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order_delivered_carrier_date解析失败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无效日期转为空，仅从依赖该字段的指标排除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/>
        <w:spacing w:before="360" w:after="180"/>
      </w:pPr>
      <w:r>
        <w:t>附录 B2 数据质量逐项检查</w:t>
      </w:r>
    </w:p>
    <w:p>
      <w:pPr>
        <w:spacing w:before="0" w:after="140"/>
      </w:pPr>
      <w:r>
        <w:rPr>
          <w:b w:val="0"/>
        </w:rPr>
        <w:t>每项检查同时记录零异常结果与处理规则。影响数的分母为该项原始表或相应订单状态的总体，不能将跨表影响数相加。机器可读明细位于 evidence/checks.csv。</w:t>
      </w:r>
    </w:p>
    <w:p>
      <w:pPr>
        <w:keepNext/>
        <w:spacing w:before="120" w:after="120"/>
      </w:pPr>
      <w:r>
        <w:rPr>
          <w:b/>
        </w:rPr>
        <w:t>表 B2-1 逐项审计台账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05"/>
        <w:gridCol w:w="1587"/>
        <w:gridCol w:w="3685"/>
      </w:tblGrid>
      <w:tr>
        <w:trPr>
          <w:cantSplit/>
          <w:tblHeader w:val="true"/>
        </w:trPr>
        <w:tc>
          <w:tcPr>
            <w:tcW w:type="dxa" w:w="850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00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维度与检查</w:t>
            </w:r>
          </w:p>
        </w:tc>
        <w:tc>
          <w:tcPr>
            <w:tcW w:type="dxa" w:w="158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影响数/分母</w:t>
            </w:r>
          </w:p>
        </w:tc>
        <w:tc>
          <w:tcPr>
            <w:tcW w:type="dxa" w:w="368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处理决定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DQ-12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order_delivered_customer_date解析失败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无效日期转为空，仅从依赖该字段的指标排除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DQ-13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完整性 订单缺商品明细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775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订单保留；商品金额填0表示本提取无商品金额记录，不解释成免费订单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DQ-14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完整性 订单缺有效评分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768 / 99,441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订单保留，评分指标按有评分订单计算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DQ-15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完整性 已送达订单缺实际送达时间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8 / 96,478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仅从配送时长与延迟指标排除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DQ-16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完整性 产品缺品类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610 / 32,951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商品保留，品类填unknown，报告归入未分类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DQ-17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orders关联customers失败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关联失败应中止核查，避免静默丢失；本批无需排除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DQ-18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order_items关联orders失败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112,650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关联失败应中止核查，避免静默丢失；本批无需排除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DQ-19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order_items关联products失败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112,650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关联失败应中止核查，避免静默丢失；本批无需排除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DQ-20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order_items关联sellers失败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112,650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关联失败应中止核查，避免静默丢失；本批无需排除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DQ-21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payments关联orders失败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103,886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关联失败应中止核查，避免静默丢失；本批无需排除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DQ-22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reviews关联orders失败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99,224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关联失败应中止核查，避免静默丢失；本批无需排除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/>
        <w:spacing w:before="360" w:after="180"/>
      </w:pPr>
      <w:r>
        <w:t>附录 B3 数据质量逐项检查</w:t>
      </w:r>
    </w:p>
    <w:p>
      <w:pPr>
        <w:spacing w:before="0" w:after="140"/>
      </w:pPr>
      <w:r>
        <w:rPr>
          <w:b w:val="0"/>
        </w:rPr>
        <w:t>每项检查同时记录零异常结果与处理规则。影响数的分母为该项原始表或相应订单状态的总体，不能将跨表影响数相加。机器可读明细位于 evidence/checks.csv。</w:t>
      </w:r>
    </w:p>
    <w:p>
      <w:pPr>
        <w:keepNext/>
        <w:spacing w:before="120" w:after="120"/>
      </w:pPr>
      <w:r>
        <w:rPr>
          <w:b/>
        </w:rPr>
        <w:t>表 B3-1 逐项审计台账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3005"/>
        <w:gridCol w:w="1587"/>
        <w:gridCol w:w="3685"/>
      </w:tblGrid>
      <w:tr>
        <w:trPr>
          <w:cantSplit/>
          <w:tblHeader w:val="true"/>
        </w:trPr>
        <w:tc>
          <w:tcPr>
            <w:tcW w:type="dxa" w:w="850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00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维度与检查</w:t>
            </w:r>
          </w:p>
        </w:tc>
        <w:tc>
          <w:tcPr>
            <w:tcW w:type="dxa" w:w="1587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影响数/分母</w:t>
            </w:r>
          </w:p>
        </w:tc>
        <w:tc>
          <w:tcPr>
            <w:tcW w:type="dxa" w:w="368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处理决定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DQ-23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orders标识长度与字符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用于关联，不对外导出标识值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DQ-24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customers标识长度与字符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用于关联，不对外导出标识值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DQ-25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products标识长度与字符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32,951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用于关联，不对外导出标识值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DQ-26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sellers标识长度与字符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3,095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用于关联，不对外导出标识值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DQ-27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合理性 评价星级超范围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99,224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排除越界评价，保留订单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DQ-28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合理性 order_items金额为负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112,650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负金额应隔离核查，不盲目取绝对值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DQ-29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合理性 payments金额为负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103,886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负金额应隔离核查，不盲目取绝对值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DQ-30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合理性 已送达时间早于下单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96,478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仅从配送指标排除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DQ-31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一致性 交承运商晚于客户送达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23 / 96,478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不用承运商时间计算配送时长；保留下单至送达指标并披露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DQ-32</w:t>
            </w:r>
          </w:p>
        </w:tc>
        <w:tc>
          <w:tcPr>
            <w:tcW w:type="dxa" w:w="300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customers州代码不在27州映射</w:t>
            </w:r>
          </w:p>
        </w:tc>
        <w:tc>
          <w:tcPr>
            <w:tcW w:type="dxa" w:w="1587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99,441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异常州代码归未知，禁止猜测地理归属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DQ-33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规范性 sellers州代码不在27州映射</w:t>
            </w:r>
          </w:p>
        </w:tc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 / 3,095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异常州代码归未知，禁止猜测地理归属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/>
        <w:spacing w:before="360" w:after="180"/>
      </w:pPr>
      <w:r>
        <w:t>附录 C1 原始字段字典</w:t>
      </w:r>
    </w:p>
    <w:p>
      <w:pPr>
        <w:spacing w:before="0" w:after="140"/>
      </w:pPr>
      <w:r>
        <w:rPr>
          <w:b w:val="0"/>
        </w:rPr>
        <w:t>字段含义按当前提取和分析用途记录。标识与文本字段只列结构，不输出真实取值。缺失数来自原始字段画像，分母为所属表行数；完整CSV位于evidence/field_dictionary.csv和profiles.csv。</w:t>
      </w:r>
    </w:p>
    <w:p>
      <w:pPr>
        <w:keepNext/>
        <w:spacing w:before="120" w:after="120"/>
      </w:pPr>
      <w:r>
        <w:rPr>
          <w:b/>
        </w:rPr>
        <w:t>表 C1-1 字段用途与缺失数量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3685"/>
        <w:gridCol w:w="1304"/>
      </w:tblGrid>
      <w:tr>
        <w:trPr>
          <w:cantSplit/>
          <w:tblHeader w:val="true"/>
        </w:trPr>
        <w:tc>
          <w:tcPr>
            <w:tcW w:type="dxa" w:w="119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294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含义与使用</w:t>
            </w:r>
          </w:p>
        </w:tc>
        <w:tc>
          <w:tcPr>
            <w:tcW w:type="dxa" w:w="130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缺失数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订单标识，仅本地关联，不对外展示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订单对应客户标识，不能作为稳定客户身份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order_status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订单状态，保留全部状态用于规模描述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order_purchase_timestamp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下单时间，按原始记录解释，不转换时区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order_approved_at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支付批准时间，允许业务性缺失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160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order_delivered_carrier_date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交承运商时间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1,783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order_delivered_customer_date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实际送达时间，配送时长需非空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2,965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order_estimated_delivery_date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预计送达日期，延迟按日历日判断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customer_id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订单对应客户标识，不能作为稳定客户身份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customer_unique_id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稳定客户标识，用于本地回购队列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customer_zip_code_prefix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客户邮编前缀，分析不用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customer_city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客户城市，分析不用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customer_state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客户州，两位代码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订单标识，仅本地关联，不对外展示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order_item_id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订单内商品行序号，与订单标识构成复合键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/>
        <w:spacing w:before="360" w:after="180"/>
      </w:pPr>
      <w:r>
        <w:t>附录 C2 原始字段字典</w:t>
      </w:r>
    </w:p>
    <w:p>
      <w:pPr>
        <w:spacing w:before="0" w:after="140"/>
      </w:pPr>
      <w:r>
        <w:rPr>
          <w:b w:val="0"/>
        </w:rPr>
        <w:t>字段含义按当前提取和分析用途记录。标识与文本字段只列结构，不输出真实取值。缺失数来自原始字段画像，分母为所属表行数；完整CSV位于evidence/field_dictionary.csv和profiles.csv。</w:t>
      </w:r>
    </w:p>
    <w:p>
      <w:pPr>
        <w:keepNext/>
        <w:spacing w:before="120" w:after="120"/>
      </w:pPr>
      <w:r>
        <w:rPr>
          <w:b/>
        </w:rPr>
        <w:t>表 C2-1 字段用途与缺失数量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3685"/>
        <w:gridCol w:w="1304"/>
      </w:tblGrid>
      <w:tr>
        <w:trPr>
          <w:cantSplit/>
          <w:tblHeader w:val="true"/>
        </w:trPr>
        <w:tc>
          <w:tcPr>
            <w:tcW w:type="dxa" w:w="119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294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含义与使用</w:t>
            </w:r>
          </w:p>
        </w:tc>
        <w:tc>
          <w:tcPr>
            <w:tcW w:type="dxa" w:w="130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缺失数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product_id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商品标识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seller_id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卖家标识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shipping_limit_date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商品行发货期限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price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商品行金额 BRL，不含运费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order_items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freight_value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商品行运费 BRL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商品标识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product_category_name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葡语品类，缺失归为未分类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610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product_name_length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产品名称字符数，不用于核心业务指标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610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product_description_length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产品描述字符数，不是描述正文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610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product_photos_qty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商品图片数量 / 张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610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product_weight_g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商品重量 / 克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product_length_cm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商品长度 / 厘米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product_height_cm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商品高度 / 厘米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product_width_cm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商品宽度 / 厘米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order_id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订单标识，仅本地关联，不对外展示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before="0" w:after="40"/>
      </w:pPr>
      <w:r>
        <w:rPr>
          <w:b w:val="0"/>
        </w:rPr>
      </w:r>
    </w:p>
    <w:p>
      <w:pPr>
        <w:pStyle w:val="Heading1"/>
        <w:pageBreakBefore/>
        <w:spacing w:before="360" w:after="180"/>
      </w:pPr>
      <w:r>
        <w:t>附录 C3 原始字段字典</w:t>
      </w:r>
    </w:p>
    <w:p>
      <w:pPr>
        <w:spacing w:before="0" w:after="140"/>
      </w:pPr>
      <w:r>
        <w:rPr>
          <w:b w:val="0"/>
        </w:rPr>
        <w:t>字段含义按当前提取和分析用途记录。标识与文本字段只列结构，不输出真实取值。缺失数来自原始字段画像，分母为所属表行数；完整CSV位于evidence/field_dictionary.csv和profiles.csv。</w:t>
      </w:r>
    </w:p>
    <w:p>
      <w:pPr>
        <w:keepNext/>
        <w:spacing w:before="120" w:after="120"/>
      </w:pPr>
      <w:r>
        <w:rPr>
          <w:b/>
        </w:rPr>
        <w:t>表 C3-1 字段用途与缺失数量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948"/>
        <w:gridCol w:w="3685"/>
        <w:gridCol w:w="1304"/>
      </w:tblGrid>
      <w:tr>
        <w:trPr>
          <w:cantSplit/>
          <w:tblHeader w:val="true"/>
        </w:trPr>
        <w:tc>
          <w:tcPr>
            <w:tcW w:type="dxa" w:w="1191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2948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3685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含义与使用</w:t>
            </w:r>
          </w:p>
        </w:tc>
        <w:tc>
          <w:tcPr>
            <w:tcW w:type="dxa" w:w="1304"/>
            <w:vAlign w:val="center"/>
            <w:shd w:fill="28648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/>
                <w:color w:val="FFFFFF"/>
                <w:sz w:val="20"/>
              </w:rPr>
              <w:t>缺失数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payment_sequential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订单内支付序号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payment_type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支付方式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payment_installments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分期期数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payments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payment_value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支付金额 BRL，可能包含运费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review_id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评价标识，可能跨订单复用，不能单独作唯一键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order_id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订单标识，仅本地关联，不对外展示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review_score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原始星级 1至5，同单先平均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review_comment_title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评价标题，不用于分析及外部交付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87,656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review_comment_message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评价正文，不用于分析及外部交付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58,247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review_creation_date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评价创建时间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reviews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review_answer_timestamp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评价回应时间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sellers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seller_id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卖家标识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sellers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seller_zip_code_prefix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卖家邮编前缀，分析不用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sellers</w:t>
            </w:r>
          </w:p>
        </w:tc>
        <w:tc>
          <w:tcPr>
            <w:tcW w:type="dxa" w:w="2948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seller_city</w:t>
            </w:r>
          </w:p>
        </w:tc>
        <w:tc>
          <w:tcPr>
            <w:tcW w:type="dxa" w:w="3685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卖家城市，分析不用</w:t>
            </w:r>
          </w:p>
        </w:tc>
        <w:tc>
          <w:tcPr>
            <w:tcW w:type="dxa" w:w="1304"/>
            <w:vAlign w:val="center"/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sellers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seller_state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卖家州，两位代码</w:t>
            </w:r>
          </w:p>
        </w:tc>
        <w:tc>
          <w:tcPr>
            <w:tcW w:type="dxa" w:w="130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before="0" w:after="40"/>
      </w:pPr>
      <w:r>
        <w:rPr>
          <w:b w:val="0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91" w:left="1361" w:header="567" w:footer="567" w:gutter="0"/>
      <w:cols w:space="720"/>
      <w:titlePg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</w:font>
  <w:font w:name="Noto Serif CJK SC">
    <w:family w:val="roman"/>
    <w:embedRegular r:id="rFontRegular" w:fontKey="{2BE754DC-1D75-5A8E-A55C-28507A11CBD5}" w:subsetted="true"/>
    <w:embedBold r:id="rFontBold" w:fontKey="{29DFF81D-D21F-5C79-9F39-8BB945FA8BAB}" w:subsetted="tru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Olist 电商课程项目  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OLIST  /  巴西电商数据研究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  <w:embedTrueTypeFonts w:val="true"/>
  <w:doNotEmbedSystem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false"/>
      <w:spacing w:line="370" w:lineRule="exact" w:after="160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60" w:lineRule="exact"/>
      <w:snapToGrid w:val="false"/>
    </w:pPr>
    <w:rPr>
      <w:rFonts w:ascii="Times New Roman" w:hAnsi="Times New Roman" w:cs="Times New Roman" w:eastAsia="Noto Serif CJK SC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60" w:lineRule="exact"/>
      <w:snapToGrid w:val="false"/>
    </w:pPr>
    <w:rPr>
      <w:rFonts w:ascii="Times New Roman" w:hAnsi="Times New Roman" w:cs="Times New Roman" w:eastAsia="Noto Serif CJK SC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200" w:line="560" w:lineRule="exact"/>
      <w:outlineLvl w:val="0"/>
      <w:snapToGrid w:val="false"/>
    </w:pPr>
    <w:rPr>
      <w:rFonts w:ascii="Times New Roman" w:hAnsi="Times New Roman" w:cs="Times New Roman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200" w:line="400" w:lineRule="exact"/>
      <w:outlineLvl w:val="1"/>
      <w:snapToGrid w:val="false"/>
    </w:pPr>
    <w:rPr>
      <w:rFonts w:ascii="Times New Roman" w:hAnsi="Times New Roman" w:cs="Times New Roman" w:eastAsia="Noto Serif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false"/>
    </w:pPr>
    <w:rPr>
      <w:rFonts w:ascii="Times New Roman" w:hAnsi="Times New Roman" w:cs="Times New Roman" w:eastAsia="Noto Serif CJK SC"/>
      <w:b w:val="0"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false"/>
    </w:pPr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false"/>
    </w:pPr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cs="Times New Roman" w:eastAsia="Noto Serif CJK SC"/>
      <w:b w:val="0"/>
      <w:color w:val="000000"/>
      <w:sz w:val="23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cs="Times New Roman" w:eastAsia="Noto Serif CJK SC"/>
      <w:b w:val="0"/>
      <w:color w:val="000000"/>
      <w:sz w:val="23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Noto Serif CJK SC"/>
      <w:b w:val="0"/>
      <w:bCs/>
      <w:color w:val="000000"/>
      <w:sz w:val="23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Noto Serif CJK SC"/>
      <w:b w:val="0"/>
      <w:bCs/>
      <w:color w:val="000000"/>
      <w:sz w:val="23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Noto Serif CJK SC"/>
      <w:b w:val="0"/>
      <w:bCs/>
      <w:color w:val="000000"/>
      <w:sz w:val="23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780" w:lineRule="exact"/>
      <w:contextualSpacing/>
      <w:snapToGrid w:val="false"/>
    </w:pPr>
    <w:rPr>
      <w:rFonts w:ascii="Times New Roman" w:hAnsi="Times New Roman" w:cs="Times New Roman" w:eastAsia="Noto Serif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Noto Serif CJK SC"/>
      <w:b w:val="0"/>
      <w:color w:val="000000"/>
      <w:spacing w:val="5"/>
      <w:kern w:val="28"/>
      <w:sz w:val="23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false"/>
      <w:spacing w:line="420" w:lineRule="exact"/>
    </w:pPr>
    <w:rPr>
      <w:rFonts w:ascii="Times New Roman" w:hAnsi="Times New Roman" w:cs="Times New Roman" w:eastAsia="Noto Serif CJK SC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Noto Serif CJK SC"/>
      <w:b w:val="0"/>
      <w:i/>
      <w:iCs/>
      <w:color w:val="000000"/>
      <w:spacing w:val="15"/>
      <w:sz w:val="23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false"/>
    </w:pPr>
    <w:rPr>
      <w:rFonts w:ascii="Times New Roman" w:hAnsi="Times New Roman" w:cs="Times New Roman" w:eastAsia="Noto Serif CJK SC"/>
      <w:b w:val="0"/>
      <w:color w:val="000000"/>
      <w:sz w:val="23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 w:eastAsia="Noto Serif CJK SC"/>
      <w:b w:val="0"/>
      <w:color w:val="000000"/>
      <w:sz w:val="23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false"/>
    </w:pPr>
    <w:rPr>
      <w:rFonts w:ascii="Times New Roman" w:hAnsi="Times New Roman" w:cs="Times New Roman" w:eastAsia="Noto Serif CJK SC"/>
      <w:b w:val="0"/>
      <w:color w:val="000000"/>
      <w:sz w:val="23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false"/>
    </w:pPr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false"/>
    </w:pPr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Noto Serif CJK SC"/>
      <w:b w:val="0"/>
      <w:color w:val="000000"/>
      <w:sz w:val="23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Noto Serif CJK SC"/>
      <w:b w:val="0"/>
      <w:color w:val="000000"/>
      <w:sz w:val="23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exact" w:after="160"/>
      <w:snapToGrid w:val="false"/>
    </w:pPr>
    <w:rPr>
      <w:rFonts w:ascii="Times New Roman" w:hAnsi="Times New Roman" w:cs="Times New Roman" w:eastAsia="Noto Serif CJK SC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cs="Times New Roman" w:eastAsia="Noto Serif CJK SC"/>
      <w:b w:val="0"/>
      <w:bCs/>
      <w:color w:val="000000"/>
      <w:sz w:val="23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false"/>
    </w:pPr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cs="Times New Roman" w:eastAsia="Noto Serif CJK SC"/>
      <w:b w:val="0"/>
      <w:i/>
      <w:iCs/>
      <w:color w:val="000000"/>
      <w:sz w:val="23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cs="Times New Roman" w:eastAsia="Noto Serif CJK SC"/>
      <w:b w:val="0"/>
      <w:bCs/>
      <w:i/>
      <w:iCs/>
      <w:color w:val="000000"/>
      <w:sz w:val="23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cs="Times New Roman" w:eastAsia="Noto Serif CJK SC"/>
      <w:b w:val="0"/>
      <w:smallCaps/>
      <w:color w:val="000000"/>
      <w:sz w:val="23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cs="Times New Roman" w:eastAsia="Noto Serif CJK SC"/>
      <w:b w:val="0"/>
      <w:bCs/>
      <w:smallCaps/>
      <w:color w:val="000000"/>
      <w:spacing w:val="5"/>
      <w:sz w:val="23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cs="Times New Roman" w:eastAsia="Noto Serif CJK SC"/>
      <w:b w:val="0"/>
      <w:bCs/>
      <w:smallCaps/>
      <w:color w:val="000000"/>
      <w:spacing w:val="5"/>
      <w:sz w:val="23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560" w:lineRule="exact"/>
      <w:outlineLvl w:val="9"/>
      <w:snapToGrid w:val="false"/>
    </w:pPr>
    <w:rPr>
      <w:rFonts w:ascii="Times New Roman" w:hAnsi="Times New Roman" w:cs="Times New Roman" w:eastAsia="Noto Serif CJK SC"/>
      <w:b/>
      <w:color w:val="000000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Noto Serif CJK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Noto Serif CJK SC"/>
        <w:b/>
        <w:bCs/>
      </w:rPr>
    </w:tblStylePr>
    <w:tblStylePr w:type="lastCol">
      <w:rPr>
        <w:rFonts w:ascii="Times New Roman" w:hAnsi="Times New Roman" w:cs="Times New Roman" w:eastAsia="Noto Serif CJK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Noto Serif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cs="Times New Roman" w:eastAsia="Noto Serif CJK SC"/>
      <w:b w:val="0"/>
      <w:color w:val="000000"/>
      <w:sz w:val="23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FontRegular" Type="http://schemas.openxmlformats.org/officeDocument/2006/relationships/font" Target="fonts/NotoSerifCJKsc-Regular.odttf"/><Relationship Id="rFontBold" Type="http://schemas.openxmlformats.org/officeDocument/2006/relationships/font" Target="fonts/NotoSerifCJKsc-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Noto Serif CJK SC"/>
        <a:cs typeface="Times New Roman"/>
        <a:font script="Jpan" typeface="Times New Roman"/>
        <a:font script="Hang" typeface="Times New Roman"/>
        <a:font script="Hans" typeface="Noto Serif CJK SC"/>
        <a:font script="Hant" typeface="Noto Serif CJK SC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Noto Serif CJK SC"/>
        <a:cs typeface="Times New Roman"/>
        <a:font script="Jpan" typeface="Times New Roman"/>
        <a:font script="Hang" typeface="Times New Roman"/>
        <a:font script="Hans" typeface="Noto Serif CJK SC"/>
        <a:font script="Hant" typeface="Noto Serif CJK SC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24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Olist 电商数据质量分析报告</dc:title>
  <dc:subject>七表接入与关联审计  指标口径与样本适用性</dc:subject>
  <dc:creator>Olist 电商项目组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