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2"/>
        </w:rPr>
        <w:t>中国能源建设股份有限公司</w:t>
      </w:r>
    </w:p>
    <w:p>
      <w:pPr>
        <w:jc w:val="center"/>
      </w:pPr>
      <w:r>
        <w:rPr>
          <w:rFonts w:ascii="宋体" w:hAnsi="宋体" w:eastAsia="宋体"/>
          <w:b/>
          <w:sz w:val="22"/>
        </w:rPr>
        <w:t>2024年度财务报表审计底稿（测试稿）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—— 合并范围关联方及往来函证工作底稿 ——</w:t>
      </w:r>
    </w:p>
    <w:p/>
    <w:p>
      <w:r>
        <w:rPr>
          <w:rFonts w:ascii="宋体" w:hAnsi="宋体" w:eastAsia="宋体"/>
          <w:b w:val="0"/>
          <w:sz w:val="22"/>
        </w:rPr>
        <w:t>编制单位：某会计师事务所（模拟）</w:t>
      </w:r>
    </w:p>
    <w:p>
      <w:r>
        <w:rPr>
          <w:rFonts w:ascii="宋体" w:hAnsi="宋体" w:eastAsia="宋体"/>
          <w:b w:val="0"/>
          <w:sz w:val="22"/>
        </w:rPr>
        <w:t>被审计单位：中国能源建设股份有限公司（股票代码：601868.SH / 3996.HK）</w:t>
      </w:r>
    </w:p>
    <w:p>
      <w:r>
        <w:rPr>
          <w:rFonts w:ascii="宋体" w:hAnsi="宋体" w:eastAsia="宋体"/>
          <w:b w:val="0"/>
          <w:sz w:val="22"/>
        </w:rPr>
        <w:t>报告期间：2024年1月1日至2024年12月31日</w:t>
      </w:r>
    </w:p>
    <w:p>
      <w:r>
        <w:rPr>
          <w:rFonts w:ascii="宋体" w:hAnsi="宋体" w:eastAsia="宋体"/>
          <w:b w:val="0"/>
          <w:sz w:val="22"/>
        </w:rPr>
        <w:t>密级：内部资料 · 仅供脱敏工具测试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一、审计目标与范围</w:t>
      </w:r>
    </w:p>
    <w:p>
      <w:r>
        <w:rPr>
          <w:rFonts w:ascii="宋体" w:hAnsi="宋体" w:eastAsia="宋体"/>
          <w:b w:val="0"/>
          <w:sz w:val="22"/>
        </w:rPr>
        <w:t>本底稿用于记录对中国能源建设股份有限公司（以下简称“能建股份”或“中国能建”）及其合并范围内主要子公司 2024 年度关联方交易、往来余额的审计程序与结论。母公司中国能源建设集团有限公司为最终控股方。</w:t>
      </w:r>
    </w:p>
    <w:p>
      <w:r>
        <w:rPr>
          <w:rFonts w:ascii="宋体" w:hAnsi="宋体" w:eastAsia="宋体"/>
          <w:b w:val="0"/>
          <w:sz w:val="22"/>
        </w:rPr>
        <w:t>合并范围包括：中国葛洲坝集团股份有限公司、电力规划总院有限公司、中国电力工程顾问集团有限公司、中能建国际建设集团有限公司、中国能源建设集团投资有限公司、中国能源建设集团财务有限公司等。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二、主要财务数据摘录（金额应保留）</w:t>
      </w:r>
    </w:p>
    <w:p>
      <w:r>
        <w:rPr>
          <w:rFonts w:ascii="宋体" w:hAnsi="宋体" w:eastAsia="宋体"/>
          <w:b w:val="0"/>
          <w:sz w:val="22"/>
        </w:rPr>
        <w:t>以下数据摘自模拟合并利润表及资产负债表，单位：人民币千元。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20"/>
              </w:rPr>
              <w:t>项目</w:t>
            </w:r>
          </w:p>
        </w:tc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20"/>
              </w:rPr>
              <w:t>2024年度</w:t>
            </w:r>
          </w:p>
        </w:tc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20"/>
              </w:rPr>
              <w:t>2023年度</w:t>
            </w:r>
          </w:p>
        </w:tc>
        <w:tc>
          <w:tcPr>
            <w:tcW w:type="dxa" w:w="2161"/>
          </w:tcPr>
          <w:p>
            <w:r>
              <w:rPr>
                <w:rFonts w:ascii="黑体" w:hAnsi="黑体" w:eastAsia="黑体"/>
                <w:b/>
                <w:sz w:val="20"/>
              </w:rPr>
              <w:t>变动率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营业收入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436,713,000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406,032,000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7.56%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营业成本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389,245,000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362,108,000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7.49%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毛利率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10.87%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10.82%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+0.05pct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净利润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8,956,000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8,412,000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6.47%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应收账款账面余额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92,109,000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85,234,000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8.07%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合同资产账面余额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106,688,000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98,456,000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b w:val="0"/>
                <w:sz w:val="20"/>
              </w:rPr>
              <w:t>8.36%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4"/>
        </w:rPr>
        <w:t>三、关联方清单及交易发生额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20"/>
              </w:rPr>
              <w:t>关联方名称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20"/>
              </w:rPr>
              <w:t>关联关系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20"/>
              </w:rPr>
              <w:t>交易类型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20"/>
              </w:rPr>
              <w:t>本期发生额（千元）</w:t>
            </w:r>
          </w:p>
        </w:tc>
        <w:tc>
          <w:tcPr>
            <w:tcW w:type="dxa" w:w="1729"/>
          </w:tcPr>
          <w:p>
            <w:r>
              <w:rPr>
                <w:rFonts w:ascii="黑体" w:hAnsi="黑体" w:eastAsia="黑体"/>
                <w:b/>
                <w:sz w:val="20"/>
              </w:rPr>
              <w:t>期末余额（千元）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中国能源建设集团有限公司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母公司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资金拆借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12,500,000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3,200,000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中国葛洲坝集团股份有限公司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子公司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工程分包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45,678,000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8,901,000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电力规划总院有限公司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同系子公司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勘测设计服务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2,345,000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456,000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中能建国际建设集团有限公司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同系子公司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境外工程承包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6,789,000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1,234,000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中国能源建设集团财务有限公司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同系子公司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存款及贷款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18,900,000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5,670,000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中国能源建设集团华东建设投资有限公司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同系子公司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项目投资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890,000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234,000</w:t>
            </w:r>
          </w:p>
        </w:tc>
      </w:tr>
      <w:tr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中国能源建设集团广东火电工程有限公司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同系子公司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设备采购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1,567,000</w:t>
            </w:r>
          </w:p>
        </w:tc>
        <w:tc>
          <w:tcPr>
            <w:tcW w:type="dxa" w:w="1729"/>
          </w:tcPr>
          <w:p>
            <w:r>
              <w:rPr>
                <w:rFonts w:ascii="宋体" w:hAnsi="宋体" w:eastAsia="宋体"/>
                <w:b w:val="0"/>
                <w:sz w:val="20"/>
              </w:rPr>
              <w:t>345,000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4"/>
        </w:rPr>
        <w:t>四、函证及审计程序记录</w:t>
      </w:r>
    </w:p>
    <w:p>
      <w:r>
        <w:rPr>
          <w:rFonts w:ascii="宋体" w:hAnsi="宋体" w:eastAsia="宋体"/>
          <w:b w:val="0"/>
          <w:sz w:val="22"/>
        </w:rPr>
        <w:t>1. 向葛洲坝股份发送询证函，确认期末应收工程款余额 8,901,000 千元，已收到回函相符。</w:t>
      </w:r>
    </w:p>
    <w:p>
      <w:r>
        <w:rPr>
          <w:rFonts w:ascii="宋体" w:hAnsi="宋体" w:eastAsia="宋体"/>
          <w:b w:val="0"/>
          <w:sz w:val="22"/>
        </w:rPr>
        <w:t>2. 检查能建投资与能建租赁之间的融资租赁合同，利率 3.85%，符合市场公允价格区间。</w:t>
      </w:r>
    </w:p>
    <w:p>
      <w:r>
        <w:rPr>
          <w:rFonts w:ascii="宋体" w:hAnsi="宋体" w:eastAsia="宋体"/>
          <w:b w:val="0"/>
          <w:sz w:val="22"/>
        </w:rPr>
        <w:t>3. 复核北京电建、浙江火电、江苏电建三公司对能建股份的分包结算单，抽样比例 65%，未发现重大异常。</w:t>
      </w:r>
    </w:p>
    <w:p>
      <w:r>
        <w:rPr>
          <w:rFonts w:ascii="宋体" w:hAnsi="宋体" w:eastAsia="宋体"/>
          <w:b w:val="0"/>
          <w:sz w:val="22"/>
        </w:rPr>
        <w:t>4. 对中能建装备销售给母公司的专用设备执行截止测试，收入确认时点与验收单一致。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五、区域子公司补充说明（正则测试用）</w:t>
      </w:r>
    </w:p>
    <w:p>
      <w:r>
        <w:rPr>
          <w:rFonts w:ascii="宋体" w:hAnsi="宋体" w:eastAsia="宋体"/>
          <w:b w:val="0"/>
          <w:sz w:val="22"/>
        </w:rPr>
        <w:t>以下主体名称用于测试区域公司识别规则：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华东区域公司与中国能建签署战略合作协议，新签合同额 23.6 亿元。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华北区域公司参与雄安新区综合能源项目，投资比例 35%。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西北区域公司承建甘肃酒泉风电场 EPC 总承包工程。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华南区域公司与广东火电联合投标海上风电项目。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六、需人工补充的漏网主体（测试手动添加）</w:t>
      </w:r>
    </w:p>
    <w:p>
      <w:r>
        <w:rPr>
          <w:rFonts w:ascii="宋体" w:hAnsi="宋体" w:eastAsia="宋体"/>
          <w:b w:val="0"/>
          <w:sz w:val="22"/>
        </w:rPr>
        <w:t>审计师现场访谈获悉，被审计单位与「中能建氢能源有限公司」存在技术服务往来，该主体尚未纳入预设词库，需在脱敏流程中手动补充。本期发生额 128,000 千元。</w:t>
      </w:r>
    </w:p>
    <w:p>
      <w:r>
        <w:rPr>
          <w:rFonts w:ascii="宋体" w:hAnsi="宋体" w:eastAsia="宋体"/>
          <w:b w:val="0"/>
          <w:sz w:val="22"/>
        </w:rPr>
        <w:t>另发现与「某省能源建设投资有限公司」（非上市体系外参股公司）存在少量代垫款，余额 45,000 千元，建议项目组评估是否纳入脱敏范围。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七、审计结论</w:t>
      </w:r>
    </w:p>
    <w:p>
      <w:r>
        <w:rPr>
          <w:rFonts w:ascii="宋体" w:hAnsi="宋体" w:eastAsia="宋体"/>
          <w:b w:val="0"/>
          <w:sz w:val="22"/>
        </w:rPr>
        <w:t>经实施上述程序，我们认为中国能源建设股份有限公司 2024 年度关联方交易披露在所有重大方面符合企业会计准则第 36 号——关联方披露的要求。营业收入 4,367.13 亿元中，工程建设业务收入占比 79.46%，毛利率 10.87%，与行业平均水平无重大偏离。</w:t>
      </w:r>
    </w:p>
    <w:p>
      <w:r>
        <w:rPr>
          <w:rFonts w:ascii="宋体" w:hAnsi="宋体" w:eastAsia="宋体"/>
          <w:b w:val="0"/>
          <w:sz w:val="22"/>
        </w:rPr>
        <w:t>编制：张某某    复核：李某某    日期：2025-03-15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