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审计底稿：国家电投集团下属单位往来。</w:t>
      </w:r>
    </w:p>
    <w:p>
      <w:r>
        <w:t>涉及国家 电投与电投产融的关联交易。</w:t>
      </w:r>
    </w:p>
    <w:p>
      <w:r>
        <w:t>应收账款余额 1,234,567.89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