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17DCC8FF">
        <w:tc>
          <w:tcPr>
            <w:tcW w:w="10148" w:type="dxa"/>
            <w:tcBorders>
              <w:top w:val="single" w:color="1A9A96" w:sz="6" w:space="0"/>
              <w:left w:val="single" w:color="1A9A96" w:sz="6" w:space="0"/>
              <w:bottom w:val="single" w:color="1A9A96" w:sz="6" w:space="0"/>
              <w:right w:val="single" w:color="1A9A96" w:sz="6" w:space="0"/>
              <w:insideH w:val="single" w:sz="6" w:space="0"/>
              <w:insideV w:val="single" w:sz="6" w:space="0"/>
            </w:tcBorders>
            <w:shd w:val="clear" w:color="auto" w:fill="1A9A96"/>
          </w:tcPr>
          <w:p w14:paraId="32622144"/>
        </w:tc>
      </w:tr>
    </w:tbl>
    <w:p w14:paraId="66A60E35">
      <w:pPr>
        <w:spacing w:before="360" w:after="140" w:line="269" w:lineRule="auto"/>
      </w:pPr>
      <w:r>
        <w:rPr>
          <w:rFonts w:ascii="PingFang SC" w:hAnsi="PingFang SC" w:eastAsia="PingFang SC"/>
          <w:b/>
          <w:color w:val="1A9A96"/>
          <w:sz w:val="22"/>
        </w:rPr>
        <w:t>家庭健康 AI 产品作品集</w:t>
      </w:r>
    </w:p>
    <w:p w14:paraId="62B0A2CA">
      <w:pPr>
        <w:spacing w:before="0" w:after="140" w:line="228" w:lineRule="auto"/>
        <w:rPr>
          <w:rFonts w:hint="default" w:eastAsia="PingFang SC"/>
          <w:lang w:val="en-US" w:eastAsia="zh-CN"/>
        </w:rPr>
      </w:pPr>
      <w:r>
        <w:rPr>
          <w:rFonts w:ascii="PingFang SC" w:hAnsi="PingFang SC" w:eastAsia="PingFang SC"/>
          <w:b/>
          <w:color w:val="173B5E"/>
          <w:sz w:val="68"/>
        </w:rPr>
        <w:t>Look健康</w:t>
      </w:r>
      <w:bookmarkStart w:id="0" w:name="_GoBack"/>
      <w:bookmarkEnd w:id="0"/>
      <w:r>
        <w:rPr>
          <w:rFonts w:hint="eastAsia"/>
          <w:b/>
          <w:color w:val="173B5E"/>
          <w:sz w:val="68"/>
          <w:lang w:val="en-US" w:eastAsia="zh-CN"/>
        </w:rPr>
        <w:t xml:space="preserve"> </w:t>
      </w:r>
    </w:p>
    <w:p w14:paraId="0F19CB05">
      <w:pPr>
        <w:spacing w:before="0" w:after="280" w:line="288" w:lineRule="auto"/>
      </w:pPr>
      <w:r>
        <w:rPr>
          <w:rFonts w:ascii="PingFang SC" w:hAnsi="PingFang SC" w:eastAsia="PingFang SC"/>
          <w:b/>
          <w:color w:val="263746"/>
          <w:sz w:val="32"/>
        </w:rPr>
        <w:t>把分散的健康资料，变成可持续理解与行动的家庭健康记忆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4979F870">
        <w:trPr>
          <w:jc w:val="center"/>
        </w:trPr>
        <w:tc>
          <w:tcPr>
            <w:tcW w:w="10148" w:type="dxa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D394E9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一句话价值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围绕家庭成员整合病史、报告、用药、睡眠、运动与饮食数据，让AI在正确成员、正确资料和明确安全边界下完成解释、关联和下一步行动。</w:t>
            </w:r>
          </w:p>
        </w:tc>
      </w:tr>
    </w:tbl>
    <w:p w14:paraId="3270AD10">
      <w:pPr>
        <w:spacing w:before="0" w:after="80" w:line="269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3B38FF3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6B66D0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我的角色</w:t>
            </w:r>
          </w:p>
          <w:p w14:paraId="7C8B0E4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产品设计 · 研发协同 · 测试验收 · 上线迭代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48240AE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能力组合</w:t>
            </w:r>
          </w:p>
          <w:p w14:paraId="4BC1810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6年软件质量与交付经验 · 1年产品实践</w:t>
            </w:r>
          </w:p>
        </w:tc>
      </w:tr>
      <w:tr w14:paraId="24E3336C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EF51B9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当前阶段</w:t>
            </w:r>
          </w:p>
          <w:p w14:paraId="6826799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已上架 Apple App Store，持续版本迭代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3096B4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目标方向</w:t>
            </w:r>
          </w:p>
          <w:p w14:paraId="24EFF83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医疗AI产品 · 家庭健康管理 · 产品质量</w:t>
            </w:r>
          </w:p>
        </w:tc>
      </w:tr>
      <w:tr w14:paraId="1CF201B0">
        <w:trPr>
          <w:trHeight w:val="1788" w:hRule="atLeast"/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4AE357">
            <w:pPr>
              <w:spacing w:after="60"/>
            </w:pP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Look健康已正式上架 Apple App Store，支持 iPhone 和 iPad，并持续进行版本迭代。</w:t>
            </w:r>
          </w:p>
          <w:p w14:paraId="2C3B02B9">
            <w:pPr>
              <w:spacing w:after="20"/>
            </w:pPr>
            <w:r>
              <w:fldChar w:fldCharType="begin"/>
            </w:r>
            <w:r>
              <w:instrText xml:space="preserve"> HYPERLINK "https://apps.apple.com/cn/app/look-%E5%81%A5%E5%BA%B7-%E9%98%BF%E7%A6%8F-%E6%A0%B7%E7%9A%84ai%E4%BD%93%E6%A3%80%E6%8A%A5%E5%91%8A%E8%A7%A3%E8%AF%BB%E4%B8%8E%E5%8C%BB%E7%96%97%E6%A1%A3%E6%A1%88/id6751417431" \h </w:instrText>
            </w:r>
            <w:r>
              <w:fldChar w:fldCharType="separate"/>
            </w:r>
            <w:r>
              <w:rPr>
                <w:rFonts w:ascii="PingFang SC" w:hAnsi="PingFang SC" w:eastAsia="PingFang SC"/>
                <w:b/>
                <w:color w:val="1A9A96"/>
                <w:sz w:val="22"/>
                <w:u w:val="single"/>
              </w:rPr>
              <w:t>在 App Store 查看 Look健康  →</w:t>
            </w:r>
            <w:r>
              <w:rPr>
                <w:rFonts w:ascii="PingFang SC" w:hAnsi="PingFang SC" w:eastAsia="PingFang SC"/>
                <w:b/>
                <w:color w:val="1A9A96"/>
                <w:sz w:val="22"/>
                <w:u w:val="single"/>
              </w:rPr>
              <w:fldChar w:fldCharType="end"/>
            </w:r>
          </w:p>
          <w:p w14:paraId="440B1354">
            <w:pPr>
              <w:spacing w:after="0"/>
              <w:rPr>
                <w:rFonts w:ascii="PingFang SC" w:hAnsi="PingFang SC" w:eastAsia="PingFang SC" w:cstheme="minorBidi"/>
                <w:color w:val="263746"/>
                <w:sz w:val="18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 w:val="0"/>
                <w:color w:val="667784"/>
                <w:sz w:val="16"/>
              </w:rPr>
              <w:t>App ID：6751417431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6F145E">
            <w:pPr>
              <w:spacing w:after="40"/>
              <w:jc w:val="center"/>
            </w:pPr>
            <w:r>
              <w:drawing>
                <wp:inline distT="0" distB="0" distL="114300" distR="114300">
                  <wp:extent cx="881380" cy="881380"/>
                  <wp:effectExtent l="0" t="0" r="7620" b="7620"/>
                  <wp:docPr id="2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50D72">
            <w:pPr>
              <w:spacing w:after="0"/>
              <w:jc w:val="center"/>
              <w:rPr>
                <w:rFonts w:ascii="PingFang SC" w:hAnsi="PingFang SC" w:eastAsia="PingFang SC" w:cstheme="minorBidi"/>
                <w:color w:val="263746"/>
                <w:sz w:val="18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扫码查看</w:t>
            </w:r>
          </w:p>
        </w:tc>
      </w:tr>
    </w:tbl>
    <w:p w14:paraId="1F02422B">
      <w:pPr>
        <w:spacing w:before="0" w:after="100" w:line="269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9B7BFA8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1088D503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77620" cy="2764155"/>
                  <wp:effectExtent l="0" t="0" r="1778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26CF1E04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77620" cy="2764155"/>
                  <wp:effectExtent l="0" t="0" r="1778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06B5D951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77620" cy="2764155"/>
                  <wp:effectExtent l="0" t="0" r="1778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261978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83DB746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家庭健康首页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19B1DDC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成员医疗档案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753A9A75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AI健康对话</w:t>
            </w:r>
          </w:p>
        </w:tc>
      </w:tr>
    </w:tbl>
    <w:p w14:paraId="10F519B7">
      <w:pPr>
        <w:spacing w:before="80" w:after="0" w:line="269" w:lineRule="auto"/>
        <w:jc w:val="center"/>
      </w:pPr>
      <w:r>
        <w:rPr>
          <w:rFonts w:ascii="PingFang SC" w:hAnsi="PingFang SC" w:eastAsia="PingFang SC"/>
          <w:b w:val="0"/>
          <w:color w:val="667784"/>
          <w:sz w:val="18"/>
        </w:rPr>
        <w:t>赵道凯   ·  15385056020  ·  zdaokai@gmail.com</w:t>
      </w:r>
    </w:p>
    <w:p w14:paraId="25DA68DE">
      <w:pPr>
        <w:spacing w:after="0"/>
      </w:pPr>
      <w:r>
        <w:rPr>
          <w:rFonts w:ascii="PingFang SC" w:hAnsi="PingFang SC" w:eastAsia="PingFang SC"/>
        </w:rPr>
        <w:br w:type="page"/>
      </w:r>
    </w:p>
    <w:p w14:paraId="02A2D277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01  PRODUCT CASE</w:t>
      </w:r>
    </w:p>
    <w:p w14:paraId="20ED40C8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产品概览：不是又一个健康问答入口</w:t>
      </w:r>
    </w:p>
    <w:p w14:paraId="61E33B03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核心是建立家庭健康上下文，并把一次回答沉淀为长期可复用的资料和行动。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D5AFE61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2E0AC2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用户问题</w:t>
            </w:r>
          </w:p>
          <w:p w14:paraId="1DA6044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报告散落、术语难懂、成员易混、历史难比较，复查和用药依赖记忆。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2A70CA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核心方案</w:t>
            </w:r>
          </w:p>
          <w:p w14:paraId="2311765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以家庭成员为数据主体，用报告结构化、健康时间线和AI对话连接资料与行动。</w:t>
            </w:r>
          </w:p>
        </w:tc>
      </w:tr>
      <w:tr w14:paraId="48A2613F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934530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核心价值</w:t>
            </w:r>
          </w:p>
          <w:p w14:paraId="5663165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需要时找得到、看得懂、能追溯，并知道下一步该做什么。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07F0D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安全底线</w:t>
            </w:r>
          </w:p>
          <w:p w14:paraId="56CAA642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AI只帮助整理、解释与提醒，不替代医生诊断、治疗和处方决策。</w:t>
            </w:r>
          </w:p>
        </w:tc>
      </w:tr>
    </w:tbl>
    <w:p w14:paraId="68ABB227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北极星与核心闭环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7D7C7E6B">
        <w:trPr>
          <w:jc w:val="center"/>
        </w:trPr>
        <w:tc>
          <w:tcPr>
            <w:tcW w:w="10148" w:type="dxa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986DEF7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北极星指标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完成一次“资料沉淀 → AI理解 → 健康行动”的活跃家庭占比。该指标同时约束资料质量、AI可用性和行动转化，而不是只追求聊天次数。</w:t>
            </w:r>
          </w:p>
        </w:tc>
      </w:tr>
    </w:tbl>
    <w:p w14:paraId="33DA2FC9">
      <w:pPr>
        <w:spacing w:before="0" w:after="80" w:line="269" w:lineRule="auto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166EF6D">
        <w:trPr>
          <w:tblHeader/>
          <w:jc w:val="center"/>
        </w:trPr>
        <w:tc>
          <w:tcPr>
            <w:tcW w:w="113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D4C5A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w="340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392F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用户动作</w:t>
            </w:r>
          </w:p>
        </w:tc>
        <w:tc>
          <w:tcPr>
            <w:tcW w:w="538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E3D5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系统价值</w:t>
            </w:r>
          </w:p>
        </w:tc>
      </w:tr>
      <w:tr w14:paraId="60296642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A6485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1 归属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E40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选择本人、父母或孩子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46F7E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确保所有资料、对话和任务属于正确成员</w:t>
            </w:r>
          </w:p>
        </w:tc>
      </w:tr>
      <w:tr w14:paraId="34449423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A13D8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2 沉淀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E874D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上传报告并确认关键字段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5003C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保留原件，形成可检索、可比较的结构化记录</w:t>
            </w:r>
          </w:p>
        </w:tc>
      </w:tr>
      <w:tr w14:paraId="0946C683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D4CD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3 理解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C79E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针对成员或报告咨询AI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1A1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使用最小必要上下文，输出重点、依据和风险边界</w:t>
            </w:r>
          </w:p>
        </w:tc>
      </w:tr>
      <w:tr w14:paraId="03A20FB6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4166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4 行动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5828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创建复查、用药或生活方式任务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91BF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把建议转为可执行、可追踪的下一步</w:t>
            </w:r>
          </w:p>
        </w:tc>
      </w:tr>
      <w:tr w14:paraId="3AB3D7A6">
        <w:trPr>
          <w:cantSplit/>
          <w:jc w:val="center"/>
        </w:trPr>
        <w:tc>
          <w:tcPr>
            <w:tcW w:w="113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BC739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5 复用</w:t>
            </w:r>
          </w:p>
        </w:tc>
        <w:tc>
          <w:tcPr>
            <w:tcW w:w="340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F6E2A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再次上传或持续记录</w:t>
            </w:r>
          </w:p>
        </w:tc>
        <w:tc>
          <w:tcPr>
            <w:tcW w:w="5386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EF99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与历史基线比较，形成连续健康记忆</w:t>
            </w:r>
          </w:p>
        </w:tc>
      </w:tr>
    </w:tbl>
    <w:p w14:paraId="25566654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个人角色与证据边界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627794C">
        <w:trPr>
          <w:tblHeader/>
          <w:jc w:val="center"/>
        </w:trPr>
        <w:tc>
          <w:tcPr>
            <w:tcW w:w="226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93174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我实际承担</w:t>
            </w:r>
          </w:p>
        </w:tc>
        <w:tc>
          <w:tcPr>
            <w:tcW w:w="357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1F07DB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可以展示的证据</w:t>
            </w:r>
          </w:p>
        </w:tc>
        <w:tc>
          <w:tcPr>
            <w:tcW w:w="408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F9A1D5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当前边界</w:t>
            </w:r>
          </w:p>
        </w:tc>
      </w:tr>
      <w:tr w14:paraId="6D275DD8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E294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需求与方案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4C314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信息架构、功能流程、页面与业务规则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57321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未将团队产出包装为个人独立完成</w:t>
            </w:r>
          </w:p>
        </w:tc>
      </w:tr>
      <w:tr w14:paraId="0814F230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CDD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研发与测试协同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7119E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真实客户端页面、接口联调、异常场景与验收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1776F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App Store正式页面与版本记录；规模化运营数据仍待积累</w:t>
            </w:r>
          </w:p>
        </w:tc>
      </w:tr>
      <w:tr w14:paraId="22E8BF75">
        <w:trPr>
          <w:cantSplit/>
          <w:jc w:val="center"/>
        </w:trPr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67D9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质量与上线判断</w:t>
            </w:r>
          </w:p>
        </w:tc>
        <w:tc>
          <w:tcPr>
            <w:tcW w:w="357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FD2C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风险分级、回归场景、发布与回滚条件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A6FF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用户洞察仍需正式访谈和行为数据验证</w:t>
            </w:r>
          </w:p>
        </w:tc>
      </w:tr>
    </w:tbl>
    <w:p w14:paraId="5F585071">
      <w:pPr>
        <w:spacing w:after="0"/>
      </w:pPr>
      <w:r>
        <w:rPr>
          <w:rFonts w:ascii="PingFang SC" w:hAnsi="PingFang SC" w:eastAsia="PingFang SC"/>
        </w:rPr>
        <w:br w:type="page"/>
      </w:r>
    </w:p>
    <w:p w14:paraId="68546DE9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02  PRODUCT CASE</w:t>
      </w:r>
    </w:p>
    <w:p w14:paraId="1F98C930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问题洞察与目标用户</w:t>
      </w:r>
    </w:p>
    <w:p w14:paraId="4C113E77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现阶段结论来自真实产品实践与竞品观察；没有正式样本的数据统一标记为“待验证”。</w:t>
      </w:r>
    </w:p>
    <w:p w14:paraId="319E8165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三个最值得解决的问题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63399999">
        <w:trPr>
          <w:jc w:val="center"/>
        </w:trPr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FB1279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资料失联</w:t>
            </w:r>
          </w:p>
          <w:p w14:paraId="0EF56A0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纸质报告、相册、微信和医院应用彼此割裂；真正就医时才临时寻找。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50D8E2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上下文失忆</w:t>
            </w:r>
          </w:p>
          <w:p w14:paraId="05EC11AE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单次AI问答结束后不进入档案，下一次仍要重新上传、重新描述。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57D73B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建议不行动</w:t>
            </w:r>
          </w:p>
          <w:p w14:paraId="2A3C73C5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报告解释停留在“看懂”，没有转化为复查、用药或生活方式任务。</w:t>
            </w:r>
          </w:p>
        </w:tc>
      </w:tr>
    </w:tbl>
    <w:p w14:paraId="3456B4D2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优先用户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9C7958E">
        <w:trPr>
          <w:tblHeader/>
          <w:jc w:val="center"/>
        </w:trPr>
        <w:tc>
          <w:tcPr>
            <w:tcW w:w="187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8221E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用户</w:t>
            </w:r>
          </w:p>
        </w:tc>
        <w:tc>
          <w:tcPr>
            <w:tcW w:w="266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FF3FD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高频任务</w:t>
            </w:r>
          </w:p>
        </w:tc>
        <w:tc>
          <w:tcPr>
            <w:tcW w:w="408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9753A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主要痛点</w:t>
            </w:r>
          </w:p>
        </w:tc>
        <w:tc>
          <w:tcPr>
            <w:tcW w:w="79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B9E3DB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优先级</w:t>
            </w:r>
          </w:p>
        </w:tc>
      </w:tr>
      <w:tr w14:paraId="6F912481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8712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家庭健康管理员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D4A55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为父母/孩子保存报告、管理复查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7281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成员资料分散，家庭沟通成本高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05413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 w14:paraId="17FC4B9A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A637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体检用户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77CD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看懂报告并与往年比较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E3D81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指标多、术语难、历史变化看不清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5A26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 w14:paraId="0EA13A19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18FF1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慢病本人/照护者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B866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管理用药、指标、复诊和生活方式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22502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记录割裂，执行与复盘困难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45C0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</w:t>
            </w:r>
          </w:p>
        </w:tc>
      </w:tr>
      <w:tr w14:paraId="394DCF25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3B712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健康关注用户</w:t>
            </w:r>
          </w:p>
        </w:tc>
        <w:tc>
          <w:tcPr>
            <w:tcW w:w="266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42FA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查看睡眠、运动、营养与趋势</w:t>
            </w:r>
          </w:p>
        </w:tc>
        <w:tc>
          <w:tcPr>
            <w:tcW w:w="408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114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数据很多，但与病史和行动脱节</w:t>
            </w:r>
          </w:p>
        </w:tc>
        <w:tc>
          <w:tcPr>
            <w:tcW w:w="79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C7B6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</w:t>
            </w:r>
          </w:p>
        </w:tc>
      </w:tr>
    </w:tbl>
    <w:p w14:paraId="31387524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需要补齐的用户证据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69CFC738">
        <w:trPr>
          <w:wBefore w:w="0" w:type="auto"/>
          <w:tblHeader/>
          <w:jc w:val="center"/>
        </w:trPr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67DD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待验证假设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265E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验证方式</w:t>
            </w:r>
          </w:p>
        </w:tc>
        <w:tc>
          <w:tcPr>
            <w:tcW w:w="338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AE307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通过信号</w:t>
            </w:r>
          </w:p>
        </w:tc>
      </w:tr>
      <w:tr w14:paraId="564B6BA1">
        <w:trPr>
          <w:wBefore w:w="0" w:type="auto"/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7EDD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家庭照护者愿意持续维护成员档案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1A607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访谈 5—10 名照护者 + 可用性测试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71E8C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多数人能说出近期找报告/记复查的真实困难</w:t>
            </w:r>
          </w:p>
        </w:tc>
      </w:tr>
      <w:tr w14:paraId="40992190">
        <w:trPr>
          <w:wBefore w:w="0" w:type="auto"/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3A32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首份报告能形成首次价值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1B9AE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观察上传—确认—解读全链路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E937E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大多数测试用户无需指导即可完成</w:t>
            </w:r>
          </w:p>
        </w:tc>
      </w:tr>
      <w:tr w14:paraId="068093B5">
        <w:trPr>
          <w:wBefore w:w="0" w:type="auto"/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59D8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解读后的任务值得使用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219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小流量灰度 + 事件漏斗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019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解读后有稳定比例创建并完成任务</w:t>
            </w:r>
          </w:p>
        </w:tc>
      </w:tr>
      <w:tr w14:paraId="5F413E61">
        <w:trPr>
          <w:wBefore w:w="0" w:type="auto"/>
          <w:cantSplit/>
          <w:jc w:val="center"/>
        </w:trPr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2A8E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长期记忆能提升信任而非制造错误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A8A84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同题有/无历史上下文对照测试</w:t>
            </w:r>
          </w:p>
        </w:tc>
        <w:tc>
          <w:tcPr>
            <w:tcW w:w="3383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7EE5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相关性提升，跨成员与错误记忆为 0</w:t>
            </w:r>
          </w:p>
        </w:tc>
      </w:tr>
      <w:tr w14:paraId="39A16115">
        <w:trPr>
          <w:wAfter w:w="0" w:type="auto"/>
          <w:jc w:val="center"/>
        </w:trPr>
        <w:tc>
          <w:tcPr>
            <w:tcW w:w="10149" w:type="dxa"/>
            <w:gridSpan w:val="3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AA05DA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判断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当前最重要的不是继续扩展功能，而是证明“报告进入档案后，用户会再次回来查看、提问或执行任务”。</w:t>
            </w:r>
          </w:p>
        </w:tc>
      </w:tr>
    </w:tbl>
    <w:p w14:paraId="02F30DD2">
      <w:pPr>
        <w:spacing w:after="0"/>
      </w:pPr>
      <w:r>
        <w:rPr>
          <w:rFonts w:ascii="PingFang SC" w:hAnsi="PingFang SC" w:eastAsia="PingFang SC"/>
        </w:rPr>
        <w:br w:type="page"/>
      </w:r>
    </w:p>
    <w:p w14:paraId="42762953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03  PRODUCT CASE</w:t>
      </w:r>
    </w:p>
    <w:p w14:paraId="296AE011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产品策略：先跑通核心闭环，再扩展健康数据</w:t>
      </w:r>
    </w:p>
    <w:p w14:paraId="5145D272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功能越多并不代表价值越强。版本优先级围绕用户能否完成一次完整健康行动。</w:t>
      </w:r>
    </w:p>
    <w:p w14:paraId="4844700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MVP范围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2CDF66D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BDEC30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w="396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0E0E6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范围</w:t>
            </w:r>
          </w:p>
        </w:tc>
        <w:tc>
          <w:tcPr>
            <w:tcW w:w="396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35E34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出口条件</w:t>
            </w:r>
          </w:p>
        </w:tc>
      </w:tr>
      <w:tr w14:paraId="3B87C05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73C36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核心闭环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3D41D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账号/成员、报告上传、OCR、结构化确认、保存、时间线、问报告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2BBCF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全链路可完成；成员串档、越权和P0医疗风险为0</w:t>
            </w:r>
          </w:p>
        </w:tc>
      </w:tr>
      <w:tr w14:paraId="50E6460D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B43B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行动闭环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3EA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复查任务、就医准备、药箱与用药计划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697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建议能够转为用户确认后的可管理行动</w:t>
            </w:r>
          </w:p>
        </w:tc>
      </w:tr>
      <w:tr w14:paraId="38F1D8E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4E62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日常数据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F875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睡眠、运动、体征、营养与Apple健康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63B72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数据归属明确，并能改善AI回答或趋势理解</w:t>
            </w:r>
          </w:p>
        </w:tc>
      </w:tr>
      <w:tr w14:paraId="7D6F79E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411AB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扩展能力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72110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家庭协作、知识库、自定义智能体与小任务</w:t>
            </w:r>
          </w:p>
        </w:tc>
        <w:tc>
          <w:tcPr>
            <w:tcW w:w="3969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2428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有真实使用证据，不挤占核心路径</w:t>
            </w:r>
          </w:p>
        </w:tc>
      </w:tr>
    </w:tbl>
    <w:p w14:paraId="2828970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明确不做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0DB5D1E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1020D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不做自动诊断</w:t>
            </w:r>
          </w:p>
          <w:p w14:paraId="76AAFE9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不把模型输出包装为确诊或治疗结论。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95C1DB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不做无确认写入</w:t>
            </w:r>
          </w:p>
          <w:p w14:paraId="69AE9D8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关键医疗字段、任务和用药计划必须由用户确认。</w:t>
            </w:r>
          </w:p>
        </w:tc>
      </w:tr>
      <w:tr w14:paraId="34BC9AA8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9CFA02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不做无限上下文</w:t>
            </w:r>
          </w:p>
          <w:p w14:paraId="172E87D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每轮只读取明确成员和本次需要的资料。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B86945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不做功能堆叠</w:t>
            </w:r>
          </w:p>
          <w:p w14:paraId="1FCAA317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自定义智能体与小任务不作为首期增长重点。</w:t>
            </w:r>
          </w:p>
        </w:tc>
      </w:tr>
    </w:tbl>
    <w:p w14:paraId="450DDD1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关键取舍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3F6D481C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08EB8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取舍</w:t>
            </w:r>
          </w:p>
        </w:tc>
        <w:tc>
          <w:tcPr>
            <w:tcW w:w="243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F586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选择</w:t>
            </w:r>
          </w:p>
        </w:tc>
        <w:tc>
          <w:tcPr>
            <w:tcW w:w="255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3ADE0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放弃了什么</w:t>
            </w:r>
          </w:p>
        </w:tc>
        <w:tc>
          <w:tcPr>
            <w:tcW w:w="294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6A2E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原因</w:t>
            </w:r>
          </w:p>
        </w:tc>
      </w:tr>
      <w:tr w14:paraId="0074A777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6523B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资料主体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C30A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成员优先，而不是账号优先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E3F5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更简单的单用户模型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FF05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家庭多人场景必须先解决归属与权限</w:t>
            </w:r>
          </w:p>
        </w:tc>
      </w:tr>
      <w:tr w14:paraId="3BBC514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8EC3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AI输入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AB82F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用户选择 + 最小必要上下文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DB4D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自动读取全部资料的便利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F31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降低跨成员混用、隐私暴露和错误关联</w:t>
            </w:r>
          </w:p>
        </w:tc>
      </w:tr>
      <w:tr w14:paraId="053B275E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44177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结果可信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4A0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原件保留 + 用户确认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43739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完全自动化的速度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1C242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医疗数据错误成本高，可追溯比省一步更重要</w:t>
            </w:r>
          </w:p>
        </w:tc>
      </w:tr>
      <w:tr w14:paraId="78BDCCD9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ACA11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产品主线</w:t>
            </w:r>
          </w:p>
        </w:tc>
        <w:tc>
          <w:tcPr>
            <w:tcW w:w="243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FF22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报告—档案—行动</w:t>
            </w:r>
          </w:p>
        </w:tc>
        <w:tc>
          <w:tcPr>
            <w:tcW w:w="255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3D480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以聊天次数作为核心增长</w:t>
            </w:r>
          </w:p>
        </w:tc>
        <w:tc>
          <w:tcPr>
            <w:tcW w:w="294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C5468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持续健康价值来自沉淀与复用</w:t>
            </w:r>
          </w:p>
        </w:tc>
      </w:tr>
    </w:tbl>
    <w:p w14:paraId="75CC90D3">
      <w:pPr>
        <w:spacing w:after="0"/>
      </w:pPr>
      <w:r>
        <w:rPr>
          <w:rFonts w:ascii="PingFang SC" w:hAnsi="PingFang SC" w:eastAsia="PingFang SC"/>
        </w:rPr>
        <w:br w:type="page"/>
      </w:r>
    </w:p>
    <w:p w14:paraId="7607ED81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04  PRODUCT CASE</w:t>
      </w:r>
    </w:p>
    <w:p w14:paraId="7B3FAFF6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核心旅程：从一份报告到持续健康管理</w:t>
      </w:r>
    </w:p>
    <w:p w14:paraId="2CB3D8D3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这条流程串联成员、文件、AI、档案和任务，也是产品最重要的验收主线。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3CE22451">
        <w:trPr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0E6DFB98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66825" cy="2740660"/>
                  <wp:effectExtent l="0" t="0" r="3175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32416EF">
            <w:pPr>
              <w:spacing w:after="0"/>
              <w:jc w:val="center"/>
            </w:pPr>
            <w:r>
              <w:drawing>
                <wp:inline distT="0" distB="0" distL="114300" distR="114300">
                  <wp:extent cx="1276350" cy="2767330"/>
                  <wp:effectExtent l="0" t="0" r="19050" b="1270"/>
                  <wp:docPr id="19" name="图片 19" descr="IMG_4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IMG_40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345FC85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36345" cy="2675890"/>
                  <wp:effectExtent l="0" t="0" r="8255" b="165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26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5A612592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282700" cy="2778760"/>
                  <wp:effectExtent l="0" t="0" r="12700" b="15240"/>
                  <wp:docPr id="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38E9744C">
            <w:pPr>
              <w:spacing w:after="0"/>
              <w:jc w:val="center"/>
            </w:pPr>
            <w:r>
              <w:rPr>
                <w:lang w:eastAsia="zh-CN"/>
              </w:rPr>
              <w:drawing>
                <wp:inline distT="0" distB="0" distL="0" distR="0">
                  <wp:extent cx="1303020" cy="2818765"/>
                  <wp:effectExtent l="0" t="0" r="17780" b="635"/>
                  <wp:docPr id="32166401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64012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128212">
        <w:trPr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97496A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① 选择成员与附件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786ECA3B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② 上传并识别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10DE4DEF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③ 选择目标报告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39E6C6A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④ 解读与风险提示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38CD5CD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⑤ 生成后续任务</w:t>
            </w:r>
          </w:p>
        </w:tc>
      </w:tr>
    </w:tbl>
    <w:p w14:paraId="37254F66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端到端流程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83"/>
        <w:gridCol w:w="3383"/>
        <w:gridCol w:w="3312"/>
        <w:gridCol w:w="71"/>
      </w:tblGrid>
      <w:tr w14:paraId="0638D731">
        <w:trPr>
          <w:gridBefore w:val="1"/>
          <w:wBefore w:w="70" w:type="dxa"/>
          <w:tblHeader/>
          <w:jc w:val="center"/>
        </w:trPr>
        <w:tc>
          <w:tcPr>
            <w:tcW w:w="136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9C2A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步骤</w:t>
            </w:r>
          </w:p>
        </w:tc>
        <w:tc>
          <w:tcPr>
            <w:tcW w:w="42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9B15B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产品规则</w:t>
            </w:r>
          </w:p>
        </w:tc>
        <w:tc>
          <w:tcPr>
            <w:tcW w:w="4195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D6D3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关键验收</w:t>
            </w:r>
          </w:p>
        </w:tc>
      </w:tr>
      <w:tr w14:paraId="4B2F9913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07C6C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1 选择成员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E9452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上传前明确资料归属；切换成员时同步刷新上下文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879CA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保存对象与当前成员一致</w:t>
            </w:r>
          </w:p>
        </w:tc>
      </w:tr>
      <w:tr w14:paraId="776C84F1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0C7EC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2 上传资料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30C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支持相机、图片、PDF；展示上传、OCR、结构化阶段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B2F0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失败可重试且不重复创建</w:t>
            </w:r>
          </w:p>
        </w:tc>
      </w:tr>
      <w:tr w14:paraId="3A66C525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CD13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 确认字段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5DE30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原件与抽取结果同屏；日期、机构、指标、单位可修正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179C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用户修改值作为最终结构化结果</w:t>
            </w:r>
          </w:p>
        </w:tc>
      </w:tr>
      <w:tr w14:paraId="6725989A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E06A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4 保存档案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58DF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原件、结构化数据和成员关系同时落库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7E0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重新进入后完整、可追溯</w:t>
            </w:r>
          </w:p>
        </w:tc>
      </w:tr>
      <w:tr w14:paraId="18287312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B5FD5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5 AI解读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8092A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仅使用已选资料；先重点、再解释、最后行动与边界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7C31A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不输出确定诊断，来源与资料匹配</w:t>
            </w:r>
          </w:p>
        </w:tc>
      </w:tr>
      <w:tr w14:paraId="3807C6D3">
        <w:trPr>
          <w:gridBefore w:val="1"/>
          <w:wBefore w:w="70" w:type="dxa"/>
          <w:cantSplit/>
          <w:jc w:val="center"/>
        </w:trPr>
        <w:tc>
          <w:tcPr>
            <w:tcW w:w="136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98E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6 创建行动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A676C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复查/就医/用药任务先生成草稿，再由用户确认</w:t>
            </w:r>
          </w:p>
        </w:tc>
        <w:tc>
          <w:tcPr>
            <w:tcW w:w="4195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6E685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任务可回到来源报告并支持修改/取消</w:t>
            </w:r>
          </w:p>
        </w:tc>
      </w:tr>
      <w:tr w14:paraId="3E642EBD">
        <w:trPr>
          <w:gridAfter w:val="1"/>
          <w:wAfter w:w="71" w:type="dxa"/>
          <w:jc w:val="center"/>
        </w:trPr>
        <w:tc>
          <w:tcPr>
            <w:tcW w:w="10148" w:type="dxa"/>
            <w:gridSpan w:val="4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A91275D"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核心成功标准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用户能在一次会话内完成“选对成员、保存首份报告、看懂重点、创建下一步”，并且任何失败都可恢复。</w:t>
            </w:r>
          </w:p>
        </w:tc>
      </w:tr>
    </w:tbl>
    <w:p w14:paraId="291E48AB">
      <w:pPr>
        <w:spacing w:after="0"/>
      </w:pPr>
      <w:r>
        <w:rPr>
          <w:rFonts w:ascii="PingFang SC" w:hAnsi="PingFang SC" w:eastAsia="PingFang SC"/>
        </w:rPr>
        <w:br w:type="page"/>
      </w:r>
    </w:p>
    <w:p w14:paraId="52344E50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05  PRODUCT CASE</w:t>
      </w:r>
    </w:p>
    <w:p w14:paraId="3EB900C2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家庭健康记忆与知识库</w:t>
      </w:r>
    </w:p>
    <w:p w14:paraId="68FD39C0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对标阿福AI的家庭档案方向，但重点不是“记得越多越好”，而是信息正确、归属清楚、可追溯、可撤回。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654641E5">
        <w:trPr>
          <w:jc w:val="center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2B46A41">
            <w:pPr>
              <w:spacing w:after="0"/>
              <w:jc w:val="center"/>
            </w:pPr>
            <w:r>
              <w:drawing>
                <wp:inline distT="0" distB="0" distL="114300" distR="114300">
                  <wp:extent cx="1118235" cy="2423160"/>
                  <wp:effectExtent l="0" t="0" r="24765" b="15240"/>
                  <wp:docPr id="18" name="图片 18" descr="IMG_4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IMG_403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AF4193A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133475" cy="2453005"/>
                  <wp:effectExtent l="0" t="0" r="9525" b="1079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291ED61A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133475" cy="2453005"/>
                  <wp:effectExtent l="0" t="0" r="9525" b="1079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49A27F9D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133475" cy="2453005"/>
                  <wp:effectExtent l="0" t="0" r="9525" b="1079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306F2">
        <w:trPr>
          <w:jc w:val="center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3F1F0D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健康数据总览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A806AB9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营养与目标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08D6AF15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长期趋势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160EF7D8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个人知识内容</w:t>
            </w:r>
          </w:p>
        </w:tc>
      </w:tr>
    </w:tbl>
    <w:p w14:paraId="6224D982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统一数据视图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AD034C9">
        <w:trPr>
          <w:tblHeader/>
          <w:jc w:val="center"/>
        </w:trPr>
        <w:tc>
          <w:tcPr>
            <w:tcW w:w="1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4BDC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数据层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BB423D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示例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83265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进入方式</w:t>
            </w:r>
          </w:p>
        </w:tc>
        <w:tc>
          <w:tcPr>
            <w:tcW w:w="300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1B7B1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AI可做什么</w:t>
            </w:r>
          </w:p>
        </w:tc>
      </w:tr>
      <w:tr w14:paraId="29233185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5546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医疗事实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F4E21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病史、报告、处方、用药、症状、手术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B648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上传、OCR、用户确认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90FA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解释、比较、生成复查问题</w:t>
            </w:r>
          </w:p>
        </w:tc>
      </w:tr>
      <w:tr w14:paraId="687F365F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CFA68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日常状态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C8E5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睡眠、运动、心率、血压、血糖、体重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4872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Apple健康/设备授权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E911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趋势总结、异常提示、生活方式建议</w:t>
            </w:r>
          </w:p>
        </w:tc>
      </w:tr>
      <w:tr w14:paraId="574E6591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603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行为记录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22B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饮食、任务、用药执行、复查完成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412BC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用户记录或任务回写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84B2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发现执行偏差，形成下一步行动</w:t>
            </w:r>
          </w:p>
        </w:tc>
      </w:tr>
      <w:tr w14:paraId="3E2D105A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6E5D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C18E1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偏好、目标、已确认结论、家庭照护关系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E383B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显式保存或用户确认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7709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减少重复描述，保持跨会话连续性</w:t>
            </w:r>
          </w:p>
        </w:tc>
      </w:tr>
      <w:tr w14:paraId="4D166970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3DDA3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知识库</w:t>
            </w:r>
          </w:p>
        </w:tc>
        <w:tc>
          <w:tcPr>
            <w:tcW w:w="289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1DE07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权威科普、个人笔记、报告原文与引用</w:t>
            </w:r>
          </w:p>
        </w:tc>
        <w:tc>
          <w:tcPr>
            <w:tcW w:w="238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A9CA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来源标注、版本管理</w:t>
            </w:r>
          </w:p>
        </w:tc>
        <w:tc>
          <w:tcPr>
            <w:tcW w:w="300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5D9FE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检索增强回答并展示依据</w:t>
            </w:r>
          </w:p>
        </w:tc>
      </w:tr>
    </w:tbl>
    <w:p w14:paraId="43875203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记忆治理规则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4674BCF1">
        <w:trPr>
          <w:jc w:val="center"/>
        </w:trPr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D62195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可见</w:t>
            </w:r>
          </w:p>
          <w:p w14:paraId="569F0861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告诉用户本轮用了哪些成员、资料和记忆。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4B05CA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可改</w:t>
            </w:r>
          </w:p>
          <w:p w14:paraId="71214693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结构化字段和长期记忆都能纠错。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692B486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可删</w:t>
            </w:r>
          </w:p>
          <w:p w14:paraId="4A34F580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支持删除单条记忆、解绑成员和导出资料。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12C2E9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可追溯</w:t>
            </w:r>
          </w:p>
          <w:p w14:paraId="52671336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回答能回到原始报告、数据日期和公开来源。</w:t>
            </w:r>
          </w:p>
        </w:tc>
      </w:tr>
    </w:tbl>
    <w:p w14:paraId="5A432549">
      <w:pPr>
        <w:spacing w:after="0"/>
      </w:pPr>
      <w:r>
        <w:rPr>
          <w:rFonts w:ascii="PingFang SC" w:hAnsi="PingFang SC" w:eastAsia="PingFang SC"/>
        </w:rPr>
        <w:br w:type="page"/>
      </w:r>
    </w:p>
    <w:p w14:paraId="31FCFF23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06  PRODUCT CASE</w:t>
      </w:r>
    </w:p>
    <w:p w14:paraId="4D340141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AI能力：从“会回答”升级为“能引用、能调用、能闭环”</w:t>
      </w:r>
    </w:p>
    <w:p w14:paraId="0900BB9D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模型不是产品本身；上下文选择、工具权限、结果确认和失败恢复共同决定体验质量。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090329D0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6046EC44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13815" cy="2842260"/>
                  <wp:effectExtent l="0" t="0" r="698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6E046AAE"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distT="0" distB="0" distL="114300" distR="114300">
                  <wp:extent cx="1313815" cy="2842260"/>
                  <wp:effectExtent l="0" t="0" r="6985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25" w:type="dxa"/>
              <w:bottom w:w="15" w:type="dxa"/>
              <w:right w:w="25" w:type="dxa"/>
            </w:tcMar>
            <w:vAlign w:val="center"/>
          </w:tcPr>
          <w:p w14:paraId="7976624F">
            <w:pPr>
              <w:spacing w:after="0"/>
              <w:jc w:val="center"/>
            </w:pPr>
            <w:r>
              <w:rPr>
                <w:lang w:eastAsia="zh-CN"/>
              </w:rPr>
              <w:drawing>
                <wp:inline distT="0" distB="0" distL="0" distR="0">
                  <wp:extent cx="1317625" cy="2851150"/>
                  <wp:effectExtent l="0" t="0" r="3175" b="19050"/>
                  <wp:docPr id="142156777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6777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78F50F">
        <w:trPr>
          <w:jc w:val="center"/>
        </w:trPr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20ED11B0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带成员上下文的咨询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61FBABF2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报告解读与引用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left w:w="25" w:type="dxa"/>
              <w:bottom w:w="45" w:type="dxa"/>
              <w:right w:w="25" w:type="dxa"/>
            </w:tcMar>
          </w:tcPr>
          <w:p w14:paraId="41992258"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结合近期数据追问</w:t>
            </w:r>
          </w:p>
        </w:tc>
      </w:tr>
    </w:tbl>
    <w:p w14:paraId="6A5CDA0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一次可靠回答的构建方式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7292A4A7">
        <w:trPr>
          <w:tblHeader/>
          <w:jc w:val="center"/>
        </w:trPr>
        <w:tc>
          <w:tcPr>
            <w:tcW w:w="158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12DE94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环节</w:t>
            </w:r>
          </w:p>
        </w:tc>
        <w:tc>
          <w:tcPr>
            <w:tcW w:w="45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6F843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产品设计</w:t>
            </w:r>
          </w:p>
        </w:tc>
        <w:tc>
          <w:tcPr>
            <w:tcW w:w="362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B57552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失败时怎么做</w:t>
            </w:r>
          </w:p>
        </w:tc>
      </w:tr>
      <w:tr w14:paraId="0AAC3C5C">
        <w:trPr>
          <w:cantSplit/>
          <w:jc w:val="center"/>
        </w:trPr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F99D0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上下文</w:t>
            </w:r>
          </w:p>
        </w:tc>
        <w:tc>
          <w:tcPr>
            <w:tcW w:w="453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84ED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明确当前成员、目标问题和被选资料；不自动拼接无关档案</w:t>
            </w:r>
          </w:p>
        </w:tc>
        <w:tc>
          <w:tcPr>
            <w:tcW w:w="362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CF847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让用户重新选择成员或资料</w:t>
            </w:r>
          </w:p>
        </w:tc>
      </w:tr>
      <w:tr w14:paraId="48C84D3A">
        <w:trPr>
          <w:cantSplit/>
          <w:jc w:val="center"/>
        </w:trPr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1704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检索与工具</w:t>
            </w:r>
          </w:p>
        </w:tc>
        <w:tc>
          <w:tcPr>
            <w:tcW w:w="453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D7DA2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按场景开放报告、任务、健康数据与知识库工具</w:t>
            </w:r>
          </w:p>
        </w:tc>
        <w:tc>
          <w:tcPr>
            <w:tcW w:w="362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76E8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区分模型失败、工具失败和权限失败</w:t>
            </w:r>
          </w:p>
        </w:tc>
      </w:tr>
      <w:tr w14:paraId="62216C6B">
        <w:trPr>
          <w:cantSplit/>
          <w:jc w:val="center"/>
        </w:trPr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7AF7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生成</w:t>
            </w:r>
          </w:p>
        </w:tc>
        <w:tc>
          <w:tcPr>
            <w:tcW w:w="453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057DE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结构化输出重点、解释、风险、行动和来源</w:t>
            </w:r>
          </w:p>
        </w:tc>
        <w:tc>
          <w:tcPr>
            <w:tcW w:w="362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F5A6A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保留用户消息，支持停止、重试或换模型</w:t>
            </w:r>
          </w:p>
        </w:tc>
      </w:tr>
      <w:tr w14:paraId="4C57E09B">
        <w:trPr>
          <w:cantSplit/>
          <w:jc w:val="center"/>
        </w:trPr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87692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写入</w:t>
            </w:r>
          </w:p>
        </w:tc>
        <w:tc>
          <w:tcPr>
            <w:tcW w:w="453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91BEA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报告字段、任务、用药等写操作先生成草稿</w:t>
            </w:r>
          </w:p>
        </w:tc>
        <w:tc>
          <w:tcPr>
            <w:tcW w:w="362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1FC51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用户未确认不写入；失败不产生半成品</w:t>
            </w:r>
          </w:p>
        </w:tc>
      </w:tr>
      <w:tr w14:paraId="133C5067">
        <w:trPr>
          <w:cantSplit/>
          <w:jc w:val="center"/>
        </w:trPr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7C3B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沉淀</w:t>
            </w:r>
          </w:p>
        </w:tc>
        <w:tc>
          <w:tcPr>
            <w:tcW w:w="4535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A20C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仅把用户确认的事实或偏好写入长期记忆</w:t>
            </w:r>
          </w:p>
        </w:tc>
        <w:tc>
          <w:tcPr>
            <w:tcW w:w="362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E859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允许查看、修改、撤回与删除</w:t>
            </w:r>
          </w:p>
        </w:tc>
      </w:tr>
    </w:tbl>
    <w:p w14:paraId="5705311A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AI体验不以“更长回答”为目标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4C2AC97">
        <w:trPr>
          <w:jc w:val="center"/>
        </w:trPr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F4C1481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先结论</w:t>
            </w:r>
          </w:p>
          <w:p w14:paraId="6CE3E38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先给用户最需要关注的内容。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F0A744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再依据</w:t>
            </w:r>
          </w:p>
          <w:p w14:paraId="5778F530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关联报告原文、时间范围和权威来源。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027034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说明不确定性</w:t>
            </w:r>
          </w:p>
          <w:p w14:paraId="69040A5C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区分事实、推断和需要医生判断的内容。</w:t>
            </w:r>
          </w:p>
        </w:tc>
        <w:tc>
          <w:tcPr>
            <w:tcW w:w="2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DC96BF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形成行动</w:t>
            </w:r>
          </w:p>
          <w:p w14:paraId="77775DF4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建议转为可确认的任务，而不是停在对话里。</w:t>
            </w:r>
          </w:p>
        </w:tc>
      </w:tr>
      <w:tr w14:paraId="33D4A7B7">
        <w:trPr>
          <w:jc w:val="center"/>
        </w:trPr>
        <w:tc>
          <w:tcPr>
            <w:tcW w:w="10148" w:type="dxa"/>
            <w:gridSpan w:val="4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403C509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后续能力定位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自定义智能体和小任务作为进阶配置：用于固定角色、提示词、工具白名单和重复任务，但不应遮挡普通用户的核心健康路径。</w:t>
            </w:r>
          </w:p>
        </w:tc>
      </w:tr>
    </w:tbl>
    <w:p w14:paraId="35B7DED9">
      <w:pPr>
        <w:spacing w:after="0"/>
      </w:pPr>
      <w:r>
        <w:rPr>
          <w:rFonts w:ascii="PingFang SC" w:hAnsi="PingFang SC" w:eastAsia="PingFang SC"/>
        </w:rPr>
        <w:br w:type="page"/>
      </w:r>
    </w:p>
    <w:p w14:paraId="5C40F444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07  PRODUCT CASE</w:t>
      </w:r>
    </w:p>
    <w:p w14:paraId="1F8850BF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医疗AI质量体系：把测试经验转化为产品判断</w:t>
      </w:r>
    </w:p>
    <w:p w14:paraId="743C6AD0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质量不是上线前的最后一步，而是从需求、数据、模型、工具到发布门槛的完整设计。</w:t>
      </w:r>
    </w:p>
    <w:p w14:paraId="694DC08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风险分级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E91F73C">
        <w:trPr>
          <w:tblHeader/>
          <w:jc w:val="center"/>
        </w:trPr>
        <w:tc>
          <w:tcPr>
            <w:tcW w:w="13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4D76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等级</w:t>
            </w:r>
          </w:p>
        </w:tc>
        <w:tc>
          <w:tcPr>
            <w:tcW w:w="323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8B02B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典型风险</w:t>
            </w:r>
          </w:p>
        </w:tc>
        <w:tc>
          <w:tcPr>
            <w:tcW w:w="374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76D4A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控制方式</w:t>
            </w:r>
          </w:p>
        </w:tc>
        <w:tc>
          <w:tcPr>
            <w:tcW w:w="158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090639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发布要求</w:t>
            </w:r>
          </w:p>
        </w:tc>
      </w:tr>
      <w:tr w14:paraId="35345352">
        <w:trPr>
          <w:cantSplit/>
          <w:jc w:val="center"/>
        </w:trPr>
        <w:tc>
          <w:tcPr>
            <w:tcW w:w="130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D4A6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严重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776F7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成员串档、越权读取、隐私泄露、危险剂量、急症遗漏</w:t>
            </w:r>
          </w:p>
        </w:tc>
        <w:tc>
          <w:tcPr>
            <w:tcW w:w="374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364FF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阻断、告警、审计、立即止损</w:t>
            </w:r>
          </w:p>
        </w:tc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04138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  <w:tr w14:paraId="4F791374">
        <w:trPr>
          <w:cantSplit/>
          <w:jc w:val="center"/>
        </w:trPr>
        <w:tc>
          <w:tcPr>
            <w:tcW w:w="130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17B9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高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C284B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关键数值错误、过度诊断、禁忌遗漏</w:t>
            </w:r>
          </w:p>
        </w:tc>
        <w:tc>
          <w:tcPr>
            <w:tcW w:w="374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5A7E5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原件核对、专家/权威资料评测、强化就医提示</w:t>
            </w:r>
          </w:p>
        </w:tc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76B9E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专项评测通过</w:t>
            </w:r>
          </w:p>
        </w:tc>
      </w:tr>
      <w:tr w14:paraId="6DBAAA51">
        <w:trPr>
          <w:cantSplit/>
          <w:jc w:val="center"/>
        </w:trPr>
        <w:tc>
          <w:tcPr>
            <w:tcW w:w="130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34B6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中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A3EC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非关键字段遗漏、解释不清、任务重复</w:t>
            </w:r>
          </w:p>
        </w:tc>
        <w:tc>
          <w:tcPr>
            <w:tcW w:w="374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B4E63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支持纠错、重试、撤销并纳入回归</w:t>
            </w:r>
          </w:p>
        </w:tc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761D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核心流程可用</w:t>
            </w:r>
          </w:p>
        </w:tc>
      </w:tr>
      <w:tr w14:paraId="4C27C2F5">
        <w:trPr>
          <w:cantSplit/>
          <w:jc w:val="center"/>
        </w:trPr>
        <w:tc>
          <w:tcPr>
            <w:tcW w:w="130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5678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低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6344E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排版、文案、非核心体验问题</w:t>
            </w:r>
          </w:p>
        </w:tc>
        <w:tc>
          <w:tcPr>
            <w:tcW w:w="374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40B6A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常规迭代</w:t>
            </w:r>
          </w:p>
        </w:tc>
        <w:tc>
          <w:tcPr>
            <w:tcW w:w="158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58F66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不阻断发布</w:t>
            </w:r>
          </w:p>
        </w:tc>
      </w:tr>
    </w:tbl>
    <w:p w14:paraId="799A440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五类验收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9803E74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89761A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维度</w:t>
            </w:r>
          </w:p>
        </w:tc>
        <w:tc>
          <w:tcPr>
            <w:tcW w:w="816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A96E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关键检查</w:t>
            </w:r>
          </w:p>
        </w:tc>
      </w:tr>
      <w:tr w14:paraId="6EECABF8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DDF46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资料质量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AE2F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OCR关键字段、单位、参考范围、页序、原件绑定和用户修正结果</w:t>
            </w:r>
          </w:p>
        </w:tc>
      </w:tr>
      <w:tr w14:paraId="46DD280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69180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权限安全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E3BE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账号/成员/角色矩阵、跨成员攻击、分享/解绑/删除语义、最小上下文</w:t>
            </w:r>
          </w:p>
        </w:tc>
      </w:tr>
      <w:tr w14:paraId="1853C96B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84DE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AI效果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A11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事实正确、引用相关、风险召回、幻觉、过度诊断与同题稳定性</w:t>
            </w:r>
          </w:p>
        </w:tc>
      </w:tr>
      <w:tr w14:paraId="7BE21C5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AAB4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工具链路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A4DE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工具选择、参数、权限、幂等、超时、重试、停止和失败恢复</w:t>
            </w:r>
          </w:p>
        </w:tc>
      </w:tr>
      <w:tr w14:paraId="40F05D3D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7390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交付稳定</w:t>
            </w:r>
          </w:p>
        </w:tc>
        <w:tc>
          <w:tcPr>
            <w:tcW w:w="816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EC9C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多端同步、弱网、登录失效、灰度、监控、回滚和生产验收</w:t>
            </w:r>
          </w:p>
        </w:tc>
      </w:tr>
    </w:tbl>
    <w:p w14:paraId="56C5D616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上线门槛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21F583C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F198E4"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安全门槛</w:t>
            </w:r>
          </w:p>
          <w:p w14:paraId="5D8FBF4E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P0风险用例全部通过，敏感日志检查完成。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ECC079"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体验门槛</w:t>
            </w:r>
          </w:p>
          <w:p w14:paraId="59D43992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核心流程无阻断，错误都有明确恢复路径。</w:t>
            </w:r>
          </w:p>
        </w:tc>
      </w:tr>
      <w:tr w14:paraId="12FD61DD">
        <w:trPr>
          <w:jc w:val="center"/>
        </w:trPr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C3460D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质量门槛</w:t>
            </w:r>
          </w:p>
          <w:p w14:paraId="1F625BF4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报告与AI专项评测达到团队约定阈值。</w:t>
            </w:r>
          </w:p>
        </w:tc>
        <w:tc>
          <w:tcPr>
            <w:tcW w:w="50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404C01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运营门槛</w:t>
            </w:r>
          </w:p>
          <w:p w14:paraId="379BE7D8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埋点、监控、告警、客服口径和回滚方案齐备。</w:t>
            </w:r>
          </w:p>
        </w:tc>
      </w:tr>
    </w:tbl>
    <w:p w14:paraId="407DDD52">
      <w:pPr>
        <w:spacing w:after="0"/>
      </w:pPr>
      <w:r>
        <w:rPr>
          <w:rFonts w:ascii="PingFang SC" w:hAnsi="PingFang SC" w:eastAsia="PingFang SC"/>
        </w:rPr>
        <w:br w:type="page"/>
      </w:r>
    </w:p>
    <w:p w14:paraId="34A36F9E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08  PRODUCT CASE</w:t>
      </w:r>
    </w:p>
    <w:p w14:paraId="0682ECE8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验证指标与版本路线</w:t>
      </w:r>
    </w:p>
    <w:p w14:paraId="529A409C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没有真实运营数据就不写“增长结果”；先定义口径，再用小流量验证最关键的产品假设。</w:t>
      </w:r>
    </w:p>
    <w:p w14:paraId="76B522AA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指标框架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5063C0AD">
        <w:trPr>
          <w:tblHeader/>
          <w:jc w:val="center"/>
        </w:trPr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BC45A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目标</w:t>
            </w:r>
          </w:p>
        </w:tc>
        <w:tc>
          <w:tcPr>
            <w:tcW w:w="226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14A283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指标</w:t>
            </w:r>
          </w:p>
        </w:tc>
        <w:tc>
          <w:tcPr>
            <w:tcW w:w="42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39E4D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口径</w:t>
            </w:r>
          </w:p>
        </w:tc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A84FF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首轮目标</w:t>
            </w:r>
          </w:p>
        </w:tc>
      </w:tr>
      <w:tr w14:paraId="6E03F0F2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D2C1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首次价值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CAC74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首份报告完成率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0E31F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新用户24小时内成功保存首份报告占比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68F17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待基线后设定</w:t>
            </w:r>
          </w:p>
        </w:tc>
      </w:tr>
      <w:tr w14:paraId="4E700AC4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A8172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核心稳定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0AAC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报告保存成功率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65176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进入上传流程后成功保存占比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55B2D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建议目标 ≥90%</w:t>
            </w:r>
          </w:p>
        </w:tc>
      </w:tr>
      <w:tr w14:paraId="42EA2160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0051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识别质量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6C03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关键字段纠错率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04806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用户修改AI关键字段的报告占比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761FE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持续下降</w:t>
            </w:r>
          </w:p>
        </w:tc>
      </w:tr>
      <w:tr w14:paraId="7B0F35AA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E9826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理解价值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DA3A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解读完成/满意度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7777D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完成解读且给出正向反馈的占比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0BEE6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2097C0D2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EFB4E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行动转化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96EF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报告到任务转化率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15E95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解读后确认创建任务的报告占比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80EC4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5B087665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4A1D4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持续使用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B08582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30天资料回访率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EE30B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再次查看、上传、提问或完成任务占比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4B91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 w14:paraId="661CCD38">
        <w:trPr>
          <w:cantSplit/>
          <w:jc w:val="center"/>
        </w:trPr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9EF9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安全底线</w:t>
            </w:r>
          </w:p>
        </w:tc>
        <w:tc>
          <w:tcPr>
            <w:tcW w:w="226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D2DF49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P0事件数</w:t>
            </w:r>
          </w:p>
        </w:tc>
        <w:tc>
          <w:tcPr>
            <w:tcW w:w="425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E21AC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严重医疗、隐私或成员串档事件</w:t>
            </w:r>
          </w:p>
        </w:tc>
        <w:tc>
          <w:tcPr>
            <w:tcW w:w="170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BC10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</w:tbl>
    <w:p w14:paraId="1663D674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Now / Next / Later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383"/>
        <w:gridCol w:w="3383"/>
        <w:gridCol w:w="3312"/>
        <w:gridCol w:w="71"/>
      </w:tblGrid>
      <w:tr w14:paraId="7F64F1C9">
        <w:trPr>
          <w:gridBefore w:val="1"/>
          <w:wBefore w:w="70" w:type="dxa"/>
          <w:tblHeader/>
          <w:jc w:val="center"/>
        </w:trPr>
        <w:tc>
          <w:tcPr>
            <w:tcW w:w="141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A3DB1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w="459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48328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产品重点</w:t>
            </w:r>
          </w:p>
        </w:tc>
        <w:tc>
          <w:tcPr>
            <w:tcW w:w="3912" w:type="dxa"/>
            <w:gridSpan w:val="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C6C16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验证信号</w:t>
            </w:r>
          </w:p>
        </w:tc>
      </w:tr>
      <w:tr w14:paraId="380C26C2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884B0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NOW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4B3263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报告核心闭环、成员归属、AI解读、安全与失败恢复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E7C9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首份报告可独立完成；P0=0；保存成功率稳定</w:t>
            </w:r>
          </w:p>
        </w:tc>
      </w:tr>
      <w:tr w14:paraId="4C039D09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F226A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NEXT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EDCD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任务/用药、跨报告对比、家庭协作与权限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E7EBD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解读后存在行动需求；用户愿意再次回来</w:t>
            </w:r>
          </w:p>
        </w:tc>
      </w:tr>
      <w:tr w14:paraId="0F0A8EF4">
        <w:trPr>
          <w:gridBefore w:val="1"/>
          <w:wBefore w:w="70" w:type="dxa"/>
          <w:cantSplit/>
          <w:jc w:val="center"/>
        </w:trPr>
        <w:tc>
          <w:tcPr>
            <w:tcW w:w="1417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AC1BB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LATER</w:t>
            </w:r>
          </w:p>
        </w:tc>
        <w:tc>
          <w:tcPr>
            <w:tcW w:w="4592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5FA2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睡眠/运动/营养融合、知识库、自定义智能体、小任务</w:t>
            </w:r>
          </w:p>
        </w:tc>
        <w:tc>
          <w:tcPr>
            <w:tcW w:w="3912" w:type="dxa"/>
            <w:gridSpan w:val="2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366E46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日常数据能显著改善回答与留存，而非增加噪音</w:t>
            </w:r>
          </w:p>
        </w:tc>
      </w:tr>
      <w:tr w14:paraId="021314F9">
        <w:trPr>
          <w:gridAfter w:val="1"/>
          <w:wAfter w:w="71" w:type="dxa"/>
          <w:jc w:val="center"/>
        </w:trPr>
        <w:tc>
          <w:tcPr>
            <w:tcW w:w="10148" w:type="dxa"/>
            <w:gridSpan w:val="4"/>
            <w:tcBorders>
              <w:top w:val="single" w:color="EAF6F5" w:sz="6" w:space="0"/>
              <w:left w:val="single" w:color="EAF6F5" w:sz="6" w:space="0"/>
              <w:bottom w:val="single" w:color="EAF6F5" w:sz="6" w:space="0"/>
              <w:right w:val="single" w:color="EAF6F5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49C4D0">
            <w:pPr>
              <w:spacing w:after="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产品已上架 Apple App Store 并持续迭代，具备公开商店页面和版本记录；尚未形成可公开的规模化用户指标。下一阶段优先补用户访谈、埋点与小流量验证。</w:t>
            </w:r>
          </w:p>
        </w:tc>
      </w:tr>
    </w:tbl>
    <w:p w14:paraId="6BE78686">
      <w:pPr>
        <w:spacing w:after="0"/>
      </w:pPr>
      <w:r>
        <w:rPr>
          <w:rFonts w:ascii="PingFang SC" w:hAnsi="PingFang SC" w:eastAsia="PingFang SC"/>
        </w:rPr>
        <w:br w:type="page"/>
      </w:r>
    </w:p>
    <w:p w14:paraId="13928C12">
      <w:pPr>
        <w:keepNext/>
        <w:spacing w:before="0" w:after="60" w:line="269" w:lineRule="auto"/>
      </w:pPr>
      <w:r>
        <w:rPr>
          <w:rFonts w:ascii="PingFang SC" w:hAnsi="PingFang SC" w:eastAsia="PingFang SC"/>
          <w:b/>
          <w:color w:val="1A9A96"/>
          <w:sz w:val="17"/>
        </w:rPr>
        <w:t>09  PRODUCT CASE</w:t>
      </w:r>
    </w:p>
    <w:p w14:paraId="2E4DD50F">
      <w:pPr>
        <w:keepNext/>
        <w:spacing w:before="0" w:after="80" w:line="240" w:lineRule="auto"/>
      </w:pPr>
      <w:r>
        <w:rPr>
          <w:rFonts w:ascii="PingFang SC" w:hAnsi="PingFang SC" w:eastAsia="PingFang SC"/>
          <w:b/>
          <w:color w:val="173B5E"/>
          <w:sz w:val="44"/>
        </w:rPr>
        <w:t>竞品判断与我的价值</w:t>
      </w:r>
    </w:p>
    <w:p w14:paraId="7904E22F">
      <w:pPr>
        <w:spacing w:before="0" w:after="20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Look健康不与成熟平台比资源规模，而是用家庭数据组织、持续记忆和质量闭环证明产品判断。</w:t>
      </w:r>
    </w:p>
    <w:p w14:paraId="5BFB23AB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竞品对标（基于公开资料，2026-08-30）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4F7076E2">
        <w:trPr>
          <w:tblHeader/>
          <w:jc w:val="center"/>
        </w:trPr>
        <w:tc>
          <w:tcPr>
            <w:tcW w:w="1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F162CD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产品</w:t>
            </w:r>
          </w:p>
        </w:tc>
        <w:tc>
          <w:tcPr>
            <w:tcW w:w="323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038AEE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公开定位/能力</w:t>
            </w:r>
          </w:p>
        </w:tc>
        <w:tc>
          <w:tcPr>
            <w:tcW w:w="27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7DD78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我重点学习</w:t>
            </w:r>
          </w:p>
        </w:tc>
        <w:tc>
          <w:tcPr>
            <w:tcW w:w="2608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F8E781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Look健康切入点</w:t>
            </w:r>
          </w:p>
        </w:tc>
      </w:tr>
      <w:tr w14:paraId="4BA89555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3BD8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蚂蚁阿福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773AC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AI健康咨询、个人/家庭健康档案及医疗健康服务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F058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家庭档案、个性化健康管理和服务承接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CD0A2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强化成员归属、长期记忆治理与跨数据关联</w:t>
            </w:r>
          </w:p>
        </w:tc>
      </w:tr>
      <w:tr w14:paraId="2EB22C62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48E9A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讯飞晓医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53D281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症状、用药、报告解读、健康档案及饮食运动等AI健康能力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1FDE0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医疗专业性、报告解读、安全与多场景覆盖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24A80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把解读后资料沉淀、历史比较和行动转化做深</w:t>
            </w:r>
          </w:p>
        </w:tc>
      </w:tr>
      <w:tr w14:paraId="2C3F4926">
        <w:trPr>
          <w:cantSplit/>
          <w:jc w:val="center"/>
        </w:trPr>
        <w:tc>
          <w:tcPr>
            <w:tcW w:w="1474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6003F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春雨医生</w:t>
            </w:r>
          </w:p>
        </w:tc>
        <w:tc>
          <w:tcPr>
            <w:tcW w:w="323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2BDC2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在线问诊、医生服务、数字健康档案及慢病管理</w:t>
            </w:r>
          </w:p>
        </w:tc>
        <w:tc>
          <w:tcPr>
            <w:tcW w:w="272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DC93EC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真人医疗服务承接与全生命周期服务</w:t>
            </w:r>
          </w:p>
        </w:tc>
        <w:tc>
          <w:tcPr>
            <w:tcW w:w="2608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01B5DE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聚焦家庭资料准备、AI预整理和就医前后连续记录</w:t>
            </w:r>
          </w:p>
        </w:tc>
      </w:tr>
    </w:tbl>
    <w:p w14:paraId="4C18F048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我能带来的价值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517BDB5">
        <w:trPr>
          <w:tblHeader/>
          <w:jc w:val="center"/>
        </w:trPr>
        <w:tc>
          <w:tcPr>
            <w:tcW w:w="187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725F6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能力</w:t>
            </w:r>
          </w:p>
        </w:tc>
        <w:tc>
          <w:tcPr>
            <w:tcW w:w="805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173B5E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50879C"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在该项目中的体现</w:t>
            </w:r>
          </w:p>
        </w:tc>
      </w:tr>
      <w:tr w14:paraId="12E3A914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D401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产品设计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AAC1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从用户问题出发，梳理成员—报告—AI—行动闭环，明确MVP与非目标</w:t>
            </w:r>
          </w:p>
        </w:tc>
      </w:tr>
      <w:tr w14:paraId="6F708F51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E176D8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技术协同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8EADF5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理解客户端、服务端、文件、OCR、模型、工具调用与多端同步的交付关系</w:t>
            </w:r>
          </w:p>
        </w:tc>
      </w:tr>
      <w:tr w14:paraId="598B11DB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D815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质量判断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62814A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提前设计异常、权限、幂等、数据一致性、医疗AI效果与风险发布门槛</w:t>
            </w:r>
          </w:p>
        </w:tc>
      </w:tr>
      <w:tr w14:paraId="4C66B81A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68844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上线推进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76351D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产品已上架 Apple App Store；参与需求评审、联调、测试验收、版本发布、问题跟踪和持续迭代</w:t>
            </w:r>
          </w:p>
        </w:tc>
      </w:tr>
      <w:tr w14:paraId="4C555EC6">
        <w:trPr>
          <w:cantSplit/>
          <w:jc w:val="center"/>
        </w:trPr>
        <w:tc>
          <w:tcPr>
            <w:tcW w:w="1871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BCD694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诚实边界</w:t>
            </w:r>
          </w:p>
        </w:tc>
        <w:tc>
          <w:tcPr>
            <w:tcW w:w="8050" w:type="dxa"/>
            <w:tcBorders>
              <w:top w:val="single" w:color="D9E2E8" w:sz="6" w:space="0"/>
              <w:left w:val="single" w:color="D9E2E8" w:sz="6" w:space="0"/>
              <w:bottom w:val="single" w:color="D9E2E8" w:sz="6" w:space="0"/>
              <w:right w:val="single" w:color="D9E2E8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33A8A7"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不虚构用户规模与指标，区分已实现、待验证和后续规划</w:t>
            </w:r>
          </w:p>
        </w:tc>
      </w:tr>
    </w:tbl>
    <w:p w14:paraId="640524E0">
      <w:pPr>
        <w:keepNext/>
        <w:spacing w:before="100" w:after="80" w:line="252" w:lineRule="auto"/>
      </w:pPr>
      <w:r>
        <w:rPr>
          <w:rFonts w:ascii="PingFang SC" w:hAnsi="PingFang SC" w:eastAsia="PingFang SC"/>
          <w:b/>
          <w:color w:val="173B5E"/>
          <w:sz w:val="25"/>
        </w:rPr>
        <w:t>入职后的前90天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103"/>
        <w:gridCol w:w="3203"/>
      </w:tblGrid>
      <w:tr w14:paraId="42F9A9EC">
        <w:trPr>
          <w:jc w:val="center"/>
        </w:trPr>
        <w:tc>
          <w:tcPr>
            <w:tcW w:w="310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A68DAD"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0—30天</w:t>
            </w:r>
          </w:p>
          <w:p w14:paraId="2F831CC6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熟悉业务、数据和医疗评测口径；跟完整版本并整理风险地图。</w:t>
            </w:r>
          </w:p>
        </w:tc>
        <w:tc>
          <w:tcPr>
            <w:tcW w:w="41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AF6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5663A66"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31—60天</w:t>
            </w:r>
          </w:p>
          <w:p w14:paraId="42F796B9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负责一个报告/档案/AI验收子模块，补齐需求、指标和回归集。</w:t>
            </w:r>
          </w:p>
        </w:tc>
        <w:tc>
          <w:tcPr>
            <w:tcW w:w="32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5F8F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6E86DA"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61—90天</w:t>
            </w:r>
          </w:p>
          <w:p w14:paraId="5FF8281F"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独立推动一次小版本，从问题验证到上线复盘形成闭环。</w:t>
            </w:r>
          </w:p>
        </w:tc>
      </w:tr>
      <w:tr w14:paraId="3925D046">
        <w:trPr>
          <w:jc w:val="center"/>
        </w:trPr>
        <w:tc>
          <w:tcPr>
            <w:tcW w:w="10408" w:type="dxa"/>
            <w:gridSpan w:val="3"/>
            <w:tcBorders>
              <w:top w:val="single" w:color="EAF2F8" w:sz="6" w:space="0"/>
              <w:left w:val="single" w:color="EAF2F8" w:sz="6" w:space="0"/>
              <w:bottom w:val="single" w:color="EAF2F8" w:sz="6" w:space="0"/>
              <w:right w:val="single" w:color="EAF2F8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D426BE6"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作品集结论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我不是把测试经历隐藏成产品经历，而是把对风险、数据和交付的理解转化为医疗AI产品能力：既能判断做什么，也能推动它安全、稳定地上线。</w:t>
            </w:r>
          </w:p>
        </w:tc>
      </w:tr>
    </w:tbl>
    <w:p w14:paraId="4A7D05F8">
      <w:pPr>
        <w:spacing w:before="100" w:after="0" w:line="240" w:lineRule="auto"/>
      </w:pPr>
      <w:r>
        <w:rPr>
          <w:rFonts w:ascii="PingFang SC" w:hAnsi="PingFang SC" w:eastAsia="PingFang SC"/>
          <w:b w:val="0"/>
          <w:color w:val="667784"/>
          <w:sz w:val="15"/>
        </w:rPr>
        <w:t>公开资料：Google Play《阿福》应用介绍；华为《讯飞晓医智能体功能介绍》；春雨医生官网“关于春雨”。竞品功能会持续变化，本文只用于产品方向对标。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65" w:right="879" w:bottom="709" w:left="879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5D186">
    <w:pPr>
      <w:pStyle w:val="24"/>
      <w:jc w:val="right"/>
    </w:pPr>
    <w:r>
      <w:rPr>
        <w:rFonts w:ascii="PingFang SC" w:hAnsi="PingFang SC" w:eastAsia="PingFang SC"/>
        <w:b/>
        <w:color w:val="1A9A96"/>
        <w:sz w:val="16"/>
      </w:rPr>
      <w:t xml:space="preserve">LOOK HEALTH  ·  </w:t>
    </w:r>
    <w:r>
      <w:rPr>
        <w:rFonts w:ascii="PingFang SC" w:hAnsi="PingFang SC" w:eastAsia="PingFang SC"/>
        <w:b w:val="0"/>
        <w:color w:val="667784"/>
        <w:sz w:val="16"/>
      </w:rPr>
      <w:t xml:space="preserve">赵道凯  ·  </w:t>
    </w:r>
    <w:r>
      <w:rPr>
        <w:rFonts w:ascii="PingFang SC" w:hAnsi="PingFang SC" w:eastAsia="PingFang SC"/>
        <w:b w:val="0"/>
        <w:color w:val="667784"/>
        <w:sz w:val="16"/>
      </w:rPr>
      <w:fldChar w:fldCharType="begin"/>
    </w:r>
    <w:r>
      <w:rPr>
        <w:rFonts w:ascii="PingFang SC" w:hAnsi="PingFang SC" w:eastAsia="PingFang SC"/>
        <w:b w:val="0"/>
        <w:color w:val="667784"/>
        <w:sz w:val="16"/>
      </w:rPr>
      <w:instrText xml:space="preserve">PAGE</w:instrText>
    </w:r>
    <w:r>
      <w:rPr>
        <w:rFonts w:ascii="PingFang SC" w:hAnsi="PingFang SC" w:eastAsia="PingFang SC"/>
        <w:b w:val="0"/>
        <w:color w:val="66778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D1725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FA3E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0C60">
    <w:pPr>
      <w:pStyle w:val="25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4"/>
      <w:gridCol w:w="5074"/>
    </w:tblGrid>
    <w:tr w14:paraId="4E2F00DD">
      <w:trPr>
        <w:jc w:val="center"/>
      </w:trPr>
      <w:tc>
        <w:tcPr>
          <w:tcW w:w="5074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3830013">
          <w:pPr>
            <w:spacing w:after="0"/>
          </w:pPr>
          <w:r>
            <w:rPr>
              <w:rFonts w:ascii="PingFang SC" w:hAnsi="PingFang SC" w:eastAsia="PingFang SC"/>
              <w:b/>
              <w:color w:val="173B5E"/>
              <w:sz w:val="17"/>
            </w:rPr>
            <w:t>LOOK健康</w:t>
          </w:r>
        </w:p>
      </w:tc>
      <w:tc>
        <w:tcPr>
          <w:tcW w:w="5074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FC22B8E">
          <w:pPr>
            <w:spacing w:after="0"/>
            <w:jc w:val="right"/>
          </w:pPr>
          <w:r>
            <w:rPr>
              <w:rFonts w:ascii="PingFang SC" w:hAnsi="PingFang SC" w:eastAsia="PingFang SC"/>
              <w:b w:val="0"/>
              <w:color w:val="667784"/>
              <w:sz w:val="16"/>
            </w:rPr>
            <w:t>家庭健康 AI 产品作品集</w:t>
          </w:r>
        </w:p>
      </w:tc>
    </w:tr>
  </w:tbl>
  <w:p w14:paraId="7541F33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21937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5CD2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FEB36D"/>
    <w:rsid w:val="FBFF29C6"/>
    <w:rsid w:val="FE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PingFang SC" w:hAnsi="PingFang SC" w:eastAsia="PingFang SC" w:cstheme="minorBidi"/>
      <w:color w:val="263746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B5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B5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9A96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PingFang SC" w:hAnsi="PingFang SC" w:eastAsia="PingFang SC"/>
    </w:rPr>
  </w:style>
  <w:style w:type="table" w:default="1" w:styleId="32">
    <w:name w:val="Normal Table"/>
    <w:semiHidden/>
    <w:unhideWhenUsed/>
    <w:uiPriority w:val="99"/>
    <w:rPr>
      <w:rFonts w:ascii="PingFang SC" w:hAnsi="PingFang SC" w:eastAsia="PingFang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PingFang SC" w:hAnsi="PingFang SC" w:eastAsia="PingFang SC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PingFang SC" w:hAnsi="PingFang SC" w:eastAsia="PingFang SC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PingFang SC" w:hAnsi="PingFang SC" w:eastAsia="PingFang SC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PingFang SC" w:hAnsi="PingFang SC" w:eastAsia="PingFang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PingFang SC" w:hAnsi="PingFang SC" w:eastAsia="PingFang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PingFang SC" w:hAnsi="PingFang SC" w:eastAsia="PingFang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PingFang SC" w:hAnsi="PingFang SC" w:eastAsia="PingFang SC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PingFang SC" w:hAnsi="PingFang SC" w:eastAsia="PingFang SC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PingFang SC" w:hAnsi="PingFang SC" w:eastAsia="PingFang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PingFang SC" w:hAnsi="PingFang SC" w:eastAsia="PingFang SC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PingFang SC" w:hAnsi="PingFang SC" w:eastAsia="PingFang SC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PingFang SC" w:hAnsi="PingFang SC" w:eastAsia="PingFang SC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PingFang SC" w:hAnsi="PingFang SC" w:eastAsia="PingFang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PingFang SC" w:hAnsi="PingFang SC" w:eastAsia="PingFang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PingFang SC" w:hAnsi="PingFang SC" w:eastAsia="PingFang SC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PingFang SC" w:hAnsi="PingFang SC" w:eastAsia="PingFang SC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PingFang SC" w:hAnsi="PingFang SC" w:eastAsia="PingFang SC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PingFang SC" w:hAnsi="PingFang SC" w:eastAsia="PingFang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PingFang SC" w:hAnsi="PingFang SC" w:eastAsia="PingFang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PingFang SC" w:hAnsi="PingFang SC" w:eastAsia="PingFang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PingFang SC" w:hAnsi="PingFang SC" w:eastAsia="PingFang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PingFang SC" w:hAnsi="PingFang SC" w:eastAsia="PingFang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PingFang SC" w:hAnsi="PingFang SC" w:eastAsia="PingFang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PingFang SC" w:hAnsi="PingFang SC" w:eastAsia="PingFang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PingFang SC" w:hAnsi="PingFang SC" w:eastAsia="PingFang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PingFang SC" w:hAnsi="PingFang SC" w:eastAsia="PingFang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PingFang SC" w:hAnsi="PingFang SC" w:eastAsia="PingFang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PingFang SC" w:hAnsi="PingFang SC" w:eastAsia="PingFang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PingFang SC" w:hAnsi="PingFang SC" w:eastAsia="PingFang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PingFang SC" w:hAnsi="PingFang SC" w:eastAsia="PingFang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PingFang SC" w:hAnsi="PingFang SC" w:eastAsia="PingFang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PingFang SC" w:hAnsi="PingFang SC" w:eastAsia="PingFang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PingFang SC" w:hAnsi="PingFang SC" w:eastAsia="PingFang SC"/>
      <w:b/>
      <w:bCs/>
    </w:rPr>
  </w:style>
  <w:style w:type="character" w:styleId="134">
    <w:name w:val="Emphasis"/>
    <w:basedOn w:val="132"/>
    <w:qFormat/>
    <w:uiPriority w:val="20"/>
    <w:rPr>
      <w:rFonts w:ascii="PingFang SC" w:hAnsi="PingFang SC" w:eastAsia="PingFang SC"/>
      <w:i/>
      <w:iCs/>
    </w:rPr>
  </w:style>
  <w:style w:type="character" w:customStyle="1" w:styleId="135">
    <w:name w:val="Header Char"/>
    <w:basedOn w:val="132"/>
    <w:link w:val="25"/>
    <w:uiPriority w:val="99"/>
    <w:rPr>
      <w:rFonts w:ascii="PingFang SC" w:hAnsi="PingFang SC" w:eastAsia="PingFang SC"/>
    </w:rPr>
  </w:style>
  <w:style w:type="character" w:customStyle="1" w:styleId="136">
    <w:name w:val="Footer Char"/>
    <w:basedOn w:val="132"/>
    <w:link w:val="24"/>
    <w:uiPriority w:val="99"/>
    <w:rPr>
      <w:rFonts w:ascii="PingFang SC" w:hAnsi="PingFang SC" w:eastAsia="PingFang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PingFang SC" w:hAnsi="PingFang SC" w:eastAsia="PingFang SC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PingFang SC" w:hAnsi="PingFang SC" w:eastAsia="PingFang SC"/>
    </w:rPr>
  </w:style>
  <w:style w:type="character" w:customStyle="1" w:styleId="144">
    <w:name w:val="Body Text Char"/>
    <w:basedOn w:val="132"/>
    <w:link w:val="19"/>
    <w:uiPriority w:val="99"/>
    <w:rPr>
      <w:rFonts w:ascii="PingFang SC" w:hAnsi="PingFang SC" w:eastAsia="PingFang SC"/>
    </w:rPr>
  </w:style>
  <w:style w:type="character" w:customStyle="1" w:styleId="145">
    <w:name w:val="Body Text 2 Char"/>
    <w:basedOn w:val="132"/>
    <w:link w:val="28"/>
    <w:uiPriority w:val="99"/>
    <w:rPr>
      <w:rFonts w:ascii="PingFang SC" w:hAnsi="PingFang SC" w:eastAsia="PingFang SC"/>
    </w:rPr>
  </w:style>
  <w:style w:type="character" w:customStyle="1" w:styleId="146">
    <w:name w:val="Body Text 3 Char"/>
    <w:basedOn w:val="132"/>
    <w:link w:val="17"/>
    <w:uiPriority w:val="99"/>
    <w:rPr>
      <w:rFonts w:ascii="PingFang SC" w:hAnsi="PingFang SC" w:eastAsia="PingFang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PingFang SC" w:hAnsi="PingFang SC" w:eastAsia="PingFang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PingFang SC" w:hAnsi="PingFang SC" w:eastAsia="PingFang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PingFang SC" w:hAnsi="PingFang SC" w:eastAsia="PingFang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PingFang SC" w:hAnsi="PingFang SC" w:eastAsia="PingFang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PingFang SC" w:hAnsi="PingFang SC" w:eastAsia="PingFang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PingFang SC" w:hAnsi="PingFang SC" w:eastAsia="PingFang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PingFang SC" w:hAnsi="PingFang SC" w:eastAsia="PingFang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PingFang SC" w:hAnsi="PingFang SC" w:eastAsia="PingFang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赵道凯</dc:creator>
  <dc:description>优化版：重构为问题—策略—核心流程—安全—指标—个人价值的求职叙事。</dc:description>
  <cp:keywords>家庭健康, 医疗AI, 产品经理, 产品质量, 健康档案, AI健康助手</cp:keywords>
  <cp:lastModifiedBy>話</cp:lastModifiedBy>
  <dcterms:modified xsi:type="dcterms:W3CDTF">2026-08-30T22:21:39Z</dcterms:modified>
  <dc:subject>医疗AI产品经理 / 产品质量求职作品集</dc:subject>
  <dc:title>Look健康｜家庭健康AI产品作品集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C93EB73C7A6BFDB7090E946A08931426_42</vt:lpwstr>
  </property>
</Properties>
</file>