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5D495F5" w14:textId="77777777" w:rsidR="00640933" w:rsidRDefault="00000000">
      <w:pPr>
        <w:spacing w:after="40"/>
        <w:jc w:val="center"/>
        <w:rPr>
          <w:lang w:eastAsia="zh-CN"/>
        </w:rPr>
      </w:pPr>
      <w:r>
        <w:rPr>
          <w:b/>
          <w:color w:val="182A3A"/>
          <w:sz w:val="46"/>
          <w:lang w:eastAsia="zh-CN"/>
        </w:rPr>
        <w:t>赵道凯</w:t>
      </w:r>
    </w:p>
    <w:p w14:paraId="1789973F" w14:textId="77777777" w:rsidR="00640933" w:rsidRDefault="00000000">
      <w:pPr>
        <w:spacing w:after="60"/>
        <w:jc w:val="center"/>
        <w:rPr>
          <w:lang w:eastAsia="zh-CN"/>
        </w:rPr>
      </w:pPr>
      <w:r>
        <w:rPr>
          <w:b/>
          <w:color w:val="127E76"/>
          <w:sz w:val="23"/>
          <w:lang w:eastAsia="zh-CN"/>
        </w:rPr>
        <w:t>高级软件测试  ·  产品质量  ·  医疗 AI 质量</w:t>
      </w:r>
    </w:p>
    <w:p w14:paraId="147C0B0E" w14:textId="77777777" w:rsidR="00640933" w:rsidRDefault="00000000">
      <w:pPr>
        <w:spacing w:after="80"/>
        <w:jc w:val="center"/>
        <w:rPr>
          <w:lang w:eastAsia="zh-CN"/>
        </w:rPr>
      </w:pPr>
      <w:r>
        <w:rPr>
          <w:color w:val="667078"/>
          <w:lang w:eastAsia="zh-CN"/>
        </w:rPr>
        <w:t>6年软件质量与交付经验  |  南京  |  手机：[待补充]  |  邮箱：[待补充]</w:t>
      </w:r>
    </w:p>
    <w:p w14:paraId="75C0D047" w14:textId="77777777" w:rsidR="00640933" w:rsidRDefault="00000000">
      <w:pPr>
        <w:pBdr>
          <w:bottom w:val="single" w:sz="12" w:space="4" w:color="127E76"/>
        </w:pBdr>
        <w:spacing w:before="160" w:after="100"/>
        <w:rPr>
          <w:lang w:eastAsia="zh-CN"/>
        </w:rPr>
      </w:pPr>
      <w:r>
        <w:rPr>
          <w:b/>
          <w:color w:val="182A3A"/>
          <w:sz w:val="27"/>
          <w:lang w:eastAsia="zh-CN"/>
        </w:rPr>
        <w:t>职业概况</w:t>
      </w:r>
    </w:p>
    <w:p w14:paraId="01033CD7" w14:textId="77777777" w:rsidR="00640933" w:rsidRDefault="00000000">
      <w:pPr>
        <w:spacing w:after="42"/>
        <w:ind w:left="238" w:hanging="159"/>
        <w:rPr>
          <w:lang w:eastAsia="zh-CN"/>
        </w:rPr>
      </w:pPr>
      <w:r>
        <w:rPr>
          <w:b/>
          <w:color w:val="127E76"/>
          <w:lang w:eastAsia="zh-CN"/>
        </w:rPr>
        <w:t xml:space="preserve">• </w:t>
      </w:r>
      <w:r>
        <w:rPr>
          <w:lang w:eastAsia="zh-CN"/>
        </w:rPr>
        <w:t>6年软件测试与质量保障经验，长期服务银行核心交易、移动银行、企业网银、微信小程序、聚合收单及多方系统集成场景，熟悉从需求评审、测试设计到生产验收的完整交付链路。</w:t>
      </w:r>
    </w:p>
    <w:p w14:paraId="7441C01F" w14:textId="77777777" w:rsidR="00640933" w:rsidRDefault="00000000">
      <w:pPr>
        <w:spacing w:after="42"/>
        <w:ind w:left="238" w:hanging="159"/>
        <w:rPr>
          <w:lang w:eastAsia="zh-CN"/>
        </w:rPr>
      </w:pPr>
      <w:r>
        <w:rPr>
          <w:b/>
          <w:color w:val="127E76"/>
          <w:lang w:eastAsia="zh-CN"/>
        </w:rPr>
        <w:t xml:space="preserve">• </w:t>
      </w:r>
      <w:r>
        <w:rPr>
          <w:lang w:eastAsia="zh-CN"/>
        </w:rPr>
        <w:t>擅长复杂交易逻辑与异常链路验证，覆盖超时、失败重试、冲正、清算、对账、幂等、鉴权、权限及敏感信息保护等高风险场景。</w:t>
      </w:r>
    </w:p>
    <w:p w14:paraId="19745210" w14:textId="77777777" w:rsidR="00640933" w:rsidRDefault="00000000">
      <w:pPr>
        <w:spacing w:after="42"/>
        <w:ind w:left="238" w:hanging="159"/>
        <w:rPr>
          <w:lang w:eastAsia="zh-CN"/>
        </w:rPr>
      </w:pPr>
      <w:r>
        <w:rPr>
          <w:b/>
          <w:color w:val="127E76"/>
          <w:lang w:eastAsia="zh-CN"/>
        </w:rPr>
        <w:t xml:space="preserve">• </w:t>
      </w:r>
      <w:r>
        <w:rPr>
          <w:lang w:eastAsia="zh-CN"/>
        </w:rPr>
        <w:t>具备移动端、Web端、接口联调及UI自动化实践；能够通过请求/响应报文、Android设备日志和业务状态差异定位问题并推动跨团队闭环。</w:t>
      </w:r>
    </w:p>
    <w:p w14:paraId="1E7CE4F0" w14:textId="77777777" w:rsidR="00640933" w:rsidRDefault="00000000">
      <w:pPr>
        <w:spacing w:after="42"/>
        <w:ind w:left="238" w:hanging="159"/>
        <w:rPr>
          <w:lang w:eastAsia="zh-CN"/>
        </w:rPr>
      </w:pPr>
      <w:r>
        <w:rPr>
          <w:b/>
          <w:color w:val="127E76"/>
          <w:lang w:eastAsia="zh-CN"/>
        </w:rPr>
        <w:t xml:space="preserve">• </w:t>
      </w:r>
      <w:r>
        <w:rPr>
          <w:lang w:eastAsia="zh-CN"/>
        </w:rPr>
        <w:t>具备产品设计与上线实践，持续建设家庭健康管理产品，能够从用户价值、技术可行性、产品质量和上线风险四个维度推动AI产品落地。</w:t>
      </w:r>
    </w:p>
    <w:p w14:paraId="38679CB6" w14:textId="77777777" w:rsidR="00640933" w:rsidRDefault="00000000">
      <w:pPr>
        <w:pBdr>
          <w:bottom w:val="single" w:sz="12" w:space="4" w:color="127E76"/>
        </w:pBdr>
        <w:spacing w:before="160" w:after="100"/>
      </w:pPr>
      <w:proofErr w:type="spellStart"/>
      <w:r>
        <w:rPr>
          <w:b/>
          <w:color w:val="182A3A"/>
          <w:sz w:val="27"/>
        </w:rPr>
        <w:t>核心能力</w:t>
      </w:r>
      <w:proofErr w:type="spellEnd"/>
    </w:p>
    <w:tbl>
      <w:tblPr>
        <w:tblW w:w="0" w:type="auto"/>
        <w:jc w:val="center"/>
        <w:tblBorders>
          <w:top w:val="single" w:sz="4" w:space="0" w:color="DCE5E6"/>
          <w:left w:val="single" w:sz="4" w:space="0" w:color="DCE5E6"/>
          <w:bottom w:val="single" w:sz="4" w:space="0" w:color="DCE5E6"/>
          <w:right w:val="single" w:sz="4" w:space="0" w:color="DCE5E6"/>
          <w:insideH w:val="single" w:sz="4" w:space="0" w:color="DCE5E6"/>
          <w:insideV w:val="single" w:sz="4" w:space="0" w:color="DCE5E6"/>
        </w:tblBorders>
        <w:tblLayout w:type="fixed"/>
        <w:tblLook w:val="04A0" w:firstRow="1" w:lastRow="0" w:firstColumn="1" w:lastColumn="0" w:noHBand="0" w:noVBand="1"/>
      </w:tblPr>
      <w:tblGrid>
        <w:gridCol w:w="4932"/>
        <w:gridCol w:w="4932"/>
      </w:tblGrid>
      <w:tr w:rsidR="00640933" w14:paraId="3FEBDDDF" w14:textId="77777777">
        <w:trPr>
          <w:jc w:val="center"/>
        </w:trPr>
        <w:tc>
          <w:tcPr>
            <w:tcW w:w="4932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9F3BD91" w14:textId="77777777" w:rsidR="00640933" w:rsidRDefault="00000000">
            <w:pPr>
              <w:spacing w:after="20"/>
              <w:rPr>
                <w:lang w:eastAsia="zh-CN"/>
              </w:rPr>
            </w:pPr>
            <w:r>
              <w:rPr>
                <w:b/>
                <w:color w:val="127E76"/>
                <w:sz w:val="19"/>
                <w:lang w:eastAsia="zh-CN"/>
              </w:rPr>
              <w:t>测试设计</w:t>
            </w:r>
          </w:p>
          <w:p w14:paraId="16BC6082" w14:textId="77777777" w:rsidR="00640933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需求评审｜测试计划｜功能/回归/验收｜边界与异常场景</w:t>
            </w:r>
          </w:p>
        </w:tc>
        <w:tc>
          <w:tcPr>
            <w:tcW w:w="4932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3CF263B" w14:textId="77777777" w:rsidR="00640933" w:rsidRDefault="00000000">
            <w:pPr>
              <w:spacing w:after="20"/>
              <w:rPr>
                <w:lang w:eastAsia="zh-CN"/>
              </w:rPr>
            </w:pPr>
            <w:r>
              <w:rPr>
                <w:b/>
                <w:color w:val="127E76"/>
                <w:sz w:val="19"/>
                <w:lang w:eastAsia="zh-CN"/>
              </w:rPr>
              <w:t>接口与集成</w:t>
            </w:r>
          </w:p>
          <w:p w14:paraId="4CFA7874" w14:textId="77777777" w:rsidR="00640933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报文与字段校验｜签名/Token/权限｜超时/重试/幂等｜三方联调</w:t>
            </w:r>
          </w:p>
        </w:tc>
      </w:tr>
      <w:tr w:rsidR="00640933" w14:paraId="5EB00807" w14:textId="77777777">
        <w:trPr>
          <w:jc w:val="center"/>
        </w:trPr>
        <w:tc>
          <w:tcPr>
            <w:tcW w:w="4932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6AB84C9" w14:textId="77777777" w:rsidR="00640933" w:rsidRDefault="00000000">
            <w:pPr>
              <w:spacing w:after="20"/>
              <w:rPr>
                <w:lang w:eastAsia="zh-CN"/>
              </w:rPr>
            </w:pPr>
            <w:r>
              <w:rPr>
                <w:b/>
                <w:color w:val="127E76"/>
                <w:sz w:val="19"/>
                <w:lang w:eastAsia="zh-CN"/>
              </w:rPr>
              <w:t>金融业务</w:t>
            </w:r>
          </w:p>
          <w:p w14:paraId="0D11E585" w14:textId="77777777" w:rsidR="00640933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核心记账｜资金划转｜冲正/清算/对账｜银行渠道与聚合收单</w:t>
            </w:r>
          </w:p>
        </w:tc>
        <w:tc>
          <w:tcPr>
            <w:tcW w:w="4932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29ED246" w14:textId="77777777" w:rsidR="00640933" w:rsidRDefault="00000000">
            <w:pPr>
              <w:spacing w:after="20"/>
            </w:pPr>
            <w:proofErr w:type="spellStart"/>
            <w:r>
              <w:rPr>
                <w:b/>
                <w:color w:val="127E76"/>
                <w:sz w:val="19"/>
              </w:rPr>
              <w:t>移动端质量</w:t>
            </w:r>
            <w:proofErr w:type="spellEnd"/>
          </w:p>
          <w:p w14:paraId="21F56853" w14:textId="77777777" w:rsidR="00640933" w:rsidRDefault="00000000">
            <w:pPr>
              <w:spacing w:after="0"/>
            </w:pPr>
            <w:r>
              <w:rPr>
                <w:sz w:val="17"/>
              </w:rPr>
              <w:t>Android/Web/App测试｜交互一致性｜设备日志定位｜版本验收</w:t>
            </w:r>
          </w:p>
        </w:tc>
      </w:tr>
      <w:tr w:rsidR="00640933" w14:paraId="61F8A8E1" w14:textId="77777777">
        <w:trPr>
          <w:jc w:val="center"/>
        </w:trPr>
        <w:tc>
          <w:tcPr>
            <w:tcW w:w="4932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230D727" w14:textId="77777777" w:rsidR="00640933" w:rsidRDefault="00000000">
            <w:pPr>
              <w:spacing w:after="20"/>
              <w:rPr>
                <w:lang w:eastAsia="zh-CN"/>
              </w:rPr>
            </w:pPr>
            <w:r>
              <w:rPr>
                <w:b/>
                <w:color w:val="127E76"/>
                <w:sz w:val="19"/>
                <w:lang w:eastAsia="zh-CN"/>
              </w:rPr>
              <w:t>自动化意识</w:t>
            </w:r>
          </w:p>
          <w:p w14:paraId="46BAA824" w14:textId="77777777" w:rsidR="00640933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参与UI自动化体系与测试框架建设｜高频场景回归脚本</w:t>
            </w:r>
          </w:p>
        </w:tc>
        <w:tc>
          <w:tcPr>
            <w:tcW w:w="4932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1D15708" w14:textId="77777777" w:rsidR="00640933" w:rsidRDefault="00000000">
            <w:pPr>
              <w:spacing w:after="20"/>
              <w:rPr>
                <w:lang w:eastAsia="zh-CN"/>
              </w:rPr>
            </w:pPr>
            <w:r>
              <w:rPr>
                <w:b/>
                <w:color w:val="127E76"/>
                <w:sz w:val="19"/>
                <w:lang w:eastAsia="zh-CN"/>
              </w:rPr>
              <w:t>产品与交付</w:t>
            </w:r>
          </w:p>
          <w:p w14:paraId="57047B3D" w14:textId="77777777" w:rsidR="00640933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需求拆解｜功能设计｜研发协同｜测试验收｜上线与持续迭代</w:t>
            </w:r>
          </w:p>
        </w:tc>
      </w:tr>
    </w:tbl>
    <w:p w14:paraId="1B73A8CA" w14:textId="77777777" w:rsidR="00640933" w:rsidRDefault="00000000">
      <w:pPr>
        <w:pBdr>
          <w:bottom w:val="single" w:sz="12" w:space="4" w:color="127E76"/>
        </w:pBdr>
        <w:spacing w:before="160" w:after="100"/>
      </w:pPr>
      <w:proofErr w:type="spellStart"/>
      <w:r>
        <w:rPr>
          <w:b/>
          <w:color w:val="182A3A"/>
          <w:sz w:val="27"/>
        </w:rPr>
        <w:t>工作经历</w:t>
      </w:r>
      <w:proofErr w:type="spellEnd"/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649"/>
        <w:gridCol w:w="2891"/>
        <w:gridCol w:w="2324"/>
      </w:tblGrid>
      <w:tr w:rsidR="00640933" w14:paraId="2A8A046F" w14:textId="77777777">
        <w:tc>
          <w:tcPr>
            <w:tcW w:w="4649" w:type="dxa"/>
            <w:tcMar>
              <w:top w:w="0" w:type="dxa"/>
              <w:left w:w="0" w:type="dxa"/>
              <w:bottom w:w="10" w:type="dxa"/>
              <w:right w:w="0" w:type="dxa"/>
            </w:tcMar>
            <w:vAlign w:val="center"/>
          </w:tcPr>
          <w:p w14:paraId="3F1F1A2F" w14:textId="77777777" w:rsidR="00640933" w:rsidRDefault="00000000">
            <w:pPr>
              <w:spacing w:after="0"/>
              <w:rPr>
                <w:lang w:eastAsia="zh-CN"/>
              </w:rPr>
            </w:pPr>
            <w:r>
              <w:rPr>
                <w:b/>
                <w:color w:val="182A3A"/>
                <w:sz w:val="20"/>
                <w:lang w:eastAsia="zh-CN"/>
              </w:rPr>
              <w:t>紫光华山科技有限公司</w:t>
            </w:r>
          </w:p>
        </w:tc>
        <w:tc>
          <w:tcPr>
            <w:tcW w:w="2891" w:type="dxa"/>
            <w:tcMar>
              <w:top w:w="0" w:type="dxa"/>
              <w:left w:w="0" w:type="dxa"/>
              <w:bottom w:w="10" w:type="dxa"/>
              <w:right w:w="0" w:type="dxa"/>
            </w:tcMar>
            <w:vAlign w:val="center"/>
          </w:tcPr>
          <w:p w14:paraId="273C5DE2" w14:textId="77777777" w:rsidR="00640933" w:rsidRDefault="00000000">
            <w:pPr>
              <w:spacing w:after="0"/>
            </w:pPr>
            <w:proofErr w:type="spellStart"/>
            <w:r>
              <w:rPr>
                <w:color w:val="182A3A"/>
                <w:sz w:val="20"/>
              </w:rPr>
              <w:t>软件测试</w:t>
            </w:r>
            <w:proofErr w:type="spellEnd"/>
          </w:p>
        </w:tc>
        <w:tc>
          <w:tcPr>
            <w:tcW w:w="2324" w:type="dxa"/>
            <w:tcMar>
              <w:top w:w="0" w:type="dxa"/>
              <w:left w:w="0" w:type="dxa"/>
              <w:bottom w:w="10" w:type="dxa"/>
              <w:right w:w="0" w:type="dxa"/>
            </w:tcMar>
            <w:vAlign w:val="center"/>
          </w:tcPr>
          <w:p w14:paraId="51EA74A7" w14:textId="624E9F2C" w:rsidR="00640933" w:rsidRDefault="00000000">
            <w:pPr>
              <w:spacing w:after="0"/>
              <w:jc w:val="right"/>
              <w:rPr>
                <w:lang w:eastAsia="zh-CN"/>
              </w:rPr>
            </w:pPr>
            <w:r>
              <w:rPr>
                <w:color w:val="667078"/>
                <w:sz w:val="20"/>
              </w:rPr>
              <w:t>2026.02—</w:t>
            </w:r>
            <w:r w:rsidR="002503B4">
              <w:rPr>
                <w:color w:val="667078"/>
                <w:sz w:val="20"/>
              </w:rPr>
              <w:t>2026.</w:t>
            </w:r>
            <w:r w:rsidR="002503B4">
              <w:rPr>
                <w:rFonts w:hint="eastAsia"/>
                <w:color w:val="667078"/>
                <w:sz w:val="20"/>
                <w:lang w:eastAsia="zh-CN"/>
              </w:rPr>
              <w:t>06</w:t>
            </w:r>
          </w:p>
        </w:tc>
      </w:tr>
    </w:tbl>
    <w:p w14:paraId="0BD8E108" w14:textId="50936493" w:rsidR="00640933" w:rsidRDefault="00000000">
      <w:pPr>
        <w:spacing w:after="42"/>
        <w:ind w:left="238" w:hanging="159"/>
        <w:rPr>
          <w:lang w:eastAsia="zh-CN"/>
        </w:rPr>
      </w:pPr>
      <w:r>
        <w:rPr>
          <w:b/>
          <w:color w:val="127E76"/>
          <w:lang w:eastAsia="zh-CN"/>
        </w:rPr>
        <w:t xml:space="preserve">• </w:t>
      </w:r>
      <w:r>
        <w:rPr>
          <w:lang w:eastAsia="zh-CN"/>
        </w:rPr>
        <w:t>负责聚合收单团队进件宝APP、飞燕马上付及相关Web端测试，承接需求分析、测试方案与用例设计、执行验证、缺陷跟踪、测试报告、业务验证及生产验收。</w:t>
      </w:r>
    </w:p>
    <w:p w14:paraId="1A3DA70E" w14:textId="77777777" w:rsidR="00640933" w:rsidRDefault="00000000">
      <w:pPr>
        <w:spacing w:after="42"/>
        <w:ind w:left="238" w:hanging="159"/>
        <w:rPr>
          <w:lang w:eastAsia="zh-CN"/>
        </w:rPr>
      </w:pPr>
      <w:r>
        <w:rPr>
          <w:b/>
          <w:color w:val="127E76"/>
          <w:lang w:eastAsia="zh-CN"/>
        </w:rPr>
        <w:t xml:space="preserve">• </w:t>
      </w:r>
      <w:r>
        <w:rPr>
          <w:lang w:eastAsia="zh-CN"/>
        </w:rPr>
        <w:t>围绕商户进件、支付及版本发布链路梳理关键风险，推动研发、业务与测试问题闭环，保障版本按计划交付。</w:t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649"/>
        <w:gridCol w:w="2891"/>
        <w:gridCol w:w="2324"/>
      </w:tblGrid>
      <w:tr w:rsidR="00640933" w14:paraId="6B6C58C9" w14:textId="77777777">
        <w:tc>
          <w:tcPr>
            <w:tcW w:w="4649" w:type="dxa"/>
            <w:tcMar>
              <w:top w:w="0" w:type="dxa"/>
              <w:left w:w="0" w:type="dxa"/>
              <w:bottom w:w="10" w:type="dxa"/>
              <w:right w:w="0" w:type="dxa"/>
            </w:tcMar>
            <w:vAlign w:val="center"/>
          </w:tcPr>
          <w:p w14:paraId="4A3E91F0" w14:textId="77777777" w:rsidR="00640933" w:rsidRDefault="00000000">
            <w:pPr>
              <w:spacing w:after="0"/>
              <w:rPr>
                <w:lang w:eastAsia="zh-CN"/>
              </w:rPr>
            </w:pPr>
            <w:r>
              <w:rPr>
                <w:b/>
                <w:color w:val="182A3A"/>
                <w:sz w:val="20"/>
                <w:lang w:eastAsia="zh-CN"/>
              </w:rPr>
              <w:t>上海爱元通科技有限公司苏州分公司</w:t>
            </w:r>
          </w:p>
        </w:tc>
        <w:tc>
          <w:tcPr>
            <w:tcW w:w="2891" w:type="dxa"/>
            <w:tcMar>
              <w:top w:w="0" w:type="dxa"/>
              <w:left w:w="0" w:type="dxa"/>
              <w:bottom w:w="10" w:type="dxa"/>
              <w:right w:w="0" w:type="dxa"/>
            </w:tcMar>
            <w:vAlign w:val="center"/>
          </w:tcPr>
          <w:p w14:paraId="5D717376" w14:textId="77777777" w:rsidR="00640933" w:rsidRDefault="00000000">
            <w:pPr>
              <w:spacing w:after="0"/>
            </w:pPr>
            <w:proofErr w:type="spellStart"/>
            <w:r>
              <w:rPr>
                <w:color w:val="182A3A"/>
                <w:sz w:val="20"/>
              </w:rPr>
              <w:t>测试工程师</w:t>
            </w:r>
            <w:proofErr w:type="spellEnd"/>
          </w:p>
        </w:tc>
        <w:tc>
          <w:tcPr>
            <w:tcW w:w="2324" w:type="dxa"/>
            <w:tcMar>
              <w:top w:w="0" w:type="dxa"/>
              <w:left w:w="0" w:type="dxa"/>
              <w:bottom w:w="10" w:type="dxa"/>
              <w:right w:w="0" w:type="dxa"/>
            </w:tcMar>
            <w:vAlign w:val="center"/>
          </w:tcPr>
          <w:p w14:paraId="64675673" w14:textId="77777777" w:rsidR="00640933" w:rsidRDefault="00000000">
            <w:pPr>
              <w:spacing w:after="0"/>
              <w:jc w:val="right"/>
            </w:pPr>
            <w:r>
              <w:rPr>
                <w:color w:val="667078"/>
                <w:sz w:val="20"/>
              </w:rPr>
              <w:t>2021.10—2025.12</w:t>
            </w:r>
          </w:p>
        </w:tc>
      </w:tr>
    </w:tbl>
    <w:p w14:paraId="3696FD26" w14:textId="77777777" w:rsidR="00640933" w:rsidRDefault="00000000">
      <w:pPr>
        <w:spacing w:after="42"/>
        <w:ind w:left="238" w:hanging="159"/>
        <w:rPr>
          <w:lang w:eastAsia="zh-CN"/>
        </w:rPr>
      </w:pPr>
      <w:r>
        <w:rPr>
          <w:b/>
          <w:color w:val="127E76"/>
          <w:lang w:eastAsia="zh-CN"/>
        </w:rPr>
        <w:t xml:space="preserve">• </w:t>
      </w:r>
      <w:r>
        <w:rPr>
          <w:lang w:eastAsia="zh-CN"/>
        </w:rPr>
        <w:t>负责手机银行、企业网银、微信小程序及银行移动交易平台的功能、回归和验收测试，重点验证交易逻辑、账务记账与异常状态处理。</w:t>
      </w:r>
    </w:p>
    <w:p w14:paraId="597A6475" w14:textId="77777777" w:rsidR="00640933" w:rsidRDefault="00000000">
      <w:pPr>
        <w:spacing w:after="42"/>
        <w:ind w:left="238" w:hanging="159"/>
        <w:rPr>
          <w:lang w:eastAsia="zh-CN"/>
        </w:rPr>
      </w:pPr>
      <w:r>
        <w:rPr>
          <w:b/>
          <w:color w:val="127E76"/>
          <w:lang w:eastAsia="zh-CN"/>
        </w:rPr>
        <w:t xml:space="preserve">• </w:t>
      </w:r>
      <w:r>
        <w:rPr>
          <w:lang w:eastAsia="zh-CN"/>
        </w:rPr>
        <w:t>承担银联云缴费、统一公共支付、财政及房管等第三方系统接口联调，验证超时成功/失败、交易失败、重复提交、冲正、清算和对账文件处理。</w:t>
      </w:r>
    </w:p>
    <w:p w14:paraId="476CCB8C" w14:textId="77777777" w:rsidR="00640933" w:rsidRDefault="00000000">
      <w:pPr>
        <w:spacing w:after="42"/>
        <w:ind w:left="238" w:hanging="159"/>
        <w:rPr>
          <w:lang w:eastAsia="zh-CN"/>
        </w:rPr>
      </w:pPr>
      <w:r>
        <w:rPr>
          <w:b/>
          <w:color w:val="127E76"/>
          <w:lang w:eastAsia="zh-CN"/>
        </w:rPr>
        <w:t xml:space="preserve">• </w:t>
      </w:r>
      <w:r>
        <w:rPr>
          <w:lang w:eastAsia="zh-CN"/>
        </w:rPr>
        <w:t>参与UI自动化测试体系和测试框架建设，将高频核心交易场景纳入回归流程；使用Android Studio查看设备日志并辅助定位问题。</w:t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649"/>
        <w:gridCol w:w="2891"/>
        <w:gridCol w:w="2324"/>
      </w:tblGrid>
      <w:tr w:rsidR="00640933" w14:paraId="3840A9F8" w14:textId="77777777">
        <w:tc>
          <w:tcPr>
            <w:tcW w:w="4649" w:type="dxa"/>
            <w:tcMar>
              <w:top w:w="0" w:type="dxa"/>
              <w:left w:w="0" w:type="dxa"/>
              <w:bottom w:w="10" w:type="dxa"/>
              <w:right w:w="0" w:type="dxa"/>
            </w:tcMar>
            <w:vAlign w:val="center"/>
          </w:tcPr>
          <w:p w14:paraId="33C99B0B" w14:textId="77777777" w:rsidR="00640933" w:rsidRDefault="00000000">
            <w:pPr>
              <w:spacing w:after="0"/>
              <w:rPr>
                <w:lang w:eastAsia="zh-CN"/>
              </w:rPr>
            </w:pPr>
            <w:r>
              <w:rPr>
                <w:b/>
                <w:color w:val="182A3A"/>
                <w:sz w:val="20"/>
                <w:lang w:eastAsia="zh-CN"/>
              </w:rPr>
              <w:t>上海泽众软件有限公司</w:t>
            </w:r>
          </w:p>
        </w:tc>
        <w:tc>
          <w:tcPr>
            <w:tcW w:w="2891" w:type="dxa"/>
            <w:tcMar>
              <w:top w:w="0" w:type="dxa"/>
              <w:left w:w="0" w:type="dxa"/>
              <w:bottom w:w="10" w:type="dxa"/>
              <w:right w:w="0" w:type="dxa"/>
            </w:tcMar>
            <w:vAlign w:val="center"/>
          </w:tcPr>
          <w:p w14:paraId="584DBF06" w14:textId="214ECCA5" w:rsidR="00640933" w:rsidRDefault="00000000">
            <w:pPr>
              <w:spacing w:after="0"/>
              <w:rPr>
                <w:rFonts w:hint="eastAsia"/>
                <w:lang w:eastAsia="zh-CN"/>
              </w:rPr>
            </w:pPr>
            <w:r>
              <w:rPr>
                <w:color w:val="182A3A"/>
                <w:sz w:val="20"/>
                <w:lang w:eastAsia="zh-CN"/>
              </w:rPr>
              <w:t>测试工程师</w:t>
            </w:r>
          </w:p>
        </w:tc>
        <w:tc>
          <w:tcPr>
            <w:tcW w:w="2324" w:type="dxa"/>
            <w:tcMar>
              <w:top w:w="0" w:type="dxa"/>
              <w:left w:w="0" w:type="dxa"/>
              <w:bottom w:w="10" w:type="dxa"/>
              <w:right w:w="0" w:type="dxa"/>
            </w:tcMar>
            <w:vAlign w:val="center"/>
          </w:tcPr>
          <w:p w14:paraId="39A634B4" w14:textId="77777777" w:rsidR="00640933" w:rsidRDefault="00000000">
            <w:pPr>
              <w:spacing w:after="0"/>
              <w:jc w:val="right"/>
            </w:pPr>
            <w:r>
              <w:rPr>
                <w:color w:val="667078"/>
                <w:sz w:val="20"/>
              </w:rPr>
              <w:t>2020.07—2021.09</w:t>
            </w:r>
          </w:p>
        </w:tc>
      </w:tr>
    </w:tbl>
    <w:p w14:paraId="23C55B00" w14:textId="77777777" w:rsidR="00640933" w:rsidRDefault="00000000">
      <w:pPr>
        <w:spacing w:after="42"/>
        <w:ind w:left="238" w:hanging="159"/>
        <w:rPr>
          <w:lang w:eastAsia="zh-CN"/>
        </w:rPr>
      </w:pPr>
      <w:r>
        <w:rPr>
          <w:b/>
          <w:color w:val="127E76"/>
          <w:lang w:eastAsia="zh-CN"/>
        </w:rPr>
        <w:t xml:space="preserve">• </w:t>
      </w:r>
      <w:r>
        <w:rPr>
          <w:lang w:eastAsia="zh-CN"/>
        </w:rPr>
        <w:t>参与银行柜面、ESB服务治理及运营管理平台测试，编写测试计划与用例，执行功能测试、回归测试和项目验收。</w:t>
      </w:r>
    </w:p>
    <w:p w14:paraId="6540C28C" w14:textId="77777777" w:rsidR="00640933" w:rsidRDefault="00000000">
      <w:pPr>
        <w:spacing w:after="42"/>
        <w:ind w:left="238" w:hanging="159"/>
        <w:rPr>
          <w:lang w:eastAsia="zh-CN"/>
        </w:rPr>
      </w:pPr>
      <w:r>
        <w:rPr>
          <w:b/>
          <w:color w:val="127E76"/>
          <w:lang w:eastAsia="zh-CN"/>
        </w:rPr>
        <w:t xml:space="preserve">• </w:t>
      </w:r>
      <w:r>
        <w:rPr>
          <w:lang w:eastAsia="zh-CN"/>
        </w:rPr>
        <w:t>覆盖服务全生命周期、机构/柜员/渠道运营统计及风险预警等场景，配合业务完成生产验收。</w:t>
      </w:r>
    </w:p>
    <w:p w14:paraId="007473DE" w14:textId="77777777" w:rsidR="00640933" w:rsidRDefault="00000000">
      <w:pPr>
        <w:pageBreakBefore/>
        <w:pBdr>
          <w:bottom w:val="single" w:sz="12" w:space="4" w:color="127E76"/>
        </w:pBdr>
        <w:spacing w:before="160" w:after="100"/>
        <w:rPr>
          <w:lang w:eastAsia="zh-CN"/>
        </w:rPr>
      </w:pPr>
      <w:r>
        <w:rPr>
          <w:b/>
          <w:color w:val="182A3A"/>
          <w:sz w:val="27"/>
          <w:lang w:eastAsia="zh-CN"/>
        </w:rPr>
        <w:lastRenderedPageBreak/>
        <w:t>医疗AI产品与质量实践</w:t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649"/>
        <w:gridCol w:w="2891"/>
        <w:gridCol w:w="2324"/>
      </w:tblGrid>
      <w:tr w:rsidR="00640933" w14:paraId="1C2D170B" w14:textId="77777777">
        <w:tc>
          <w:tcPr>
            <w:tcW w:w="4649" w:type="dxa"/>
            <w:tcMar>
              <w:top w:w="0" w:type="dxa"/>
              <w:left w:w="0" w:type="dxa"/>
              <w:bottom w:w="10" w:type="dxa"/>
              <w:right w:w="0" w:type="dxa"/>
            </w:tcMar>
            <w:vAlign w:val="center"/>
          </w:tcPr>
          <w:p w14:paraId="0E8DBA8F" w14:textId="77777777" w:rsidR="00640933" w:rsidRDefault="00000000">
            <w:pPr>
              <w:spacing w:after="0"/>
            </w:pPr>
            <w:proofErr w:type="spellStart"/>
            <w:r>
              <w:rPr>
                <w:b/>
                <w:color w:val="182A3A"/>
                <w:sz w:val="20"/>
              </w:rPr>
              <w:t>Look健康｜家庭健康管理产品</w:t>
            </w:r>
            <w:proofErr w:type="spellEnd"/>
          </w:p>
        </w:tc>
        <w:tc>
          <w:tcPr>
            <w:tcW w:w="2891" w:type="dxa"/>
            <w:tcMar>
              <w:top w:w="0" w:type="dxa"/>
              <w:left w:w="0" w:type="dxa"/>
              <w:bottom w:w="10" w:type="dxa"/>
              <w:right w:w="0" w:type="dxa"/>
            </w:tcMar>
            <w:vAlign w:val="center"/>
          </w:tcPr>
          <w:p w14:paraId="6E3AA82F" w14:textId="77777777" w:rsidR="00640933" w:rsidRDefault="00000000">
            <w:pPr>
              <w:spacing w:after="0"/>
            </w:pPr>
            <w:r>
              <w:rPr>
                <w:color w:val="182A3A"/>
                <w:sz w:val="20"/>
              </w:rPr>
              <w:t>产品设计与质量实践</w:t>
            </w:r>
          </w:p>
        </w:tc>
        <w:tc>
          <w:tcPr>
            <w:tcW w:w="2324" w:type="dxa"/>
            <w:tcMar>
              <w:top w:w="0" w:type="dxa"/>
              <w:left w:w="0" w:type="dxa"/>
              <w:bottom w:w="10" w:type="dxa"/>
              <w:right w:w="0" w:type="dxa"/>
            </w:tcMar>
            <w:vAlign w:val="center"/>
          </w:tcPr>
          <w:p w14:paraId="5B530D2B" w14:textId="77777777" w:rsidR="00640933" w:rsidRDefault="00000000">
            <w:pPr>
              <w:spacing w:after="0"/>
              <w:jc w:val="right"/>
            </w:pPr>
            <w:r>
              <w:rPr>
                <w:color w:val="667078"/>
                <w:sz w:val="20"/>
              </w:rPr>
              <w:t>持续迭代</w:t>
            </w:r>
          </w:p>
        </w:tc>
      </w:tr>
    </w:tbl>
    <w:p w14:paraId="08D9D478" w14:textId="77777777" w:rsidR="00640933" w:rsidRDefault="00000000">
      <w:pPr>
        <w:spacing w:after="42"/>
        <w:ind w:left="238" w:hanging="159"/>
        <w:rPr>
          <w:lang w:eastAsia="zh-CN"/>
        </w:rPr>
      </w:pPr>
      <w:r>
        <w:rPr>
          <w:b/>
          <w:color w:val="127E76"/>
          <w:lang w:eastAsia="zh-CN"/>
        </w:rPr>
        <w:t xml:space="preserve">• </w:t>
      </w:r>
      <w:r>
        <w:rPr>
          <w:lang w:eastAsia="zh-CN"/>
        </w:rPr>
        <w:t>围绕家庭成员建立健康档案体系，覆盖成员管理与共享、医疗报告上传、OCR识别、AI结构化抽取、报告解读、健康时间线、用药/药箱、任务提醒及Apple健康数据。</w:t>
      </w:r>
    </w:p>
    <w:p w14:paraId="27B8C069" w14:textId="77777777" w:rsidR="00640933" w:rsidRDefault="00000000">
      <w:pPr>
        <w:spacing w:after="42"/>
        <w:ind w:left="238" w:hanging="159"/>
        <w:rPr>
          <w:lang w:eastAsia="zh-CN"/>
        </w:rPr>
      </w:pPr>
      <w:r>
        <w:rPr>
          <w:b/>
          <w:color w:val="127E76"/>
          <w:lang w:eastAsia="zh-CN"/>
        </w:rPr>
        <w:t xml:space="preserve">• </w:t>
      </w:r>
      <w:r>
        <w:rPr>
          <w:lang w:eastAsia="zh-CN"/>
        </w:rPr>
        <w:t>完成从需求梳理、信息架构、功能设计、研发实现协同、测试验收到上线迭代的完整闭环，并持续对标讯飞晓医、春雨医生等互联网医疗产品。</w:t>
      </w:r>
    </w:p>
    <w:p w14:paraId="75BA3430" w14:textId="77777777" w:rsidR="00640933" w:rsidRDefault="00000000">
      <w:pPr>
        <w:spacing w:after="42"/>
        <w:ind w:left="238" w:hanging="159"/>
        <w:rPr>
          <w:lang w:eastAsia="zh-CN"/>
        </w:rPr>
      </w:pPr>
      <w:r>
        <w:rPr>
          <w:b/>
          <w:color w:val="127E76"/>
          <w:lang w:eastAsia="zh-CN"/>
        </w:rPr>
        <w:t xml:space="preserve">• </w:t>
      </w:r>
      <w:r>
        <w:rPr>
          <w:lang w:eastAsia="zh-CN"/>
        </w:rPr>
        <w:t>重点设计成员数据隔离、权限控制、上传与识别失败恢复、医疗敏感信息保护、跨端同步及AI风险提示等高风险测试场景。</w:t>
      </w:r>
    </w:p>
    <w:p w14:paraId="0371108C" w14:textId="77777777" w:rsidR="00640933" w:rsidRDefault="00000000">
      <w:pPr>
        <w:spacing w:after="42"/>
        <w:ind w:left="238" w:hanging="159"/>
        <w:rPr>
          <w:lang w:eastAsia="zh-CN"/>
        </w:rPr>
      </w:pPr>
      <w:r>
        <w:rPr>
          <w:b/>
          <w:color w:val="127E76"/>
          <w:lang w:eastAsia="zh-CN"/>
        </w:rPr>
        <w:t xml:space="preserve">• </w:t>
      </w:r>
      <w:r>
        <w:rPr>
          <w:lang w:eastAsia="zh-CN"/>
        </w:rPr>
        <w:t>将AI回答与真实健康资料、结构化卡片和任务提醒连接，探索“报告整理—通俗解读—保存档案—生成行动—复查对比”的产品闭环。</w:t>
      </w:r>
    </w:p>
    <w:p w14:paraId="23948F1F" w14:textId="77777777" w:rsidR="00640933" w:rsidRDefault="00000000">
      <w:pPr>
        <w:pBdr>
          <w:bottom w:val="single" w:sz="12" w:space="4" w:color="127E76"/>
        </w:pBdr>
        <w:spacing w:before="160" w:after="100"/>
      </w:pPr>
      <w:proofErr w:type="spellStart"/>
      <w:r>
        <w:rPr>
          <w:b/>
          <w:color w:val="182A3A"/>
          <w:sz w:val="27"/>
        </w:rPr>
        <w:t>代表项目</w:t>
      </w:r>
      <w:proofErr w:type="spellEnd"/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649"/>
        <w:gridCol w:w="2891"/>
        <w:gridCol w:w="2324"/>
      </w:tblGrid>
      <w:tr w:rsidR="00640933" w14:paraId="3DE07F90" w14:textId="77777777">
        <w:tc>
          <w:tcPr>
            <w:tcW w:w="4649" w:type="dxa"/>
            <w:tcMar>
              <w:top w:w="0" w:type="dxa"/>
              <w:left w:w="0" w:type="dxa"/>
              <w:bottom w:w="10" w:type="dxa"/>
              <w:right w:w="0" w:type="dxa"/>
            </w:tcMar>
            <w:vAlign w:val="center"/>
          </w:tcPr>
          <w:p w14:paraId="15435DF3" w14:textId="77777777" w:rsidR="00640933" w:rsidRDefault="00000000">
            <w:pPr>
              <w:spacing w:after="0"/>
            </w:pPr>
            <w:r>
              <w:rPr>
                <w:b/>
                <w:color w:val="182A3A"/>
                <w:sz w:val="20"/>
              </w:rPr>
              <w:t>统一作战平台（Android）</w:t>
            </w:r>
          </w:p>
        </w:tc>
        <w:tc>
          <w:tcPr>
            <w:tcW w:w="2891" w:type="dxa"/>
            <w:tcMar>
              <w:top w:w="0" w:type="dxa"/>
              <w:left w:w="0" w:type="dxa"/>
              <w:bottom w:w="10" w:type="dxa"/>
              <w:right w:w="0" w:type="dxa"/>
            </w:tcMar>
            <w:vAlign w:val="center"/>
          </w:tcPr>
          <w:p w14:paraId="5477E3E8" w14:textId="77777777" w:rsidR="00640933" w:rsidRDefault="00000000">
            <w:pPr>
              <w:spacing w:after="0"/>
            </w:pPr>
            <w:r>
              <w:rPr>
                <w:color w:val="182A3A"/>
                <w:sz w:val="20"/>
              </w:rPr>
              <w:t>测试兼产品助理</w:t>
            </w:r>
          </w:p>
        </w:tc>
        <w:tc>
          <w:tcPr>
            <w:tcW w:w="2324" w:type="dxa"/>
            <w:tcMar>
              <w:top w:w="0" w:type="dxa"/>
              <w:left w:w="0" w:type="dxa"/>
              <w:bottom w:w="10" w:type="dxa"/>
              <w:right w:w="0" w:type="dxa"/>
            </w:tcMar>
            <w:vAlign w:val="center"/>
          </w:tcPr>
          <w:p w14:paraId="166F10B4" w14:textId="7797D791" w:rsidR="00640933" w:rsidRDefault="00000000">
            <w:pPr>
              <w:spacing w:after="0"/>
              <w:jc w:val="right"/>
            </w:pPr>
            <w:r>
              <w:rPr>
                <w:color w:val="667078"/>
                <w:sz w:val="20"/>
              </w:rPr>
              <w:t>2025.01—2025.12</w:t>
            </w:r>
            <w:r w:rsidR="00F859D6">
              <w:rPr>
                <w:rFonts w:hint="eastAsia"/>
                <w:color w:val="667078"/>
                <w:sz w:val="20"/>
                <w:lang w:eastAsia="zh-CN"/>
              </w:rPr>
            </w:r>
            <w:r>
              <w:rPr>
                <w:color w:val="667078"/>
                <w:sz w:val="20"/>
              </w:rPr>
            </w:r>
          </w:p>
        </w:tc>
      </w:tr>
    </w:tbl>
    <w:p w14:paraId="688A9DAA" w14:textId="77777777" w:rsidR="00640933" w:rsidRDefault="00000000">
      <w:pPr>
        <w:spacing w:after="44"/>
        <w:rPr>
          <w:lang w:eastAsia="zh-CN"/>
        </w:rPr>
      </w:pPr>
      <w:r>
        <w:rPr>
          <w:b/>
          <w:color w:val="182A3A"/>
          <w:lang w:eastAsia="zh-CN"/>
        </w:rPr>
        <w:t>项目背景：银行核心业务移动交易平台，覆盖存款购买、对私转账汇款、对公开户和账户信息维护等高频柜面场景。</w:t>
      </w:r>
      <w:r>
        <w:rPr>
          <w:lang w:eastAsia="zh-CN"/>
        </w:rPr>
      </w:r>
    </w:p>
    <w:p w14:paraId="28CF613E" w14:textId="77777777" w:rsidR="00640933" w:rsidRDefault="00000000">
      <w:pPr>
        <w:spacing w:after="44"/>
        <w:rPr>
          <w:lang w:eastAsia="zh-CN"/>
        </w:rPr>
      </w:pPr>
      <w:r>
        <w:rPr>
          <w:b/>
          <w:color w:val="182A3A"/>
          <w:lang w:eastAsia="zh-CN"/>
        </w:rPr>
        <w:t>产品协作：协助产品经理收集并梳理业务需求，参与需求评审，整理业务流程、异常规则和验收标准；跟踪需求变更，推动业务、研发与测试团队对需求理解达成一致。</w:t>
      </w:r>
      <w:r>
        <w:rPr>
          <w:lang w:eastAsia="zh-CN"/>
        </w:rPr>
      </w:r>
    </w:p>
    <w:p w14:paraId="36D2633D" w14:textId="77777777" w:rsidR="00640933" w:rsidRDefault="00000000">
      <w:pPr>
        <w:spacing w:after="44"/>
        <w:rPr>
          <w:lang w:eastAsia="zh-CN"/>
        </w:rPr>
      </w:pPr>
      <w:r>
        <w:rPr>
          <w:b/>
          <w:color w:val="182A3A"/>
          <w:lang w:eastAsia="zh-CN"/>
        </w:rPr>
        <w:t>测试与交付：负责Android端功能、接口、兼容性及回归测试，覆盖正常、异常和边界场景，重点验证账户、资金划转、冲正、限额、权限及清算逻辑；协助版本验收、上线问题跟踪与闭环，并通过设备日志辅助定位问题。</w:t>
      </w:r>
      <w:r>
        <w:rPr>
          <w:lang w:eastAsia="zh-CN"/>
        </w:rPr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649"/>
        <w:gridCol w:w="2891"/>
        <w:gridCol w:w="2324"/>
      </w:tblGrid>
      <w:tr w:rsidR="00640933" w14:paraId="3F173EEC" w14:textId="77777777">
        <w:tc>
          <w:tcPr>
            <w:tcW w:w="4649" w:type="dxa"/>
            <w:tcMar>
              <w:top w:w="0" w:type="dxa"/>
              <w:left w:w="0" w:type="dxa"/>
              <w:bottom w:w="10" w:type="dxa"/>
              <w:right w:w="0" w:type="dxa"/>
            </w:tcMar>
            <w:vAlign w:val="center"/>
          </w:tcPr>
          <w:p w14:paraId="4035DB39" w14:textId="77777777" w:rsidR="00640933" w:rsidRDefault="00000000">
            <w:pPr>
              <w:spacing w:after="0"/>
              <w:rPr>
                <w:lang w:eastAsia="zh-CN"/>
              </w:rPr>
            </w:pPr>
            <w:r>
              <w:rPr>
                <w:b/>
                <w:color w:val="182A3A"/>
                <w:sz w:val="20"/>
                <w:lang w:eastAsia="zh-CN"/>
              </w:rPr>
              <w:t>中间业务系统对接项目</w:t>
            </w:r>
          </w:p>
        </w:tc>
        <w:tc>
          <w:tcPr>
            <w:tcW w:w="2891" w:type="dxa"/>
            <w:tcMar>
              <w:top w:w="0" w:type="dxa"/>
              <w:left w:w="0" w:type="dxa"/>
              <w:bottom w:w="10" w:type="dxa"/>
              <w:right w:w="0" w:type="dxa"/>
            </w:tcMar>
            <w:vAlign w:val="center"/>
          </w:tcPr>
          <w:p w14:paraId="6D27FF28" w14:textId="77777777" w:rsidR="00640933" w:rsidRDefault="00000000">
            <w:pPr>
              <w:spacing w:after="0"/>
            </w:pPr>
            <w:proofErr w:type="spellStart"/>
            <w:r>
              <w:rPr>
                <w:color w:val="182A3A"/>
                <w:sz w:val="20"/>
              </w:rPr>
              <w:t>测试工程师</w:t>
            </w:r>
            <w:proofErr w:type="spellEnd"/>
          </w:p>
        </w:tc>
        <w:tc>
          <w:tcPr>
            <w:tcW w:w="2324" w:type="dxa"/>
            <w:tcMar>
              <w:top w:w="0" w:type="dxa"/>
              <w:left w:w="0" w:type="dxa"/>
              <w:bottom w:w="10" w:type="dxa"/>
              <w:right w:w="0" w:type="dxa"/>
            </w:tcMar>
            <w:vAlign w:val="center"/>
          </w:tcPr>
          <w:p w14:paraId="32749F7D" w14:textId="35059C6E" w:rsidR="00640933" w:rsidRDefault="00000000">
            <w:pPr>
              <w:spacing w:after="0"/>
              <w:jc w:val="right"/>
            </w:pPr>
            <w:r>
              <w:rPr>
                <w:color w:val="667078"/>
                <w:sz w:val="20"/>
              </w:rPr>
              <w:t>2022.08—202</w:t>
            </w:r>
            <w:r w:rsidR="00F859D6">
              <w:rPr>
                <w:rFonts w:hint="eastAsia"/>
                <w:color w:val="667078"/>
                <w:sz w:val="20"/>
                <w:lang w:eastAsia="zh-CN"/>
              </w:rPr>
              <w:t>4</w:t>
            </w:r>
            <w:r>
              <w:rPr>
                <w:color w:val="667078"/>
                <w:sz w:val="20"/>
              </w:rPr>
              <w:t>.08</w:t>
            </w:r>
          </w:p>
        </w:tc>
      </w:tr>
    </w:tbl>
    <w:p w14:paraId="79D5CCA1" w14:textId="77777777" w:rsidR="00640933" w:rsidRDefault="00000000">
      <w:pPr>
        <w:spacing w:after="44"/>
        <w:rPr>
          <w:lang w:eastAsia="zh-CN"/>
        </w:rPr>
      </w:pPr>
      <w:r>
        <w:rPr>
          <w:b/>
          <w:color w:val="182A3A"/>
          <w:lang w:eastAsia="zh-CN"/>
        </w:rPr>
        <w:t>项目背景：</w:t>
      </w:r>
      <w:r>
        <w:rPr>
          <w:lang w:eastAsia="zh-CN"/>
        </w:rPr>
        <w:t>对接省联社、银联云缴费、公共支付、财政、房管局及水电燃气等多类外部系统。</w:t>
      </w:r>
    </w:p>
    <w:p w14:paraId="1A184815" w14:textId="77777777" w:rsidR="00640933" w:rsidRDefault="00000000">
      <w:pPr>
        <w:spacing w:after="44"/>
        <w:rPr>
          <w:lang w:eastAsia="zh-CN"/>
        </w:rPr>
      </w:pPr>
      <w:r>
        <w:rPr>
          <w:b/>
          <w:color w:val="182A3A"/>
          <w:lang w:eastAsia="zh-CN"/>
        </w:rPr>
        <w:t>质量重点：</w:t>
      </w:r>
      <w:r>
        <w:rPr>
          <w:lang w:eastAsia="zh-CN"/>
        </w:rPr>
        <w:t>覆盖请求报文、字段、签名、Token、权限、敏感字段加密与脱敏；模拟超时、重复提交和失败重试验证幂等及状态一致性。</w:t>
      </w:r>
    </w:p>
    <w:p w14:paraId="30921064" w14:textId="77777777" w:rsidR="00640933" w:rsidRDefault="00000000">
      <w:pPr>
        <w:spacing w:after="44"/>
        <w:rPr>
          <w:lang w:eastAsia="zh-CN"/>
        </w:rPr>
      </w:pPr>
      <w:r>
        <w:rPr>
          <w:b/>
          <w:color w:val="182A3A"/>
          <w:lang w:eastAsia="zh-CN"/>
        </w:rPr>
        <w:t>主要贡献：</w:t>
      </w:r>
      <w:r>
        <w:rPr>
          <w:lang w:eastAsia="zh-CN"/>
        </w:rPr>
        <w:t>参与三方联调与问题排查，定位报文及状态差异；验证大额渠道资金从过渡户到三方账户的清算流程，降低资金与对账风险。</w:t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649"/>
        <w:gridCol w:w="2891"/>
        <w:gridCol w:w="2324"/>
      </w:tblGrid>
      <w:tr w:rsidR="00640933" w14:paraId="070791F7" w14:textId="77777777">
        <w:tc>
          <w:tcPr>
            <w:tcW w:w="4649" w:type="dxa"/>
            <w:tcMar>
              <w:top w:w="0" w:type="dxa"/>
              <w:left w:w="0" w:type="dxa"/>
              <w:bottom w:w="10" w:type="dxa"/>
              <w:right w:w="0" w:type="dxa"/>
            </w:tcMar>
            <w:vAlign w:val="center"/>
          </w:tcPr>
          <w:p w14:paraId="6E8BA018" w14:textId="77777777" w:rsidR="00640933" w:rsidRDefault="00000000">
            <w:pPr>
              <w:spacing w:after="0"/>
              <w:rPr>
                <w:lang w:eastAsia="zh-CN"/>
              </w:rPr>
            </w:pPr>
            <w:r>
              <w:rPr>
                <w:b/>
                <w:color w:val="182A3A"/>
                <w:sz w:val="20"/>
                <w:lang w:eastAsia="zh-CN"/>
              </w:rPr>
              <w:t>线上渠道系统（手机银行/网银/小程序）</w:t>
            </w:r>
          </w:p>
        </w:tc>
        <w:tc>
          <w:tcPr>
            <w:tcW w:w="2891" w:type="dxa"/>
            <w:tcMar>
              <w:top w:w="0" w:type="dxa"/>
              <w:left w:w="0" w:type="dxa"/>
              <w:bottom w:w="10" w:type="dxa"/>
              <w:right w:w="0" w:type="dxa"/>
            </w:tcMar>
            <w:vAlign w:val="center"/>
          </w:tcPr>
          <w:p w14:paraId="7D89BBC4" w14:textId="77777777" w:rsidR="00640933" w:rsidRDefault="00000000">
            <w:pPr>
              <w:spacing w:after="0"/>
            </w:pPr>
            <w:proofErr w:type="spellStart"/>
            <w:r>
              <w:rPr>
                <w:color w:val="182A3A"/>
                <w:sz w:val="20"/>
              </w:rPr>
              <w:t>测试工程师</w:t>
            </w:r>
            <w:proofErr w:type="spellEnd"/>
          </w:p>
        </w:tc>
        <w:tc>
          <w:tcPr>
            <w:tcW w:w="2324" w:type="dxa"/>
            <w:tcMar>
              <w:top w:w="0" w:type="dxa"/>
              <w:left w:w="0" w:type="dxa"/>
              <w:bottom w:w="10" w:type="dxa"/>
              <w:right w:w="0" w:type="dxa"/>
            </w:tcMar>
            <w:vAlign w:val="center"/>
          </w:tcPr>
          <w:p w14:paraId="27F54292" w14:textId="77777777" w:rsidR="00640933" w:rsidRDefault="00000000">
            <w:pPr>
              <w:spacing w:after="0"/>
              <w:jc w:val="right"/>
            </w:pPr>
            <w:r>
              <w:rPr>
                <w:color w:val="667078"/>
                <w:sz w:val="20"/>
              </w:rPr>
              <w:t>2021.08—2022.08</w:t>
            </w:r>
          </w:p>
        </w:tc>
      </w:tr>
    </w:tbl>
    <w:p w14:paraId="487769AD" w14:textId="77777777" w:rsidR="00640933" w:rsidRDefault="00000000">
      <w:pPr>
        <w:spacing w:after="44"/>
        <w:rPr>
          <w:lang w:eastAsia="zh-CN"/>
        </w:rPr>
      </w:pPr>
      <w:r>
        <w:rPr>
          <w:b/>
          <w:color w:val="182A3A"/>
          <w:lang w:eastAsia="zh-CN"/>
        </w:rPr>
        <w:t>项目范围：</w:t>
      </w:r>
      <w:r>
        <w:rPr>
          <w:lang w:eastAsia="zh-CN"/>
        </w:rPr>
        <w:t>手机银行、个人/企业网银及微信小程序，覆盖存款证明、预约转账、电子医保激活、金融市场和电子银行等功能。</w:t>
      </w:r>
    </w:p>
    <w:p w14:paraId="281DED7D" w14:textId="77777777" w:rsidR="00640933" w:rsidRDefault="00000000">
      <w:pPr>
        <w:spacing w:after="44"/>
        <w:rPr>
          <w:lang w:eastAsia="zh-CN"/>
        </w:rPr>
      </w:pPr>
      <w:r>
        <w:rPr>
          <w:b/>
          <w:color w:val="182A3A"/>
          <w:lang w:eastAsia="zh-CN"/>
        </w:rPr>
        <w:t>主要贡献：</w:t>
      </w:r>
      <w:r>
        <w:rPr>
          <w:lang w:eastAsia="zh-CN"/>
        </w:rPr>
        <w:t>梳理多渠道业务流程与交易逻辑，验证UI和交互一致性；分析前后端接口数据，校验参数、返回码和字段，参与关键交易接口性能验证。</w:t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649"/>
        <w:gridCol w:w="2891"/>
        <w:gridCol w:w="2324"/>
      </w:tblGrid>
      <w:tr w:rsidR="00640933" w14:paraId="57A9BA3D" w14:textId="77777777">
        <w:tc>
          <w:tcPr>
            <w:tcW w:w="4649" w:type="dxa"/>
            <w:tcMar>
              <w:top w:w="0" w:type="dxa"/>
              <w:left w:w="0" w:type="dxa"/>
              <w:bottom w:w="10" w:type="dxa"/>
              <w:right w:w="0" w:type="dxa"/>
            </w:tcMar>
            <w:vAlign w:val="center"/>
          </w:tcPr>
          <w:p w14:paraId="1F2C8D82" w14:textId="77777777" w:rsidR="00640933" w:rsidRDefault="00000000">
            <w:pPr>
              <w:spacing w:after="0"/>
              <w:rPr>
                <w:lang w:eastAsia="zh-CN"/>
              </w:rPr>
            </w:pPr>
            <w:r>
              <w:rPr>
                <w:b/>
                <w:color w:val="182A3A"/>
                <w:sz w:val="20"/>
                <w:lang w:eastAsia="zh-CN"/>
              </w:rPr>
              <w:t>ESB服务治理与运营管理平台</w:t>
            </w:r>
          </w:p>
        </w:tc>
        <w:tc>
          <w:tcPr>
            <w:tcW w:w="2891" w:type="dxa"/>
            <w:tcMar>
              <w:top w:w="0" w:type="dxa"/>
              <w:left w:w="0" w:type="dxa"/>
              <w:bottom w:w="10" w:type="dxa"/>
              <w:right w:w="0" w:type="dxa"/>
            </w:tcMar>
            <w:vAlign w:val="center"/>
          </w:tcPr>
          <w:p w14:paraId="0B3D7771" w14:textId="77777777" w:rsidR="00640933" w:rsidRDefault="00000000">
            <w:pPr>
              <w:spacing w:after="0"/>
            </w:pPr>
            <w:proofErr w:type="spellStart"/>
            <w:r>
              <w:rPr>
                <w:color w:val="182A3A"/>
                <w:sz w:val="20"/>
              </w:rPr>
              <w:t>测试工程师</w:t>
            </w:r>
            <w:proofErr w:type="spellEnd"/>
          </w:p>
        </w:tc>
        <w:tc>
          <w:tcPr>
            <w:tcW w:w="2324" w:type="dxa"/>
            <w:tcMar>
              <w:top w:w="0" w:type="dxa"/>
              <w:left w:w="0" w:type="dxa"/>
              <w:bottom w:w="10" w:type="dxa"/>
              <w:right w:w="0" w:type="dxa"/>
            </w:tcMar>
            <w:vAlign w:val="center"/>
          </w:tcPr>
          <w:p w14:paraId="501BDAE7" w14:textId="77777777" w:rsidR="00640933" w:rsidRDefault="00000000">
            <w:pPr>
              <w:spacing w:after="0"/>
              <w:jc w:val="right"/>
            </w:pPr>
            <w:r>
              <w:rPr>
                <w:color w:val="667078"/>
                <w:sz w:val="20"/>
              </w:rPr>
              <w:t>2020.08—2021.09</w:t>
            </w:r>
          </w:p>
        </w:tc>
      </w:tr>
    </w:tbl>
    <w:p w14:paraId="255AACB3" w14:textId="77777777" w:rsidR="00640933" w:rsidRDefault="00000000">
      <w:pPr>
        <w:spacing w:after="44"/>
        <w:rPr>
          <w:lang w:eastAsia="zh-CN"/>
        </w:rPr>
      </w:pPr>
      <w:r>
        <w:rPr>
          <w:b/>
          <w:color w:val="182A3A"/>
          <w:lang w:eastAsia="zh-CN"/>
        </w:rPr>
        <w:t>项目范围：</w:t>
      </w:r>
      <w:r>
        <w:rPr>
          <w:lang w:eastAsia="zh-CN"/>
        </w:rPr>
        <w:t>覆盖服务接入、发布、投产、退役全生命周期，以及网点、柜员、自助设备和渠道运营统计与风险预警。</w:t>
      </w:r>
    </w:p>
    <w:p w14:paraId="22A01024" w14:textId="77777777" w:rsidR="00640933" w:rsidRDefault="00000000">
      <w:pPr>
        <w:spacing w:after="44"/>
        <w:rPr>
          <w:lang w:eastAsia="zh-CN"/>
        </w:rPr>
      </w:pPr>
      <w:r>
        <w:rPr>
          <w:b/>
          <w:color w:val="182A3A"/>
          <w:lang w:eastAsia="zh-CN"/>
        </w:rPr>
        <w:t>主要贡献：</w:t>
      </w:r>
      <w:r>
        <w:rPr>
          <w:lang w:eastAsia="zh-CN"/>
        </w:rPr>
        <w:t>完成需求分析、测试方案与用例、缺陷跟踪、测试报告、业务验证和生产验收。</w:t>
      </w:r>
    </w:p>
    <w:p w14:paraId="719808FF" w14:textId="77777777" w:rsidR="00640933" w:rsidRDefault="00000000">
      <w:pPr>
        <w:pBdr>
          <w:bottom w:val="single" w:sz="12" w:space="4" w:color="127E76"/>
        </w:pBdr>
        <w:spacing w:before="160" w:after="100"/>
      </w:pPr>
      <w:proofErr w:type="spellStart"/>
      <w:r>
        <w:rPr>
          <w:b/>
          <w:color w:val="182A3A"/>
          <w:sz w:val="27"/>
        </w:rPr>
        <w:t>教育经历</w:t>
      </w:r>
      <w:proofErr w:type="spellEnd"/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649"/>
        <w:gridCol w:w="2891"/>
        <w:gridCol w:w="2324"/>
      </w:tblGrid>
      <w:tr w:rsidR="00640933" w14:paraId="48FFDD3D" w14:textId="77777777">
        <w:tc>
          <w:tcPr>
            <w:tcW w:w="4649" w:type="dxa"/>
            <w:tcMar>
              <w:top w:w="0" w:type="dxa"/>
              <w:left w:w="0" w:type="dxa"/>
              <w:bottom w:w="10" w:type="dxa"/>
              <w:right w:w="0" w:type="dxa"/>
            </w:tcMar>
            <w:vAlign w:val="center"/>
          </w:tcPr>
          <w:p w14:paraId="709E0942" w14:textId="77777777" w:rsidR="00640933" w:rsidRDefault="00000000">
            <w:pPr>
              <w:spacing w:after="0"/>
            </w:pPr>
            <w:r>
              <w:rPr>
                <w:b/>
                <w:color w:val="182A3A"/>
                <w:sz w:val="20"/>
              </w:rPr>
              <w:t>四川农业大学</w:t>
            </w:r>
          </w:p>
        </w:tc>
        <w:tc>
          <w:tcPr>
            <w:tcW w:w="2891" w:type="dxa"/>
            <w:tcMar>
              <w:top w:w="0" w:type="dxa"/>
              <w:left w:w="0" w:type="dxa"/>
              <w:bottom w:w="10" w:type="dxa"/>
              <w:right w:w="0" w:type="dxa"/>
            </w:tcMar>
            <w:vAlign w:val="center"/>
          </w:tcPr>
          <w:p w14:paraId="79D61518" w14:textId="77777777" w:rsidR="00640933" w:rsidRDefault="00000000">
            <w:pPr>
              <w:spacing w:after="0"/>
              <w:rPr>
                <w:lang w:eastAsia="zh-CN"/>
              </w:rPr>
            </w:pPr>
            <w:r>
              <w:rPr>
                <w:color w:val="182A3A"/>
                <w:sz w:val="20"/>
                <w:lang w:eastAsia="zh-CN"/>
              </w:rPr>
              <w:t>本科｜计算机科学与技术</w:t>
            </w:r>
          </w:p>
        </w:tc>
        <w:tc>
          <w:tcPr>
            <w:tcW w:w="2324" w:type="dxa"/>
            <w:tcMar>
              <w:top w:w="0" w:type="dxa"/>
              <w:left w:w="0" w:type="dxa"/>
              <w:bottom w:w="10" w:type="dxa"/>
              <w:right w:w="0" w:type="dxa"/>
            </w:tcMar>
            <w:vAlign w:val="center"/>
          </w:tcPr>
          <w:p w14:paraId="24F43E1E" w14:textId="77777777" w:rsidR="00640933" w:rsidRDefault="00000000">
            <w:pPr>
              <w:spacing w:after="0"/>
              <w:jc w:val="right"/>
            </w:pPr>
            <w:r>
              <w:rPr>
                <w:color w:val="667078"/>
                <w:sz w:val="20"/>
              </w:rPr>
              <w:t>2021—2025</w:t>
            </w:r>
          </w:p>
        </w:tc>
      </w:tr>
      <w:tr w:rsidR="00640933" w14:paraId="15665E9F" w14:textId="77777777">
        <w:tc>
          <w:tcPr>
            <w:tcW w:w="4649" w:type="dxa"/>
            <w:tcMar>
              <w:top w:w="0" w:type="dxa"/>
              <w:left w:w="0" w:type="dxa"/>
              <w:bottom w:w="10" w:type="dxa"/>
              <w:right w:w="0" w:type="dxa"/>
            </w:tcMar>
            <w:vAlign w:val="center"/>
          </w:tcPr>
          <w:p w14:paraId="1AD74CEC" w14:textId="77777777" w:rsidR="00640933" w:rsidRDefault="00000000">
            <w:pPr>
              <w:spacing w:after="0"/>
              <w:rPr>
                <w:lang w:eastAsia="zh-CN"/>
              </w:rPr>
            </w:pPr>
            <w:r>
              <w:rPr>
                <w:b/>
                <w:color w:val="182A3A"/>
                <w:sz w:val="20"/>
                <w:lang w:eastAsia="zh-CN"/>
              </w:rPr>
              <w:t>中国石油大学（北京）</w:t>
            </w:r>
          </w:p>
        </w:tc>
        <w:tc>
          <w:tcPr>
            <w:tcW w:w="2891" w:type="dxa"/>
            <w:tcMar>
              <w:top w:w="0" w:type="dxa"/>
              <w:left w:w="0" w:type="dxa"/>
              <w:bottom w:w="10" w:type="dxa"/>
              <w:right w:w="0" w:type="dxa"/>
            </w:tcMar>
            <w:vAlign w:val="center"/>
          </w:tcPr>
          <w:p w14:paraId="50AEB274" w14:textId="77777777" w:rsidR="00640933" w:rsidRDefault="00000000">
            <w:pPr>
              <w:spacing w:after="0"/>
            </w:pPr>
            <w:proofErr w:type="spellStart"/>
            <w:r>
              <w:rPr>
                <w:color w:val="182A3A"/>
                <w:sz w:val="20"/>
              </w:rPr>
              <w:t>大专｜安全技术管理</w:t>
            </w:r>
            <w:proofErr w:type="spellEnd"/>
          </w:p>
        </w:tc>
        <w:tc>
          <w:tcPr>
            <w:tcW w:w="2324" w:type="dxa"/>
            <w:tcMar>
              <w:top w:w="0" w:type="dxa"/>
              <w:left w:w="0" w:type="dxa"/>
              <w:bottom w:w="10" w:type="dxa"/>
              <w:right w:w="0" w:type="dxa"/>
            </w:tcMar>
            <w:vAlign w:val="center"/>
          </w:tcPr>
          <w:p w14:paraId="5900F93C" w14:textId="77777777" w:rsidR="00640933" w:rsidRDefault="00000000">
            <w:pPr>
              <w:spacing w:after="0"/>
              <w:jc w:val="right"/>
            </w:pPr>
            <w:r>
              <w:rPr>
                <w:color w:val="667078"/>
                <w:sz w:val="20"/>
              </w:rPr>
              <w:t>2019—2021</w:t>
            </w:r>
          </w:p>
        </w:tc>
      </w:tr>
    </w:tbl>
    <w:p w14:paraId="1348BBDA" w14:textId="77777777" w:rsidR="00640933" w:rsidRDefault="00000000">
      <w:pPr>
        <w:pBdr>
          <w:bottom w:val="single" w:sz="12" w:space="4" w:color="127E76"/>
        </w:pBdr>
        <w:spacing w:before="160" w:after="100"/>
      </w:pPr>
      <w:r>
        <w:rPr>
          <w:b/>
          <w:color w:val="182A3A"/>
          <w:sz w:val="27"/>
        </w:rPr>
        <w:t>投递关键词</w:t>
      </w:r>
    </w:p>
    <w:p w14:paraId="685B559C" w14:textId="77777777" w:rsidR="00640933" w:rsidRDefault="00000000">
      <w:pPr>
        <w:spacing w:after="0"/>
        <w:rPr>
          <w:lang w:eastAsia="zh-CN"/>
        </w:rPr>
      </w:pPr>
      <w:r>
        <w:rPr>
          <w:color w:val="667078"/>
          <w:lang w:eastAsia="zh-CN"/>
        </w:rPr>
        <w:t>高级软件测试｜产品质量Owner｜医疗AI质量｜接口测试｜移动端测试｜金融交易测试｜AI产品验收</w:t>
      </w:r>
    </w:p>
    <w:sectPr w:rsidR="00640933" w:rsidSect="00034616">
      <w:pgSz w:w="11906" w:h="16838"/>
      <w:pgMar w:top="765" w:right="879" w:bottom="709" w:left="8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Hiragino Sans GB">
    <w:panose1 w:val="020B0300000000000000"/>
    <w:charset w:val="80"/>
    <w:family w:val="swiss"/>
    <w:pitch w:val="variable"/>
    <w:sig w:usb0="A00002BF" w:usb1="1ACF7CFA" w:usb2="00000016" w:usb3="00000000" w:csb0="00060007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70307314">
    <w:abstractNumId w:val="8"/>
  </w:num>
  <w:num w:numId="2" w16cid:durableId="1812746261">
    <w:abstractNumId w:val="6"/>
  </w:num>
  <w:num w:numId="3" w16cid:durableId="1792046775">
    <w:abstractNumId w:val="5"/>
  </w:num>
  <w:num w:numId="4" w16cid:durableId="87578612">
    <w:abstractNumId w:val="4"/>
  </w:num>
  <w:num w:numId="5" w16cid:durableId="1876889811">
    <w:abstractNumId w:val="7"/>
  </w:num>
  <w:num w:numId="6" w16cid:durableId="657921715">
    <w:abstractNumId w:val="3"/>
  </w:num>
  <w:num w:numId="7" w16cid:durableId="1730762399">
    <w:abstractNumId w:val="2"/>
  </w:num>
  <w:num w:numId="8" w16cid:durableId="170336187">
    <w:abstractNumId w:val="1"/>
  </w:num>
  <w:num w:numId="9" w16cid:durableId="651718508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3"/>
  <w:doNotDisplayPageBoundaries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E6E83"/>
    <w:rsid w:val="002503B4"/>
    <w:rsid w:val="0029639D"/>
    <w:rsid w:val="00326F90"/>
    <w:rsid w:val="00346A4E"/>
    <w:rsid w:val="00640933"/>
    <w:rsid w:val="00AA1D8D"/>
    <w:rsid w:val="00B47730"/>
    <w:rsid w:val="00CB0664"/>
    <w:rsid w:val="00D91E7A"/>
    <w:rsid w:val="00F859D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CCCEE6A"/>
  <w14:defaultImageDpi w14:val="300"/>
  <w15:docId w15:val="{E0E88074-3283-AC4F-B9DC-11EA51D9C3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56" w:line="278" w:lineRule="auto"/>
    </w:pPr>
    <w:rPr>
      <w:rFonts w:ascii="Hiragino Sans GB" w:eastAsia="Hiragino Sans GB" w:hAnsi="Hiragino Sans GB"/>
      <w:color w:val="2D343A"/>
      <w:sz w:val="1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  <w:rPr>
      <w:rFonts w:ascii="Hiragino Sans GB" w:eastAsia="Hiragino Sans GB" w:hAnsi="Hiragino Sans GB"/>
    </w:rPr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  <w:rPr>
      <w:rFonts w:ascii="Hiragino Sans GB" w:eastAsia="Hiragino Sans GB" w:hAnsi="Hiragino Sans GB"/>
    </w:rPr>
  </w:style>
  <w:style w:type="paragraph" w:styleId="a9">
    <w:name w:val="No Spacing"/>
    <w:uiPriority w:val="1"/>
    <w:qFormat/>
    <w:rsid w:val="00FC693F"/>
    <w:pPr>
      <w:spacing w:after="0" w:line="240" w:lineRule="auto"/>
    </w:pPr>
    <w:rPr>
      <w:rFonts w:ascii="Hiragino Sans GB" w:eastAsia="Hiragino Sans GB" w:hAnsi="Hiragino Sans GB"/>
    </w:r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  <w:rPr>
      <w:rFonts w:ascii="Hiragino Sans GB" w:eastAsia="Hiragino Sans GB" w:hAnsi="Hiragino Sans GB"/>
    </w:rPr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  <w:rPr>
      <w:rFonts w:ascii="Hiragino Sans GB" w:eastAsia="Hiragino Sans GB" w:hAnsi="Hiragino Sans GB"/>
    </w:rPr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rFonts w:ascii="Hiragino Sans GB" w:eastAsia="Hiragino Sans GB" w:hAnsi="Hiragino Sans GB"/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Hiragino Sans GB" w:eastAsia="Hiragino Sans GB" w:hAnsi="Hiragino Sans GB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Hiragino Sans GB" w:eastAsia="Hiragino Sans GB" w:hAnsi="Hiragino Sans GB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rFonts w:ascii="Hiragino Sans GB" w:eastAsia="Hiragino Sans GB" w:hAnsi="Hiragino Sans GB"/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af8">
    <w:name w:val="Strong"/>
    <w:basedOn w:val="a2"/>
    <w:uiPriority w:val="22"/>
    <w:qFormat/>
    <w:rsid w:val="00FC693F"/>
    <w:rPr>
      <w:rFonts w:ascii="Hiragino Sans GB" w:eastAsia="Hiragino Sans GB" w:hAnsi="Hiragino Sans GB"/>
      <w:b/>
      <w:bCs/>
    </w:rPr>
  </w:style>
  <w:style w:type="character" w:styleId="af9">
    <w:name w:val="Emphasis"/>
    <w:basedOn w:val="a2"/>
    <w:uiPriority w:val="20"/>
    <w:qFormat/>
    <w:rsid w:val="00FC693F"/>
    <w:rPr>
      <w:rFonts w:ascii="Hiragino Sans GB" w:eastAsia="Hiragino Sans GB" w:hAnsi="Hiragino Sans GB"/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rFonts w:ascii="Hiragino Sans GB" w:eastAsia="Hiragino Sans GB" w:hAnsi="Hiragino Sans GB"/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rFonts w:ascii="Hiragino Sans GB" w:eastAsia="Hiragino Sans GB" w:hAnsi="Hiragino Sans GB"/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rFonts w:ascii="Hiragino Sans GB" w:eastAsia="Hiragino Sans GB" w:hAnsi="Hiragino Sans GB"/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rFonts w:ascii="Hiragino Sans GB" w:eastAsia="Hiragino Sans GB" w:hAnsi="Hiragino Sans GB"/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rFonts w:ascii="Hiragino Sans GB" w:eastAsia="Hiragino Sans GB" w:hAnsi="Hiragino Sans GB"/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rFonts w:ascii="Hiragino Sans GB" w:eastAsia="Hiragino Sans GB" w:hAnsi="Hiragino Sans GB"/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  <w:rPr>
      <w:rFonts w:ascii="Hiragino Sans GB" w:eastAsia="Hiragino Sans GB" w:hAnsi="Hiragino Sans GB"/>
    </w:rPr>
  </w:style>
  <w:style w:type="table" w:styleId="aff1">
    <w:name w:val="Table Grid"/>
    <w:basedOn w:val="a3"/>
    <w:uiPriority w:val="59"/>
    <w:rsid w:val="00FC693F"/>
    <w:pPr>
      <w:spacing w:after="0" w:line="240" w:lineRule="auto"/>
    </w:pPr>
    <w:rPr>
      <w:rFonts w:ascii="Hiragino Sans GB" w:eastAsia="Hiragino Sans GB" w:hAnsi="Hiragino Sans 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rFonts w:ascii="Hiragino Sans GB" w:eastAsia="Hiragino Sans GB" w:hAnsi="Hiragino Sans GB"/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rFonts w:ascii="Hiragino Sans GB" w:eastAsia="Hiragino Sans GB" w:hAnsi="Hiragino Sans GB"/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rFonts w:ascii="Hiragino Sans GB" w:eastAsia="Hiragino Sans GB" w:hAnsi="Hiragino Sans GB"/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rFonts w:ascii="Hiragino Sans GB" w:eastAsia="Hiragino Sans GB" w:hAnsi="Hiragino Sans GB"/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rFonts w:ascii="Hiragino Sans GB" w:eastAsia="Hiragino Sans GB" w:hAnsi="Hiragino Sans GB"/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rFonts w:ascii="Hiragino Sans GB" w:eastAsia="Hiragino Sans GB" w:hAnsi="Hiragino Sans GB"/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rFonts w:ascii="Hiragino Sans GB" w:eastAsia="Hiragino Sans GB" w:hAnsi="Hiragino Sans GB"/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rPr>
      <w:rFonts w:ascii="Hiragino Sans GB" w:eastAsia="Hiragino Sans GB" w:hAnsi="Hiragino Sans GB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rPr>
      <w:rFonts w:ascii="Hiragino Sans GB" w:eastAsia="Hiragino Sans GB" w:hAnsi="Hiragino Sans GB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rPr>
      <w:rFonts w:ascii="Hiragino Sans GB" w:eastAsia="Hiragino Sans GB" w:hAnsi="Hiragino Sans GB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rPr>
      <w:rFonts w:ascii="Hiragino Sans GB" w:eastAsia="Hiragino Sans GB" w:hAnsi="Hiragino Sans GB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rPr>
      <w:rFonts w:ascii="Hiragino Sans GB" w:eastAsia="Hiragino Sans GB" w:hAnsi="Hiragino Sans GB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rPr>
      <w:rFonts w:ascii="Hiragino Sans GB" w:eastAsia="Hiragino Sans GB" w:hAnsi="Hiragino Sans GB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rPr>
      <w:rFonts w:ascii="Hiragino Sans GB" w:eastAsia="Hiragino Sans GB" w:hAnsi="Hiragino Sans GB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rPr>
      <w:rFonts w:ascii="Hiragino Sans GB" w:eastAsia="Hiragino Sans GB" w:hAnsi="Hiragino Sans GB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rPr>
      <w:rFonts w:ascii="Hiragino Sans GB" w:eastAsia="Hiragino Sans GB" w:hAnsi="Hiragino Sans GB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rPr>
      <w:rFonts w:ascii="Hiragino Sans GB" w:eastAsia="Hiragino Sans GB" w:hAnsi="Hiragino Sans GB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rPr>
      <w:rFonts w:ascii="Hiragino Sans GB" w:eastAsia="Hiragino Sans GB" w:hAnsi="Hiragino Sans GB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rPr>
      <w:rFonts w:ascii="Hiragino Sans GB" w:eastAsia="Hiragino Sans GB" w:hAnsi="Hiragino Sans GB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rPr>
      <w:rFonts w:ascii="Hiragino Sans GB" w:eastAsia="Hiragino Sans GB" w:hAnsi="Hiragino Sans GB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rPr>
      <w:rFonts w:ascii="Hiragino Sans GB" w:eastAsia="Hiragino Sans GB" w:hAnsi="Hiragino Sans GB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rPr>
      <w:rFonts w:ascii="Hiragino Sans GB" w:eastAsia="Hiragino Sans GB" w:hAnsi="Hiragino Sans GB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rPr>
      <w:rFonts w:ascii="Hiragino Sans GB" w:eastAsia="Hiragino Sans GB" w:hAnsi="Hiragino Sans GB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rPr>
      <w:rFonts w:ascii="Hiragino Sans GB" w:eastAsia="Hiragino Sans GB" w:hAnsi="Hiragino Sans GB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rPr>
      <w:rFonts w:ascii="Hiragino Sans GB" w:eastAsia="Hiragino Sans GB" w:hAnsi="Hiragino Sans GB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rPr>
      <w:rFonts w:ascii="Hiragino Sans GB" w:eastAsia="Hiragino Sans GB" w:hAnsi="Hiragino Sans GB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rPr>
      <w:rFonts w:ascii="Hiragino Sans GB" w:eastAsia="Hiragino Sans GB" w:hAnsi="Hiragino Sans GB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rPr>
      <w:rFonts w:ascii="Hiragino Sans GB" w:eastAsia="Hiragino Sans GB" w:hAnsi="Hiragino Sans GB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rPr>
      <w:rFonts w:ascii="Hiragino Sans GB" w:eastAsia="Hiragino Sans GB" w:hAnsi="Hiragino Sans GB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rPr>
      <w:rFonts w:ascii="Hiragino Sans GB" w:eastAsia="Hiragino Sans GB" w:hAnsi="Hiragino Sans GB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rPr>
      <w:rFonts w:ascii="Hiragino Sans GB" w:eastAsia="Hiragino Sans GB" w:hAnsi="Hiragino Sans GB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rPr>
      <w:rFonts w:ascii="Hiragino Sans GB" w:eastAsia="Hiragino Sans GB" w:hAnsi="Hiragino Sans GB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rPr>
      <w:rFonts w:ascii="Hiragino Sans GB" w:eastAsia="Hiragino Sans GB" w:hAnsi="Hiragino Sans GB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rPr>
      <w:rFonts w:ascii="Hiragino Sans GB" w:eastAsia="Hiragino Sans GB" w:hAnsi="Hiragino Sans GB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rPr>
      <w:rFonts w:ascii="Hiragino Sans GB" w:eastAsia="Hiragino Sans GB" w:hAnsi="Hiragino Sans GB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rFonts w:ascii="Hiragino Sans GB" w:eastAsia="Hiragino Sans GB" w:hAnsi="Hiragino Sans GB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rFonts w:ascii="Hiragino Sans GB" w:eastAsia="Hiragino Sans GB" w:hAnsi="Hiragino Sans GB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rFonts w:ascii="Hiragino Sans GB" w:eastAsia="Hiragino Sans GB" w:hAnsi="Hiragino Sans GB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rFonts w:ascii="Hiragino Sans GB" w:eastAsia="Hiragino Sans GB" w:hAnsi="Hiragino Sans GB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rFonts w:ascii="Hiragino Sans GB" w:eastAsia="Hiragino Sans GB" w:hAnsi="Hiragino Sans GB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rFonts w:ascii="Hiragino Sans GB" w:eastAsia="Hiragino Sans GB" w:hAnsi="Hiragino Sans GB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rFonts w:ascii="Hiragino Sans GB" w:eastAsia="Hiragino Sans GB" w:hAnsi="Hiragino Sans GB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rPr>
      <w:rFonts w:ascii="Hiragino Sans GB" w:eastAsia="Hiragino Sans GB" w:hAnsi="Hiragino Sans GB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rPr>
      <w:rFonts w:ascii="Hiragino Sans GB" w:eastAsia="Hiragino Sans GB" w:hAnsi="Hiragino Sans GB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rPr>
      <w:rFonts w:ascii="Hiragino Sans GB" w:eastAsia="Hiragino Sans GB" w:hAnsi="Hiragino Sans GB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rPr>
      <w:rFonts w:ascii="Hiragino Sans GB" w:eastAsia="Hiragino Sans GB" w:hAnsi="Hiragino Sans GB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rPr>
      <w:rFonts w:ascii="Hiragino Sans GB" w:eastAsia="Hiragino Sans GB" w:hAnsi="Hiragino Sans GB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rPr>
      <w:rFonts w:ascii="Hiragino Sans GB" w:eastAsia="Hiragino Sans GB" w:hAnsi="Hiragino Sans GB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rPr>
      <w:rFonts w:ascii="Hiragino Sans GB" w:eastAsia="Hiragino Sans GB" w:hAnsi="Hiragino Sans GB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rPr>
      <w:rFonts w:ascii="Hiragino Sans GB" w:eastAsia="Hiragino Sans GB" w:hAnsi="Hiragino Sans GB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rPr>
      <w:rFonts w:ascii="Hiragino Sans GB" w:eastAsia="Hiragino Sans GB" w:hAnsi="Hiragino Sans GB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rPr>
      <w:rFonts w:ascii="Hiragino Sans GB" w:eastAsia="Hiragino Sans GB" w:hAnsi="Hiragino Sans GB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rPr>
      <w:rFonts w:ascii="Hiragino Sans GB" w:eastAsia="Hiragino Sans GB" w:hAnsi="Hiragino Sans GB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rPr>
      <w:rFonts w:ascii="Hiragino Sans GB" w:eastAsia="Hiragino Sans GB" w:hAnsi="Hiragino Sans GB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rPr>
      <w:rFonts w:ascii="Hiragino Sans GB" w:eastAsia="Hiragino Sans GB" w:hAnsi="Hiragino Sans GB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rPr>
      <w:rFonts w:ascii="Hiragino Sans GB" w:eastAsia="Hiragino Sans GB" w:hAnsi="Hiragino Sans GB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rFonts w:ascii="Hiragino Sans GB" w:eastAsia="Hiragino Sans GB" w:hAnsi="Hiragino Sans GB"/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rFonts w:ascii="Hiragino Sans GB" w:eastAsia="Hiragino Sans GB" w:hAnsi="Hiragino Sans GB"/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rFonts w:ascii="Hiragino Sans GB" w:eastAsia="Hiragino Sans GB" w:hAnsi="Hiragino Sans GB"/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rFonts w:ascii="Hiragino Sans GB" w:eastAsia="Hiragino Sans GB" w:hAnsi="Hiragino Sans GB"/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rFonts w:ascii="Hiragino Sans GB" w:eastAsia="Hiragino Sans GB" w:hAnsi="Hiragino Sans GB"/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rFonts w:ascii="Hiragino Sans GB" w:eastAsia="Hiragino Sans GB" w:hAnsi="Hiragino Sans GB"/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rFonts w:ascii="Hiragino Sans GB" w:eastAsia="Hiragino Sans GB" w:hAnsi="Hiragino Sans GB"/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rFonts w:ascii="Hiragino Sans GB" w:eastAsia="Hiragino Sans GB" w:hAnsi="Hiragino Sans GB"/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rFonts w:ascii="Hiragino Sans GB" w:eastAsia="Hiragino Sans GB" w:hAnsi="Hiragino Sans GB"/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rFonts w:ascii="Hiragino Sans GB" w:eastAsia="Hiragino Sans GB" w:hAnsi="Hiragino Sans GB"/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rFonts w:ascii="Hiragino Sans GB" w:eastAsia="Hiragino Sans GB" w:hAnsi="Hiragino Sans GB"/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rFonts w:ascii="Hiragino Sans GB" w:eastAsia="Hiragino Sans GB" w:hAnsi="Hiragino Sans GB"/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rFonts w:ascii="Hiragino Sans GB" w:eastAsia="Hiragino Sans GB" w:hAnsi="Hiragino Sans GB"/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rFonts w:ascii="Hiragino Sans GB" w:eastAsia="Hiragino Sans GB" w:hAnsi="Hiragino Sans GB"/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rFonts w:ascii="Hiragino Sans GB" w:eastAsia="Hiragino Sans GB" w:hAnsi="Hiragino Sans GB"/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rFonts w:ascii="Hiragino Sans GB" w:eastAsia="Hiragino Sans GB" w:hAnsi="Hiragino Sans GB"/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rFonts w:ascii="Hiragino Sans GB" w:eastAsia="Hiragino Sans GB" w:hAnsi="Hiragino Sans GB"/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rFonts w:ascii="Hiragino Sans GB" w:eastAsia="Hiragino Sans GB" w:hAnsi="Hiragino Sans GB"/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rFonts w:ascii="Hiragino Sans GB" w:eastAsia="Hiragino Sans GB" w:hAnsi="Hiragino Sans GB"/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rFonts w:ascii="Hiragino Sans GB" w:eastAsia="Hiragino Sans GB" w:hAnsi="Hiragino Sans GB"/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rFonts w:ascii="Hiragino Sans GB" w:eastAsia="Hiragino Sans GB" w:hAnsi="Hiragino Sans GB"/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rFonts w:ascii="Hiragino Sans GB" w:eastAsia="Hiragino Sans GB" w:hAnsi="Hiragino Sans GB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rFonts w:ascii="Hiragino Sans GB" w:eastAsia="Hiragino Sans GB" w:hAnsi="Hiragino Sans GB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rFonts w:ascii="Hiragino Sans GB" w:eastAsia="Hiragino Sans GB" w:hAnsi="Hiragino Sans GB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rFonts w:ascii="Hiragino Sans GB" w:eastAsia="Hiragino Sans GB" w:hAnsi="Hiragino Sans GB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rFonts w:ascii="Hiragino Sans GB" w:eastAsia="Hiragino Sans GB" w:hAnsi="Hiragino Sans GB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rFonts w:ascii="Hiragino Sans GB" w:eastAsia="Hiragino Sans GB" w:hAnsi="Hiragino Sans GB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rFonts w:ascii="Hiragino Sans GB" w:eastAsia="Hiragino Sans GB" w:hAnsi="Hiragino Sans GB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2</Pages>
  <Words>339</Words>
  <Characters>1937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赵道凯-软件测试-重构优化版</dc:title>
  <dc:subject>高级软件测试 / 产品质量 / 医疗AI质量</dc:subject>
  <dc:creator>赵道凯</dc:creator>
  <cp:keywords/>
  <dc:description>generated by python-docx</dc:description>
  <cp:lastModifiedBy>zdaokai@gmail.com</cp:lastModifiedBy>
  <cp:revision>3</cp:revision>
  <dcterms:created xsi:type="dcterms:W3CDTF">2013-12-23T23:15:00Z</dcterms:created>
  <dcterms:modified xsi:type="dcterms:W3CDTF">2026-08-30T04:34:00Z</dcterms:modified>
  <cp:category/>
</cp:coreProperties>
</file>