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495F5">
      <w:pPr>
        <w:spacing w:after="40"/>
        <w:jc w:val="center"/>
        <w:rPr>
          <w:lang w:eastAsia="zh-CN"/>
        </w:rPr>
      </w:pPr>
      <w:bookmarkStart w:id="0" w:name="_GoBack"/>
      <w:bookmarkEnd w:id="0"/>
      <w:r>
        <w:rPr>
          <w:b/>
          <w:color w:val="182A3A"/>
          <w:sz w:val="46"/>
          <w:lang w:eastAsia="zh-CN"/>
        </w:rPr>
        <w:t>赵道凯</w:t>
      </w:r>
    </w:p>
    <w:p w14:paraId="1789973F">
      <w:pPr>
        <w:spacing w:after="60"/>
        <w:jc w:val="center"/>
        <w:rPr>
          <w:lang w:eastAsia="zh-CN"/>
        </w:rPr>
      </w:pPr>
      <w:r>
        <w:rPr>
          <w:b/>
          <w:color w:val="127E76"/>
          <w:sz w:val="23"/>
          <w:lang w:eastAsia="zh-CN"/>
        </w:rPr>
        <w:t>高级软件测试  ·  产品质量  ·  医疗 AI 质量</w:t>
      </w:r>
    </w:p>
    <w:p w14:paraId="147C0B0E">
      <w:pPr>
        <w:spacing w:after="80"/>
        <w:jc w:val="center"/>
        <w:rPr>
          <w:rFonts w:hint="eastAsia"/>
          <w:lang w:eastAsia="zh-CN"/>
        </w:rPr>
      </w:pPr>
      <w:r>
        <w:rPr>
          <w:color w:val="667078"/>
          <w:lang w:eastAsia="zh-CN"/>
        </w:rPr>
        <w:t>6年软件质量与交付经验  |  手机：</w:t>
      </w:r>
      <w:r>
        <w:rPr>
          <w:rFonts w:hint="eastAsia"/>
          <w:color w:val="667078"/>
          <w:lang w:eastAsia="zh-CN"/>
        </w:rPr>
        <w:t>15385056020</w:t>
      </w:r>
      <w:r>
        <w:rPr>
          <w:color w:val="667078"/>
          <w:lang w:eastAsia="zh-CN"/>
        </w:rPr>
        <w:t xml:space="preserve">  |  邮箱：zdaokai@gmail.com</w:t>
      </w:r>
    </w:p>
    <w:p w14:paraId="75C0D047">
      <w:pPr>
        <w:pBdr>
          <w:bottom w:val="single" w:color="127E76" w:sz="12" w:space="4"/>
        </w:pBdr>
        <w:spacing w:before="160" w:after="100"/>
        <w:rPr>
          <w:lang w:eastAsia="zh-CN"/>
        </w:rPr>
      </w:pPr>
      <w:r>
        <w:rPr>
          <w:b/>
          <w:color w:val="182A3A"/>
          <w:sz w:val="27"/>
          <w:lang w:eastAsia="zh-CN"/>
        </w:rPr>
        <w:t>职业概况</w:t>
      </w:r>
    </w:p>
    <w:p w14:paraId="01033CD7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6年软件测试与质量保障经验，长期服务银行核心交易、移动银行、企业网银、微信小程序、聚合收单及多方系统集成场景，熟悉从需求评审、测试设计到生产验收的完整交付链路。</w:t>
      </w:r>
    </w:p>
    <w:p w14:paraId="7441C01F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擅长复杂交易逻辑与异常链路验证，覆盖超时、失败重试、冲正、清算、对账、幂等、鉴权、权限及敏感信息保护等高风险场景。</w:t>
      </w:r>
    </w:p>
    <w:p w14:paraId="1974521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具备移动端、Web端、接口联调及UI自动化实践；能够通过请求/响应报文、Android设备日志和业务状态差异定位问题并推动跨团队闭环。</w:t>
      </w:r>
    </w:p>
    <w:p w14:paraId="1E7CE4F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具备产品设计与上线实践，持续建设家庭健康管理产品，能够从用户价值、技术可行性、产品质量和上线风险四个维度推动AI产品落地。</w:t>
      </w:r>
    </w:p>
    <w:p w14:paraId="38679CB6">
      <w:pPr>
        <w:pBdr>
          <w:bottom w:val="single" w:color="127E76" w:sz="12" w:space="4"/>
        </w:pBdr>
        <w:spacing w:before="160" w:after="100"/>
      </w:pPr>
      <w:r>
        <w:rPr>
          <w:b/>
          <w:color w:val="182A3A"/>
          <w:sz w:val="27"/>
        </w:rPr>
        <w:t>核心能力</w:t>
      </w:r>
    </w:p>
    <w:tbl>
      <w:tblPr>
        <w:tblStyle w:val="32"/>
        <w:tblW w:w="0" w:type="auto"/>
        <w:jc w:val="center"/>
        <w:tblBorders>
          <w:top w:val="single" w:color="DCE5E6" w:sz="4" w:space="0"/>
          <w:left w:val="single" w:color="DCE5E6" w:sz="4" w:space="0"/>
          <w:bottom w:val="single" w:color="DCE5E6" w:sz="4" w:space="0"/>
          <w:right w:val="single" w:color="DCE5E6" w:sz="4" w:space="0"/>
          <w:insideH w:val="single" w:color="DCE5E6" w:sz="4" w:space="0"/>
          <w:insideV w:val="single" w:color="DCE5E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2"/>
        <w:gridCol w:w="4932"/>
      </w:tblGrid>
      <w:tr w14:paraId="3FEBDDDF">
        <w:trPr>
          <w:jc w:val="center"/>
        </w:trPr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79F3BD91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测试设计</w:t>
            </w:r>
          </w:p>
          <w:p w14:paraId="16BC6082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需求评审｜测试计划｜功能/回归/验收｜边界与异常场景</w:t>
            </w:r>
          </w:p>
        </w:tc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0A4A98D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产品与交付</w:t>
            </w:r>
          </w:p>
          <w:p w14:paraId="4CFA7874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需求拆解｜功能设计｜研发协同｜测试验收｜上线与持续迭代</w:t>
            </w:r>
          </w:p>
        </w:tc>
      </w:tr>
      <w:tr w14:paraId="5EB00807">
        <w:trPr>
          <w:jc w:val="center"/>
        </w:trPr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56AB84C9">
            <w:pPr>
              <w:spacing w:after="20"/>
              <w:rPr>
                <w:lang w:eastAsia="zh-CN"/>
              </w:rPr>
            </w:pPr>
            <w:r>
              <w:rPr>
                <w:b/>
                <w:color w:val="127E76"/>
                <w:sz w:val="19"/>
                <w:lang w:eastAsia="zh-CN"/>
              </w:rPr>
              <w:t>金融业务</w:t>
            </w:r>
          </w:p>
          <w:p w14:paraId="0D11E585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核心记账｜资金划转｜冲正/清算/对账｜银行渠道与聚合收单</w:t>
            </w:r>
          </w:p>
        </w:tc>
        <w:tc>
          <w:tcPr>
            <w:tcW w:w="4932" w:type="dxa"/>
            <w:tcMar>
              <w:top w:w="55" w:type="dxa"/>
              <w:left w:w="70" w:type="dxa"/>
              <w:bottom w:w="55" w:type="dxa"/>
              <w:right w:w="70" w:type="dxa"/>
            </w:tcMar>
          </w:tcPr>
          <w:p w14:paraId="029ED246">
            <w:pPr>
              <w:spacing w:after="20"/>
            </w:pPr>
            <w:r>
              <w:rPr>
                <w:b/>
                <w:color w:val="127E76"/>
                <w:sz w:val="19"/>
              </w:rPr>
              <w:t>移动端质量</w:t>
            </w:r>
          </w:p>
          <w:p w14:paraId="21F56853">
            <w:pPr>
              <w:spacing w:after="0"/>
            </w:pPr>
            <w:r>
              <w:rPr>
                <w:sz w:val="17"/>
              </w:rPr>
              <w:t>Android/Web/App测试｜交互一致性｜设备日志定位｜版本验收</w:t>
            </w:r>
          </w:p>
        </w:tc>
      </w:tr>
    </w:tbl>
    <w:p w14:paraId="1B73A8CA">
      <w:pPr>
        <w:pBdr>
          <w:bottom w:val="single" w:color="127E76" w:sz="12" w:space="4"/>
        </w:pBdr>
        <w:spacing w:before="160" w:after="100"/>
      </w:pPr>
      <w:r>
        <w:rPr>
          <w:b/>
          <w:color w:val="182A3A"/>
          <w:sz w:val="27"/>
        </w:rPr>
        <w:t>工作经历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2891"/>
        <w:gridCol w:w="2324"/>
      </w:tblGrid>
      <w:tr w14:paraId="2A8A046F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F1F1A2F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紫光华山科技有限公司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273C5DE2">
            <w:pPr>
              <w:spacing w:after="0"/>
            </w:pPr>
            <w:r>
              <w:rPr>
                <w:color w:val="182A3A"/>
                <w:sz w:val="20"/>
              </w:rPr>
              <w:t>测试工程师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1EA74A7">
            <w:pPr>
              <w:spacing w:after="0"/>
              <w:jc w:val="right"/>
              <w:rPr>
                <w:lang w:eastAsia="zh-CN"/>
              </w:rPr>
            </w:pPr>
            <w:r>
              <w:rPr>
                <w:color w:val="667078"/>
                <w:sz w:val="20"/>
              </w:rPr>
              <w:t>2026.02—2026.</w:t>
            </w:r>
            <w:r>
              <w:rPr>
                <w:rFonts w:hint="eastAsia"/>
                <w:color w:val="667078"/>
                <w:sz w:val="20"/>
                <w:lang w:eastAsia="zh-CN"/>
              </w:rPr>
              <w:t>06</w:t>
            </w:r>
          </w:p>
        </w:tc>
      </w:tr>
    </w:tbl>
    <w:p w14:paraId="0BD8E108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负责聚合收单团队进件宝APP、飞燕马上付及相关Web端测试，承接需求分析、测试方案与用例设计、执行验证、缺陷跟踪、测试报告、业务验证及生产验收。</w:t>
      </w:r>
    </w:p>
    <w:p w14:paraId="1A3DA70E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围绕商户进件、支付及版本发布链路梳理关键风险，推动研发、业务与测试问题闭环，保障版本按计划交付。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2891"/>
        <w:gridCol w:w="2324"/>
      </w:tblGrid>
      <w:tr w14:paraId="6B6C58C9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4A3E91F0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上海爱元通科技有限公司苏州分公司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D717376">
            <w:pPr>
              <w:spacing w:after="0"/>
            </w:pPr>
            <w:r>
              <w:rPr>
                <w:color w:val="182A3A"/>
                <w:sz w:val="20"/>
              </w:rPr>
              <w:t>测试工程师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4675673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2021.10—2025.12</w:t>
            </w:r>
          </w:p>
        </w:tc>
      </w:tr>
    </w:tbl>
    <w:p w14:paraId="3696FD26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负责手机银行、企业网银、微信小程序及银行移动交易平台的功能、回归和验收测试，重点验证交易逻辑、账务记账与异常状态处理。</w:t>
      </w:r>
    </w:p>
    <w:p w14:paraId="597A6475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承担银联云缴费、统一公共支付、财政及房管等第三方系统接口联调，验证超时成功/失败、交易失败、重复提交、冲正、清算和对账文件处理。</w:t>
      </w:r>
    </w:p>
    <w:p w14:paraId="476CCB8C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参与UI自动化测试体系和测试框架建设，将高频核心交易场景纳入回归流程；使用Android Studio查看设备日志并辅助定位问题。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2891"/>
        <w:gridCol w:w="2324"/>
      </w:tblGrid>
      <w:tr w14:paraId="3840A9F8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3C99B0B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上海泽众软件有限公司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84DBF06">
            <w:pPr>
              <w:spacing w:after="0"/>
              <w:rPr>
                <w:lang w:eastAsia="zh-CN"/>
              </w:rPr>
            </w:pPr>
            <w:r>
              <w:rPr>
                <w:color w:val="182A3A"/>
                <w:sz w:val="20"/>
                <w:lang w:eastAsia="zh-CN"/>
              </w:rPr>
              <w:t>测试工程师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9A634B4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2020.07—2021.09</w:t>
            </w:r>
          </w:p>
        </w:tc>
      </w:tr>
    </w:tbl>
    <w:p w14:paraId="23C55B00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参与银行柜面、ESB服务治理及运营管理平台测试，编写测试计划与用例，执行功能测试、回归测试和项目验收。</w:t>
      </w:r>
    </w:p>
    <w:p w14:paraId="6540C28C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• </w:t>
      </w:r>
      <w:r>
        <w:rPr>
          <w:lang w:eastAsia="zh-CN"/>
        </w:rPr>
        <w:t>覆盖服务全生命周期、机构/柜员/渠道运营统计及风险预警等场景，配合业务完成生产验收。</w:t>
      </w:r>
    </w:p>
    <w:p w14:paraId="007473DE">
      <w:pPr>
        <w:pageBreakBefore/>
        <w:pBdr>
          <w:bottom w:val="single" w:color="127E76" w:sz="12" w:space="4"/>
        </w:pBdr>
        <w:spacing w:before="160" w:after="100"/>
        <w:rPr>
          <w:lang w:eastAsia="zh-CN"/>
        </w:rPr>
      </w:pPr>
      <w:r>
        <w:rPr>
          <w:b/>
          <w:color w:val="182A3A"/>
          <w:sz w:val="27"/>
          <w:lang w:eastAsia="zh-CN"/>
        </w:rPr>
        <w:t>医疗AI产品与质量实践</w:t>
      </w:r>
    </w:p>
    <w:tbl>
      <w:tblPr>
        <w:tblStyle w:val="32"/>
        <w:tblW w:w="1218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2891"/>
        <w:gridCol w:w="2324"/>
        <w:gridCol w:w="2324"/>
      </w:tblGrid>
      <w:tr w14:paraId="1C2D170B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0E8DBA8F">
            <w:pPr>
              <w:spacing w:after="0"/>
            </w:pPr>
            <w:r>
              <w:rPr>
                <w:b/>
                <w:color w:val="182A3A"/>
                <w:sz w:val="20"/>
              </w:rPr>
              <w:t>Look健康｜家庭健康管理产品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E3AA82F">
            <w:pPr>
              <w:spacing w:after="0"/>
            </w:pPr>
            <w:r>
              <w:rPr>
                <w:color w:val="182A3A"/>
                <w:sz w:val="20"/>
              </w:rPr>
              <w:t>产品设计与质量实践</w:t>
            </w:r>
          </w:p>
        </w:tc>
        <w:tc>
          <w:tcPr>
            <w:tcW w:w="2324" w:type="dxa"/>
            <w:vAlign w:val="center"/>
          </w:tcPr>
          <w:p w14:paraId="574C0A8A">
            <w:pPr>
              <w:spacing w:after="0"/>
              <w:jc w:val="right"/>
              <w:rPr>
                <w:rFonts w:hint="eastAsia"/>
                <w:lang w:eastAsia="zh-CN"/>
              </w:rPr>
            </w:pPr>
            <w:r>
              <w:rPr>
                <w:color w:val="667078"/>
                <w:sz w:val="20"/>
              </w:rPr>
              <w:t>2025.01—</w:t>
            </w:r>
            <w:r>
              <w:rPr>
                <w:rFonts w:hint="eastAsia"/>
                <w:color w:val="667078"/>
                <w:sz w:val="20"/>
                <w:lang w:eastAsia="zh-CN"/>
              </w:rPr>
              <w:t>今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B530D2B">
            <w:pPr>
              <w:spacing w:after="0"/>
              <w:jc w:val="right"/>
              <w:rPr>
                <w:rFonts w:hint="eastAsia"/>
                <w:lang w:eastAsia="zh-CN"/>
              </w:rPr>
            </w:pPr>
          </w:p>
        </w:tc>
      </w:tr>
    </w:tbl>
    <w:p w14:paraId="08D9D478">
      <w:pPr>
        <w:spacing w:after="42"/>
        <w:ind w:left="238" w:hanging="159"/>
        <w:rPr>
          <w:lang w:eastAsia="zh-CN"/>
        </w:rPr>
      </w:pPr>
      <w:r>
        <w:rPr>
          <w:b/>
          <w:color w:val="182A3A"/>
          <w:lang w:eastAsia="zh-CN"/>
        </w:rPr>
        <w:t xml:space="preserve"> 产品方向：</w:t>
      </w:r>
      <w:r>
        <w:rPr>
          <w:lang w:eastAsia="zh-CN"/>
        </w:rPr>
        <w:t>对标阿福AI等AI健康助手，围绕家庭成员构建可持续积累的健康记忆与个人/家庭健康知识库，让健康信息能够长期沉淀、关联和复用。</w:t>
      </w:r>
    </w:p>
    <w:p w14:paraId="27B8C069">
      <w:pPr>
        <w:spacing w:after="42"/>
        <w:ind w:left="238" w:hanging="159"/>
        <w:rPr>
          <w:lang w:eastAsia="zh-CN"/>
        </w:rPr>
      </w:pPr>
      <w:r>
        <w:rPr>
          <w:b/>
          <w:color w:val="182A3A"/>
          <w:lang w:eastAsia="zh-CN"/>
        </w:rPr>
        <w:t xml:space="preserve"> 数据整合：</w:t>
      </w:r>
      <w:r>
        <w:rPr>
          <w:lang w:eastAsia="zh-CN"/>
        </w:rPr>
        <w:t>汇聚既往病史、检查报告、用药记录、睡眠、运动、体征及生活方式数据，结合OCR识别、AI结构化抽取和Apple健康数据，形成成员健康画像与连续时间线。</w:t>
      </w:r>
    </w:p>
    <w:p w14:paraId="75BA3430">
      <w:pPr>
        <w:spacing w:after="42"/>
        <w:ind w:left="238" w:hanging="159"/>
        <w:rPr>
          <w:b/>
          <w:color w:val="127E76"/>
          <w:lang w:eastAsia="zh-CN"/>
        </w:rPr>
      </w:pPr>
      <w:r>
        <w:rPr>
          <w:b/>
          <w:color w:val="182A3A"/>
          <w:lang w:eastAsia="zh-CN"/>
        </w:rPr>
        <w:t xml:space="preserve"> AI能力：</w:t>
      </w:r>
      <w:r>
        <w:rPr>
          <w:lang w:eastAsia="zh-CN"/>
        </w:rPr>
        <w:t>基于长期记忆和健康知识库提供个性化问答、报告解读、趋势总结、风险提示与行动建议，使AI能够引用历史资料，并将对话中的有效信息继续沉淀到档案。</w:t>
      </w:r>
    </w:p>
    <w:p w14:paraId="0371108C">
      <w:pPr>
        <w:spacing w:after="42"/>
        <w:ind w:left="238" w:hanging="159"/>
        <w:rPr>
          <w:lang w:eastAsia="zh-CN"/>
        </w:rPr>
      </w:pPr>
      <w:r>
        <w:rPr>
          <w:b/>
          <w:color w:val="127E76"/>
          <w:lang w:eastAsia="zh-CN"/>
        </w:rPr>
        <w:t xml:space="preserve"> </w:t>
      </w:r>
      <w:r>
        <w:rPr>
          <w:b/>
          <w:color w:val="182A3A"/>
          <w:lang w:eastAsia="zh-CN"/>
        </w:rPr>
        <w:t>产品落地：</w:t>
      </w:r>
      <w:r>
        <w:rPr>
          <w:lang w:eastAsia="zh-CN"/>
        </w:rPr>
        <w:t>完成需求梳理、信息架构、功能设计、研发协同、测试验收和上线迭代闭环；重点保障成员数据隔离、授权共享、敏感信息保护、AI风险提示及异常恢复。</w:t>
      </w:r>
    </w:p>
    <w:p w14:paraId="23948F1F">
      <w:pPr>
        <w:pBdr>
          <w:bottom w:val="single" w:color="127E76" w:sz="12" w:space="4"/>
        </w:pBdr>
        <w:spacing w:before="160" w:after="100"/>
      </w:pPr>
      <w:r>
        <w:rPr>
          <w:b/>
          <w:color w:val="182A3A"/>
          <w:sz w:val="27"/>
        </w:rPr>
        <w:t>代表项目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2891"/>
        <w:gridCol w:w="2324"/>
      </w:tblGrid>
      <w:tr w14:paraId="3DE07F90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5435DF3">
            <w:pPr>
              <w:spacing w:after="0"/>
            </w:pPr>
            <w:r>
              <w:rPr>
                <w:b/>
                <w:color w:val="182A3A"/>
                <w:sz w:val="20"/>
              </w:rPr>
              <w:t>统一作战平台（Android）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477E3E8">
            <w:pPr>
              <w:spacing w:after="0"/>
            </w:pPr>
            <w:r>
              <w:rPr>
                <w:color w:val="182A3A"/>
                <w:sz w:val="20"/>
              </w:rPr>
              <w:t>测试兼产品助理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66F10B4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2025.01—2025.12</w:t>
            </w:r>
          </w:p>
        </w:tc>
      </w:tr>
    </w:tbl>
    <w:p w14:paraId="688A9DAA">
      <w:pPr>
        <w:spacing w:after="44"/>
        <w:rPr>
          <w:b/>
          <w:color w:val="182A3A"/>
          <w:lang w:eastAsia="zh-CN"/>
        </w:rPr>
      </w:pPr>
      <w:r>
        <w:rPr>
          <w:b/>
          <w:color w:val="182A3A"/>
          <w:lang w:eastAsia="zh-CN"/>
        </w:rPr>
        <w:t>项目背景：</w:t>
      </w:r>
      <w:r>
        <w:rPr>
          <w:lang w:eastAsia="zh-CN"/>
        </w:rPr>
        <w:t>银行核心业务移动交易平台，覆盖存款购买、对私转账汇款、对公开户和账户信息维护等高频柜面场景。</w:t>
      </w:r>
    </w:p>
    <w:p w14:paraId="28CF613E">
      <w:pPr>
        <w:spacing w:after="44"/>
        <w:rPr>
          <w:b/>
          <w:color w:val="182A3A"/>
          <w:lang w:eastAsia="zh-CN"/>
        </w:rPr>
      </w:pPr>
      <w:r>
        <w:rPr>
          <w:b/>
          <w:color w:val="182A3A"/>
          <w:lang w:eastAsia="zh-CN"/>
        </w:rPr>
        <w:t>产品协作：</w:t>
      </w:r>
      <w:r>
        <w:rPr>
          <w:lang w:eastAsia="zh-CN"/>
        </w:rPr>
        <w:t>协助产品经理收集并梳理业务需求，参与需求评审，整理业务流程、异常规则和验收标准；跟踪需求变更，推动业务、研发与测试团队对需求理解达成一致。</w:t>
      </w:r>
    </w:p>
    <w:p w14:paraId="36D2633D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测试与交付：</w:t>
      </w:r>
      <w:r>
        <w:rPr>
          <w:lang w:eastAsia="zh-CN"/>
        </w:rPr>
        <w:t>负责Android端功能、接口、兼容性及回归测试，覆盖正常、异常和边界场景，重点验证账户、资金划转、冲正、限额、权限及清算逻辑；协助版本验收、上线问题跟踪与闭环，并通过设备日志辅助定位问题。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2891"/>
        <w:gridCol w:w="2324"/>
      </w:tblGrid>
      <w:tr w14:paraId="3F173EEC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4035DB39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中间业务系统对接项目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D27FF28">
            <w:pPr>
              <w:spacing w:after="0"/>
            </w:pPr>
            <w:r>
              <w:rPr>
                <w:color w:val="182A3A"/>
                <w:sz w:val="20"/>
              </w:rPr>
              <w:t>测试工程师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32749F7D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2022.08—202</w:t>
            </w:r>
            <w:r>
              <w:rPr>
                <w:rFonts w:hint="eastAsia"/>
                <w:color w:val="667078"/>
                <w:sz w:val="20"/>
                <w:lang w:eastAsia="zh-CN"/>
              </w:rPr>
              <w:t>4</w:t>
            </w:r>
            <w:r>
              <w:rPr>
                <w:color w:val="667078"/>
                <w:sz w:val="20"/>
              </w:rPr>
              <w:t>.08</w:t>
            </w:r>
          </w:p>
        </w:tc>
      </w:tr>
    </w:tbl>
    <w:p w14:paraId="79D5CCA1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项目背景：</w:t>
      </w:r>
      <w:r>
        <w:rPr>
          <w:lang w:eastAsia="zh-CN"/>
        </w:rPr>
        <w:t>对接省联社、银联云缴费、公共支付、财政、房管局及水电燃气等多类外部系统。</w:t>
      </w:r>
    </w:p>
    <w:p w14:paraId="1A184815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质量重点：</w:t>
      </w:r>
      <w:r>
        <w:rPr>
          <w:lang w:eastAsia="zh-CN"/>
        </w:rPr>
        <w:t>覆盖请求报文、字段、签名、Token、权限、敏感字段加密与脱敏；模拟超时、重复提交和失败重试验证幂等及状态一致性。</w:t>
      </w:r>
    </w:p>
    <w:p w14:paraId="30921064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参与三方联调与问题排查，定位报文及状态差异；验证大额渠道资金从过渡户到三方账户的清算流程，降低资金与对账风险。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2891"/>
        <w:gridCol w:w="2324"/>
      </w:tblGrid>
      <w:tr w14:paraId="070791F7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6E8BA018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线上渠道系统（手机银行/网银/小程序）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7D89BBC4">
            <w:pPr>
              <w:spacing w:after="0"/>
            </w:pPr>
            <w:r>
              <w:rPr>
                <w:color w:val="182A3A"/>
                <w:sz w:val="20"/>
              </w:rPr>
              <w:t>测试工程师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27F54292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2021.08—2022.08</w:t>
            </w:r>
          </w:p>
        </w:tc>
      </w:tr>
    </w:tbl>
    <w:p w14:paraId="487769AD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项目范围：</w:t>
      </w:r>
      <w:r>
        <w:rPr>
          <w:lang w:eastAsia="zh-CN"/>
        </w:rPr>
        <w:t>手机银行、个人/企业网银及微信小程序，覆盖存款证明、预约转账、电子医保激活、金融市场和电子银行等功能。</w:t>
      </w:r>
    </w:p>
    <w:p w14:paraId="281DED7D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梳理多渠道业务流程与交易逻辑，验证UI和交互一致性；分析前后端接口数据，校验参数、返回码和字段，参与关键交易接口性能验证。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2891"/>
        <w:gridCol w:w="2324"/>
      </w:tblGrid>
      <w:tr w14:paraId="57A9BA3D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F2C8D82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ESB服务治理与运营管理平台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0B3D7771">
            <w:pPr>
              <w:spacing w:after="0"/>
            </w:pPr>
            <w:r>
              <w:rPr>
                <w:color w:val="182A3A"/>
                <w:sz w:val="20"/>
              </w:rPr>
              <w:t>测试工程师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01BDAE7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2020.08—2021.09</w:t>
            </w:r>
          </w:p>
        </w:tc>
      </w:tr>
    </w:tbl>
    <w:p w14:paraId="255AACB3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项目范围：</w:t>
      </w:r>
      <w:r>
        <w:rPr>
          <w:lang w:eastAsia="zh-CN"/>
        </w:rPr>
        <w:t>覆盖服务接入、发布、投产、退役全生命周期，以及网点、柜员、自助设备和渠道运营统计与风险预警。</w:t>
      </w:r>
    </w:p>
    <w:p w14:paraId="22A01024">
      <w:pPr>
        <w:spacing w:after="44"/>
        <w:rPr>
          <w:lang w:eastAsia="zh-CN"/>
        </w:rPr>
      </w:pPr>
      <w:r>
        <w:rPr>
          <w:b/>
          <w:color w:val="182A3A"/>
          <w:lang w:eastAsia="zh-CN"/>
        </w:rPr>
        <w:t>主要贡献：</w:t>
      </w:r>
      <w:r>
        <w:rPr>
          <w:lang w:eastAsia="zh-CN"/>
        </w:rPr>
        <w:t>完成需求分析、测试方案与用例、缺陷跟踪、测试报告、业务验证和生产验收。</w:t>
      </w:r>
    </w:p>
    <w:p w14:paraId="719808FF">
      <w:pPr>
        <w:pBdr>
          <w:bottom w:val="single" w:color="127E76" w:sz="12" w:space="4"/>
        </w:pBdr>
        <w:spacing w:before="160" w:after="100"/>
      </w:pPr>
      <w:r>
        <w:rPr>
          <w:b/>
          <w:color w:val="182A3A"/>
          <w:sz w:val="27"/>
        </w:rPr>
        <w:t>教育经历</w:t>
      </w:r>
    </w:p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9"/>
        <w:gridCol w:w="2891"/>
        <w:gridCol w:w="2324"/>
      </w:tblGrid>
      <w:tr w14:paraId="48FFDD3D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709E0942">
            <w:pPr>
              <w:spacing w:after="0"/>
            </w:pPr>
            <w:r>
              <w:rPr>
                <w:b/>
                <w:color w:val="182A3A"/>
                <w:sz w:val="20"/>
              </w:rPr>
              <w:t>四川农业大学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79D61518">
            <w:pPr>
              <w:spacing w:after="0"/>
              <w:rPr>
                <w:lang w:eastAsia="zh-CN"/>
              </w:rPr>
            </w:pPr>
            <w:r>
              <w:rPr>
                <w:color w:val="182A3A"/>
                <w:sz w:val="20"/>
                <w:lang w:eastAsia="zh-CN"/>
              </w:rPr>
              <w:t>本科｜计算机科学与技术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24F43E1E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2021—2025</w:t>
            </w:r>
          </w:p>
        </w:tc>
      </w:tr>
      <w:tr w14:paraId="15665E9F">
        <w:tc>
          <w:tcPr>
            <w:tcW w:w="4649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1AD74CEC">
            <w:pPr>
              <w:spacing w:after="0"/>
              <w:rPr>
                <w:lang w:eastAsia="zh-CN"/>
              </w:rPr>
            </w:pPr>
            <w:r>
              <w:rPr>
                <w:b/>
                <w:color w:val="182A3A"/>
                <w:sz w:val="20"/>
                <w:lang w:eastAsia="zh-CN"/>
              </w:rPr>
              <w:t>中国石油大学（北京）</w:t>
            </w:r>
          </w:p>
        </w:tc>
        <w:tc>
          <w:tcPr>
            <w:tcW w:w="2891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0AEB274">
            <w:pPr>
              <w:spacing w:after="0"/>
            </w:pPr>
            <w:r>
              <w:rPr>
                <w:color w:val="182A3A"/>
                <w:sz w:val="20"/>
              </w:rPr>
              <w:t>大专｜安全技术管理</w:t>
            </w:r>
          </w:p>
        </w:tc>
        <w:tc>
          <w:tcPr>
            <w:tcW w:w="2324" w:type="dxa"/>
            <w:tcMar>
              <w:top w:w="0" w:type="dxa"/>
              <w:left w:w="0" w:type="dxa"/>
              <w:bottom w:w="10" w:type="dxa"/>
              <w:right w:w="0" w:type="dxa"/>
            </w:tcMar>
            <w:vAlign w:val="center"/>
          </w:tcPr>
          <w:p w14:paraId="5900F93C">
            <w:pPr>
              <w:spacing w:after="0"/>
              <w:jc w:val="right"/>
            </w:pPr>
            <w:r>
              <w:rPr>
                <w:color w:val="667078"/>
                <w:sz w:val="20"/>
              </w:rPr>
              <w:t>2019—2021</w:t>
            </w:r>
          </w:p>
        </w:tc>
      </w:tr>
    </w:tbl>
    <w:p w14:paraId="1348BBDA">
      <w:pPr>
        <w:pBdr>
          <w:bottom w:val="single" w:color="127E76" w:sz="12" w:space="4"/>
        </w:pBdr>
        <w:spacing w:before="160" w:after="100"/>
      </w:pPr>
      <w:r>
        <w:rPr>
          <w:b/>
          <w:color w:val="182A3A"/>
          <w:sz w:val="27"/>
        </w:rPr>
        <w:t>投递关键词</w:t>
      </w:r>
    </w:p>
    <w:p w14:paraId="685B559C">
      <w:pPr>
        <w:spacing w:after="0"/>
        <w:rPr>
          <w:lang w:eastAsia="zh-CN"/>
        </w:rPr>
      </w:pPr>
      <w:r>
        <w:rPr>
          <w:color w:val="667078"/>
          <w:lang w:eastAsia="zh-CN"/>
        </w:rPr>
        <w:t>高级软件测试｜产品质量Owner｜医疗AI质量｜接口测试｜移动端测试｜金融交易测试｜AI产品验收</w:t>
      </w:r>
    </w:p>
    <w:sectPr>
      <w:pgSz w:w="11906" w:h="16838"/>
      <w:pgMar w:top="765" w:right="879" w:bottom="709" w:left="87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0"/>
    <w:family w:val="swiss"/>
    <w:pitch w:val="default"/>
    <w:sig w:usb0="A00002BF" w:usb1="1ACF7CFA" w:usb2="00000016" w:usb3="00000000" w:csb0="00060007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E83"/>
    <w:rsid w:val="002503B4"/>
    <w:rsid w:val="0029639D"/>
    <w:rsid w:val="00326F90"/>
    <w:rsid w:val="00346A4E"/>
    <w:rsid w:val="00640933"/>
    <w:rsid w:val="006453D4"/>
    <w:rsid w:val="007B5ADD"/>
    <w:rsid w:val="00856FD5"/>
    <w:rsid w:val="00922DAB"/>
    <w:rsid w:val="00AA1D8D"/>
    <w:rsid w:val="00B47730"/>
    <w:rsid w:val="00CB0664"/>
    <w:rsid w:val="00CC45B3"/>
    <w:rsid w:val="00D91E7A"/>
    <w:rsid w:val="00F859D6"/>
    <w:rsid w:val="00FC693F"/>
    <w:rsid w:val="7DFFFDBB"/>
    <w:rsid w:val="FFFEA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6" w:line="278" w:lineRule="auto"/>
    </w:pPr>
    <w:rPr>
      <w:rFonts w:ascii="Hiragino Sans GB" w:hAnsi="Hiragino Sans GB" w:eastAsia="Hiragino Sans GB" w:cstheme="minorBidi"/>
      <w:color w:val="2D343A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Hiragino Sans GB" w:hAnsi="Hiragino Sans GB" w:eastAsia="Hiragino Sans GB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Hiragino Sans GB" w:hAnsi="Hiragino Sans GB" w:eastAsia="Hiragino Sans GB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Hiragino Sans GB" w:hAnsi="Hiragino Sans GB" w:eastAsia="Hiragino Sans GB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Hiragino Sans GB" w:hAnsi="Hiragino Sans GB" w:eastAsia="Hiragino Sans GB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Hiragino Sans GB" w:hAnsi="Hiragino Sans GB" w:eastAsia="Hiragino Sans GB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Hiragino Sans GB" w:hAnsi="Hiragino Sans GB" w:eastAsia="Hiragino Sans GB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Hiragino Sans GB" w:hAnsi="Hiragino Sans GB" w:eastAsia="Hiragino Sans GB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Hiragino Sans GB" w:hAnsi="Hiragino Sans GB" w:eastAsia="Hiragino Sans GB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Hiragino Sans GB" w:hAnsi="Hiragino Sans GB" w:eastAsia="Hiragino Sans GB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Hiragino Sans GB" w:hAnsi="Hiragino Sans GB" w:eastAsia="Hiragino Sans GB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Hiragino Sans GB" w:hAnsi="Hiragino Sans GB" w:eastAsia="Hiragino Sans GB"/>
      <w:b/>
      <w:bCs/>
    </w:rPr>
  </w:style>
  <w:style w:type="character" w:styleId="134">
    <w:name w:val="Emphasis"/>
    <w:basedOn w:val="132"/>
    <w:qFormat/>
    <w:uiPriority w:val="20"/>
    <w:rPr>
      <w:rFonts w:ascii="Hiragino Sans GB" w:hAnsi="Hiragino Sans GB" w:eastAsia="Hiragino Sans GB"/>
      <w:i/>
      <w:iCs/>
    </w:rPr>
  </w:style>
  <w:style w:type="character" w:styleId="135">
    <w:name w:val="Hyperlink"/>
    <w:basedOn w:val="13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6">
    <w:name w:val="页眉 字符"/>
    <w:basedOn w:val="132"/>
    <w:link w:val="25"/>
    <w:uiPriority w:val="99"/>
    <w:rPr>
      <w:rFonts w:ascii="Hiragino Sans GB" w:hAnsi="Hiragino Sans GB" w:eastAsia="Hiragino Sans GB"/>
    </w:rPr>
  </w:style>
  <w:style w:type="character" w:customStyle="1" w:styleId="137">
    <w:name w:val="页脚 字符"/>
    <w:basedOn w:val="132"/>
    <w:link w:val="24"/>
    <w:uiPriority w:val="99"/>
    <w:rPr>
      <w:rFonts w:ascii="Hiragino Sans GB" w:hAnsi="Hiragino Sans GB" w:eastAsia="Hiragino Sans GB"/>
    </w:rPr>
  </w:style>
  <w:style w:type="paragraph" w:styleId="138">
    <w:name w:val="No Spacing"/>
    <w:qFormat/>
    <w:uiPriority w:val="1"/>
    <w:pPr>
      <w:spacing w:after="0" w:line="240" w:lineRule="auto"/>
    </w:pPr>
    <w:rPr>
      <w:rFonts w:ascii="Hiragino Sans GB" w:hAnsi="Hiragino Sans GB" w:eastAsia="Hiragino Sans GB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uiPriority w:val="99"/>
    <w:rPr>
      <w:rFonts w:ascii="Hiragino Sans GB" w:hAnsi="Hiragino Sans GB" w:eastAsia="Hiragino Sans GB"/>
    </w:rPr>
  </w:style>
  <w:style w:type="character" w:customStyle="1" w:styleId="146">
    <w:name w:val="正文文本 2 字符"/>
    <w:basedOn w:val="132"/>
    <w:link w:val="28"/>
    <w:uiPriority w:val="99"/>
    <w:rPr>
      <w:rFonts w:ascii="Hiragino Sans GB" w:hAnsi="Hiragino Sans GB" w:eastAsia="Hiragino Sans GB"/>
    </w:rPr>
  </w:style>
  <w:style w:type="character" w:customStyle="1" w:styleId="147">
    <w:name w:val="正文文本 3 字符"/>
    <w:basedOn w:val="132"/>
    <w:link w:val="17"/>
    <w:uiPriority w:val="99"/>
    <w:rPr>
      <w:rFonts w:ascii="Hiragino Sans GB" w:hAnsi="Hiragino Sans GB" w:eastAsia="Hiragino Sans GB"/>
      <w:sz w:val="16"/>
      <w:szCs w:val="16"/>
    </w:rPr>
  </w:style>
  <w:style w:type="character" w:customStyle="1" w:styleId="148">
    <w:name w:val="宏文本 字符"/>
    <w:basedOn w:val="132"/>
    <w:link w:val="2"/>
    <w:uiPriority w:val="99"/>
    <w:rPr>
      <w:rFonts w:ascii="Hiragino Sans GB" w:hAnsi="Hiragino Sans GB" w:eastAsia="Hiragino Sans GB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uiPriority w:val="29"/>
    <w:rPr>
      <w:rFonts w:ascii="Hiragino Sans GB" w:hAnsi="Hiragino Sans GB" w:eastAsia="Hiragino Sans GB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uiPriority w:val="30"/>
    <w:rPr>
      <w:rFonts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rFonts w:ascii="Hiragino Sans GB" w:hAnsi="Hiragino Sans GB" w:eastAsia="Hiragino Sans GB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rFonts w:ascii="Hiragino Sans GB" w:hAnsi="Hiragino Sans GB" w:eastAsia="Hiragino Sans GB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rFonts w:ascii="Hiragino Sans GB" w:hAnsi="Hiragino Sans GB" w:eastAsia="Hiragino Sans GB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rFonts w:ascii="Hiragino Sans GB" w:hAnsi="Hiragino Sans GB" w:eastAsia="Hiragino Sans GB"/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  <w:rPr>
      <w:rFonts w:ascii="Hiragino Sans GB" w:hAnsi="Hiragino Sans GB" w:eastAsia="Hiragino Sans GB"/>
    </w:rPr>
  </w:style>
  <w:style w:type="character" w:customStyle="1" w:styleId="165">
    <w:name w:val="Unresolved Mention"/>
    <w:basedOn w:val="13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344</Words>
  <Characters>1965</Characters>
  <Lines>16</Lines>
  <Paragraphs>4</Paragraphs>
  <TotalTime>25</TotalTime>
  <ScaleCrop>false</ScaleCrop>
  <LinksUpToDate>false</LinksUpToDate>
  <CharactersWithSpaces>2305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赵道凯</dc:creator>
  <dc:description>generated by python-docx</dc:description>
  <cp:lastModifiedBy>話</cp:lastModifiedBy>
  <dcterms:modified xsi:type="dcterms:W3CDTF">2026-08-30T23:20:26Z</dcterms:modified>
  <dc:subject>高级软件测试 / 产品质量 / 医疗AI质量</dc:subject>
  <dc:title>赵道凯-软件测试-重构优化版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8641ABE190F1704E3144946A81D3253F_42</vt:lpwstr>
  </property>
</Properties>
</file>