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1DA9451C" w:rsidR="007B1C5B" w:rsidRPr="000B33B4" w:rsidRDefault="004529CF" w:rsidP="000B33B4">
      <w:pPr>
        <w:spacing w:after="0"/>
        <w:jc w:val="both"/>
        <w:rPr>
          <w:rFonts w:ascii="Times New Roman" w:hAnsi="Times New Roman" w:cs="Times New Roman"/>
          <w:b/>
          <w:bCs/>
          <w:sz w:val="26"/>
          <w:szCs w:val="26"/>
        </w:rPr>
      </w:pPr>
      <w:r w:rsidRPr="000B33B4">
        <w:rPr>
          <w:rFonts w:ascii="Times New Roman" w:hAnsi="Times New Roman" w:cs="Times New Roman"/>
          <w:b/>
          <w:bCs/>
          <w:sz w:val="26"/>
          <w:szCs w:val="26"/>
        </w:rPr>
        <w:lastRenderedPageBreak/>
        <w:t>Abstract: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77777777" w:rsidR="000B33B4" w:rsidRPr="000B33B4" w:rsidRDefault="000B33B4"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sidRPr="000B33B4">
        <w:rPr>
          <w:rFonts w:ascii="Times New Roman" w:eastAsia="宋体" w:hAnsi="Times New Roman" w:cs="Times New Roman"/>
          <w:b/>
          <w:bCs/>
          <w:kern w:val="0"/>
          <w:sz w:val="26"/>
          <w:szCs w:val="26"/>
          <w14:ligatures w14:val="none"/>
        </w:rPr>
        <w:t>Introduction:</w:t>
      </w:r>
    </w:p>
    <w:p w14:paraId="17D66696"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Cognitive processing is one of the most fundamental topics in psychology and neuroscience, as it provides a framework for understanding functionally segregated yet integrated information-processing mechanisms underlying the way individuals interact with the surrounding environment (Frank &amp; </w:t>
      </w:r>
      <w:proofErr w:type="spellStart"/>
      <w:r w:rsidRPr="000B33B4">
        <w:rPr>
          <w:rFonts w:ascii="Times New Roman" w:eastAsia="宋体" w:hAnsi="Times New Roman" w:cs="Times New Roman"/>
          <w:kern w:val="0"/>
          <w:sz w:val="24"/>
          <w14:ligatures w14:val="none"/>
        </w:rPr>
        <w:t>Badre</w:t>
      </w:r>
      <w:proofErr w:type="spellEnd"/>
      <w:r w:rsidRPr="000B33B4">
        <w:rPr>
          <w:rFonts w:ascii="Times New Roman" w:eastAsia="宋体" w:hAnsi="Times New Roman" w:cs="Times New Roman"/>
          <w:kern w:val="0"/>
          <w:sz w:val="24"/>
          <w14:ligatures w14:val="none"/>
        </w:rPr>
        <w:t xml:space="preserve">, 2015; Schall, 2004; </w:t>
      </w:r>
      <w:proofErr w:type="spellStart"/>
      <w:r w:rsidRPr="000B33B4">
        <w:rPr>
          <w:rFonts w:ascii="Times New Roman" w:eastAsia="宋体" w:hAnsi="Times New Roman" w:cs="Times New Roman"/>
          <w:kern w:val="0"/>
          <w:sz w:val="24"/>
          <w14:ligatures w14:val="none"/>
        </w:rPr>
        <w:t>Forstmann</w:t>
      </w:r>
      <w:proofErr w:type="spellEnd"/>
      <w:r w:rsidRPr="000B33B4">
        <w:rPr>
          <w:rFonts w:ascii="Times New Roman" w:eastAsia="宋体" w:hAnsi="Times New Roman" w:cs="Times New Roman"/>
          <w:kern w:val="0"/>
          <w:sz w:val="24"/>
          <w14:ligatures w14:val="none"/>
        </w:rPr>
        <w:t xml:space="preserve"> et al., 2011). Presented information may affect the outcomes, or observable performance, through both its direct role as processed input and its indirect role in shaping the state and condition under which processing occurs. </w:t>
      </w:r>
    </w:p>
    <w:p w14:paraId="172A45DC"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For the present framework and data analyses,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Wainio</w:t>
      </w:r>
      <w:proofErr w:type="spellEnd"/>
      <w:r w:rsidRPr="000B33B4">
        <w:rPr>
          <w:rFonts w:ascii="Times New Roman" w:eastAsia="宋体" w:hAnsi="Times New Roman" w:cs="Times New Roman"/>
          <w:kern w:val="0"/>
          <w:sz w:val="24"/>
          <w14:ligatures w14:val="none"/>
        </w:rPr>
        <w:t xml:space="preserve">-Theberge &amp; </w:t>
      </w:r>
      <w:proofErr w:type="spellStart"/>
      <w:r w:rsidRPr="000B33B4">
        <w:rPr>
          <w:rFonts w:ascii="Times New Roman" w:eastAsia="宋体" w:hAnsi="Times New Roman" w:cs="Times New Roman"/>
          <w:kern w:val="0"/>
          <w:sz w:val="24"/>
          <w14:ligatures w14:val="none"/>
        </w:rPr>
        <w:t>Armony</w:t>
      </w:r>
      <w:proofErr w:type="spellEnd"/>
      <w:r w:rsidRPr="000B33B4">
        <w:rPr>
          <w:rFonts w:ascii="Times New Roman" w:eastAsia="宋体" w:hAnsi="Times New Roman" w:cs="Times New Roman"/>
          <w:kern w:val="0"/>
          <w:sz w:val="24"/>
          <w14:ligatures w14:val="none"/>
        </w:rPr>
        <w:t xml:space="preserve">, 2025). In contrast, an internal psychological condition refers to a state manifested within the individual at a psychological or physiological level, such as emotional state, fatigue, or motivation (Flavell et al., 2022). For instance, the same </w:t>
      </w:r>
      <w:r w:rsidRPr="000B33B4">
        <w:rPr>
          <w:rFonts w:ascii="Times New Roman" w:eastAsia="宋体" w:hAnsi="Times New Roman" w:cs="Times New Roman"/>
          <w:kern w:val="0"/>
          <w:sz w:val="24"/>
          <w14:ligatures w14:val="none"/>
        </w:rPr>
        <w:lastRenderedPageBreak/>
        <w:t>stimulus may bias emotion perception depending on the perceiver’s current emotional state (</w:t>
      </w:r>
      <w:proofErr w:type="spellStart"/>
      <w:r w:rsidRPr="000B33B4">
        <w:rPr>
          <w:rFonts w:ascii="Times New Roman" w:eastAsia="宋体" w:hAnsi="Times New Roman" w:cs="Times New Roman"/>
          <w:kern w:val="0"/>
          <w:sz w:val="24"/>
          <w14:ligatures w14:val="none"/>
        </w:rPr>
        <w:t>Trilla</w:t>
      </w:r>
      <w:proofErr w:type="spellEnd"/>
      <w:r w:rsidRPr="000B33B4">
        <w:rPr>
          <w:rFonts w:ascii="Times New Roman" w:eastAsia="宋体" w:hAnsi="Times New Roman" w:cs="Times New Roman"/>
          <w:kern w:val="0"/>
          <w:sz w:val="24"/>
          <w14:ligatures w14:val="none"/>
        </w:rPr>
        <w:t xml:space="preserve"> et al., 2021; Harris et al., 2016). Although there is now substantial evidence suggesting that the effects are potentially through modulation of the neural and physiological mechanisms implementing cognitive processing, investigations into their effects on cognitive performance are ongoing since these behavioral conditions and internal psychological states may influence cognitive and behavioral outcomes either independently or interactively. Specifically, the effects of the two types of conditions on cognitive performance are not necessarily independent, and internal states may be induced by prior behavior or environmental conditions, while some states, such as trait anxiety and depression, suggested to impair attention, may persist and affect cognitive performance even in the absence of an immediate external trigger (Pacheco-</w:t>
      </w:r>
      <w:proofErr w:type="spellStart"/>
      <w:r w:rsidRPr="000B33B4">
        <w:rPr>
          <w:rFonts w:ascii="Times New Roman" w:eastAsia="宋体" w:hAnsi="Times New Roman" w:cs="Times New Roman"/>
          <w:kern w:val="0"/>
          <w:sz w:val="24"/>
          <w14:ligatures w14:val="none"/>
        </w:rPr>
        <w:t>Unguetti</w:t>
      </w:r>
      <w:proofErr w:type="spellEnd"/>
      <w:r w:rsidRPr="000B33B4">
        <w:rPr>
          <w:rFonts w:ascii="Times New Roman" w:eastAsia="宋体" w:hAnsi="Times New Roman" w:cs="Times New Roman"/>
          <w:kern w:val="0"/>
          <w:sz w:val="24"/>
          <w14:ligatures w14:val="none"/>
        </w:rPr>
        <w:t xml:space="preserve"> et al., 2010; Roca et al., 2015), or vice versa.</w:t>
      </w:r>
    </w:p>
    <w:p w14:paraId="4BC6D9B2"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The publicly available Kaggle dataset used in the data analyses project provides a broad range of behavioral, psychological, and cognitive performance measures (Sacramento Technology, 2024). It provides an opportunity for the project to achieve two broad purposes: (1) the examination of the broader correlational structure among these variables to understand their standardized associations with cognitive performance differently, while also (2) selecting theoretically relevant conditions for more focused model-driven analyses. Accordingly, for the first purpose, an exploratory correlation matrix heatmap was first established, providing an overall presentation of all zero-order associations among variables.</w:t>
      </w:r>
    </w:p>
    <w:p w14:paraId="269A5429"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For the second broad purpose, the present project focused on two representative conditions derived from the conceptual framework introduced above. Sleep hours and stress level were treated as conditions primarily originating from behavioral and psychological domains, respectively. A large body of studies has suggested that both factors are associated with performance across different cognitive tasks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Nwikwe</w:t>
      </w:r>
      <w:proofErr w:type="spellEnd"/>
      <w:r w:rsidRPr="000B33B4">
        <w:rPr>
          <w:rFonts w:ascii="Times New Roman" w:eastAsia="宋体" w:hAnsi="Times New Roman" w:cs="Times New Roman"/>
          <w:kern w:val="0"/>
          <w:sz w:val="24"/>
          <w14:ligatures w14:val="none"/>
        </w:rPr>
        <w:t>, 2025). Accordingly, the theory-driven analysis incorporated two specific aims. The first aim was to estimate the effects of these conditions on higher-order cognitive functioning. Specifically, the project examined the independent contributions and combined explanatory power of sleep hours and stress level in relation to a higher-order regulatory function. Emotion regulation was selected as the representative higher-order regulatory outcome since its success largely relies on the coordination of several basic cognitive processes such as selective attention, working memory, and inhibitory control (Koay &amp; Meter, 2023). In addition, considering that the dataset contains measurements of basic cognitive skills through cognitive performance tasks, specifically, Stroop task reaction time (RT), N-back accuracy, and psychomotor vigilance test (PVT) RT are expected to primarily measure selective attention and inhibition, working memory, and sustained attention and behavioral alertness (</w:t>
      </w:r>
      <w:proofErr w:type="spellStart"/>
      <w:r w:rsidRPr="000B33B4">
        <w:rPr>
          <w:rFonts w:ascii="Times New Roman" w:eastAsia="宋体" w:hAnsi="Times New Roman" w:cs="Times New Roman"/>
          <w:kern w:val="0"/>
          <w:sz w:val="24"/>
          <w14:ligatures w14:val="none"/>
        </w:rPr>
        <w:t>Basner</w:t>
      </w:r>
      <w:proofErr w:type="spellEnd"/>
      <w:r w:rsidRPr="000B33B4">
        <w:rPr>
          <w:rFonts w:ascii="Times New Roman" w:eastAsia="宋体" w:hAnsi="Times New Roman" w:cs="Times New Roman"/>
          <w:kern w:val="0"/>
          <w:sz w:val="24"/>
          <w14:ligatures w14:val="none"/>
        </w:rPr>
        <w:t xml:space="preserve"> et al., 2021; Owen et al., 2005; </w:t>
      </w:r>
      <w:proofErr w:type="spellStart"/>
      <w:r w:rsidRPr="000B33B4">
        <w:rPr>
          <w:rFonts w:ascii="Times New Roman" w:eastAsia="宋体" w:hAnsi="Times New Roman" w:cs="Times New Roman"/>
          <w:kern w:val="0"/>
          <w:sz w:val="24"/>
          <w14:ligatures w14:val="none"/>
        </w:rPr>
        <w:t>Scarpina</w:t>
      </w:r>
      <w:proofErr w:type="spellEnd"/>
      <w:r w:rsidRPr="000B33B4">
        <w:rPr>
          <w:rFonts w:ascii="Times New Roman" w:eastAsia="宋体" w:hAnsi="Times New Roman" w:cs="Times New Roman"/>
          <w:kern w:val="0"/>
          <w:sz w:val="24"/>
          <w14:ligatures w14:val="none"/>
        </w:rPr>
        <w:t xml:space="preserve"> &amp; </w:t>
      </w:r>
      <w:proofErr w:type="spellStart"/>
      <w:r w:rsidRPr="000B33B4">
        <w:rPr>
          <w:rFonts w:ascii="Times New Roman" w:eastAsia="宋体" w:hAnsi="Times New Roman" w:cs="Times New Roman"/>
          <w:kern w:val="0"/>
          <w:sz w:val="24"/>
          <w14:ligatures w14:val="none"/>
        </w:rPr>
        <w:t>Tagini</w:t>
      </w:r>
      <w:proofErr w:type="spellEnd"/>
      <w:r w:rsidRPr="000B33B4">
        <w:rPr>
          <w:rFonts w:ascii="Times New Roman" w:eastAsia="宋体" w:hAnsi="Times New Roman" w:cs="Times New Roman"/>
          <w:kern w:val="0"/>
          <w:sz w:val="24"/>
          <w14:ligatures w14:val="none"/>
        </w:rPr>
        <w:t xml:space="preserve">, 2017), respectively. This raises the second aim of the project: to examine whether these reflected basic cognitive functions can be reasonably compressed and summarized to be one indication of a general cognitive ability, if any. The second aim was to estimate the effects of the conditions on basic cognitive functioning constructs, and an exploratory principal component analysis (PCA), attempting to compress the variables </w:t>
      </w:r>
      <w:r w:rsidRPr="000B33B4">
        <w:rPr>
          <w:rFonts w:ascii="Times New Roman" w:eastAsia="宋体" w:hAnsi="Times New Roman" w:cs="Times New Roman"/>
          <w:kern w:val="0"/>
          <w:sz w:val="24"/>
          <w14:ligatures w14:val="none"/>
        </w:rPr>
        <w:lastRenderedPageBreak/>
        <w:t>into any potential broad cognitive performance dimension, was conducted. Nevertheless, if a practically meaningful common component with sufficient information preservation could not be supported, the individual cognitive outcomes would instead be retained and examined separately. Subsequent model-based analyses were therefore conducted to estimate the associations of theoretically relevant behavioral and psychological conditions with their corresponding cognitive outcomes.</w:t>
      </w:r>
    </w:p>
    <w:p w14:paraId="099B8236"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Overall, the exploratory secondary data analyses project subsequently combined exploratory correlational mapping with theory-driven analyses to examine how behavioral and psychological conditions are associated with emotional regulation and cognitive performance. Generally, for the first broad purpose, it is expected that certain statistically significant correlations will be found between behavioral or psychological states and the cognitive performance measures in the dataset. And for the second aim, it is expected that the theoretically selected behavioral and psychological conditions will show meaningful associations with their corresponding emotional and cognitive outcomes, while the exploratory PCA may identify whether the available cognitive measures can be reasonably summarized into a broader common cognitive performance dimension, thereby indirectly supporting existing theoretical and empirical evidence.</w:t>
      </w:r>
    </w:p>
    <w:p w14:paraId="167EE0B0" w14:textId="77777777" w:rsidR="000B33B4" w:rsidRDefault="000B33B4" w:rsidP="000B33B4">
      <w:pPr>
        <w:widowControl/>
        <w:spacing w:after="0" w:line="240" w:lineRule="auto"/>
        <w:outlineLvl w:val="2"/>
        <w:rPr>
          <w:rFonts w:ascii="Times New Roman" w:eastAsia="宋体" w:hAnsi="Times New Roman" w:cs="Times New Roman"/>
          <w:b/>
          <w:bCs/>
          <w:kern w:val="0"/>
          <w:sz w:val="24"/>
          <w14:ligatures w14:val="none"/>
        </w:rPr>
      </w:pPr>
    </w:p>
    <w:p w14:paraId="2DDF18E0" w14:textId="4FB2B963" w:rsidR="000B33B4" w:rsidRPr="000B33B4" w:rsidRDefault="000B33B4" w:rsidP="000B33B4">
      <w:pPr>
        <w:widowControl/>
        <w:spacing w:after="0" w:line="240" w:lineRule="auto"/>
        <w:outlineLvl w:val="2"/>
        <w:rPr>
          <w:rFonts w:ascii="Times New Roman" w:eastAsia="宋体" w:hAnsi="Times New Roman" w:cs="Times New Roman"/>
          <w:b/>
          <w:bCs/>
          <w:kern w:val="0"/>
          <w:sz w:val="26"/>
          <w:szCs w:val="26"/>
          <w14:ligatures w14:val="none"/>
        </w:rPr>
      </w:pPr>
      <w:r w:rsidRPr="000B33B4">
        <w:rPr>
          <w:rFonts w:ascii="Times New Roman" w:eastAsia="宋体" w:hAnsi="Times New Roman" w:cs="Times New Roman"/>
          <w:b/>
          <w:bCs/>
          <w:kern w:val="0"/>
          <w:sz w:val="26"/>
          <w:szCs w:val="26"/>
          <w14:ligatures w14:val="none"/>
        </w:rPr>
        <w:t>Data and Methods</w:t>
      </w:r>
    </w:p>
    <w:p w14:paraId="62CA193F" w14:textId="0EAF1176"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The dataset titled </w:t>
      </w:r>
      <w:r w:rsidRPr="000B33B4">
        <w:rPr>
          <w:rFonts w:ascii="Times New Roman" w:eastAsia="宋体" w:hAnsi="Times New Roman" w:cs="Times New Roman"/>
          <w:i/>
          <w:iCs/>
          <w:kern w:val="0"/>
          <w:sz w:val="24"/>
          <w14:ligatures w14:val="none"/>
        </w:rPr>
        <w:t>Sleep Deprivation &amp; Cognitive Performance</w:t>
      </w:r>
      <w:r w:rsidRPr="000B33B4">
        <w:rPr>
          <w:rFonts w:ascii="Times New Roman" w:eastAsia="宋体" w:hAnsi="Times New Roman" w:cs="Times New Roman"/>
          <w:kern w:val="0"/>
          <w:sz w:val="24"/>
          <w14:ligatures w14:val="none"/>
        </w:rPr>
        <w:t xml:space="preserve"> is publicly available on Kaggle and was used for the present secondary data analyses (Sacramento Technology, 2024). The dataset contained 60 observations and 14 original variables. Descriptive statistics and an exploratory Pearson correlation heatmap were first used to summarize the overall data structure in terms of correlations among all continuous variables. Data preparation targeting predictor variables of interest was conducted before formal analyses, including mean-centering where appropriate. Continuous stress scores were operationally categorized into low-, moderate-, and high-stress groups for group-based analyses based on criteria derived from the Perceived Stress Scale (PSS-10) (Adamson et al., 2020; Cohen et al., 1983). </w:t>
      </w:r>
      <w:r>
        <w:rPr>
          <w:rFonts w:ascii="Times New Roman" w:eastAsia="宋体" w:hAnsi="Times New Roman" w:cs="Times New Roman" w:hint="eastAsia"/>
          <w:kern w:val="0"/>
          <w:sz w:val="24"/>
          <w14:ligatures w14:val="none"/>
        </w:rPr>
        <w:t>Overall</w:t>
      </w:r>
      <w:r w:rsidRPr="000B33B4">
        <w:rPr>
          <w:rFonts w:ascii="Times New Roman" w:eastAsia="宋体" w:hAnsi="Times New Roman" w:cs="Times New Roman"/>
          <w:kern w:val="0"/>
          <w:sz w:val="24"/>
          <w14:ligatures w14:val="none"/>
        </w:rPr>
        <w:t>, the project operationalized emotion regulation (the higher-order outcome) using the emotion regulation score, and the two representative types of conditions using sleep hours and stress levels and its PSS-10 categorization version. Basic cognitive performance was assessed using the Stroop RT, N-back accuracy, and PVT RT variables. In the subsequent formal analyses for the first aim, examining associations between the conditions of interest as predictors and emotion regulation as the outcome, statistical analyses included simple and multiple linear regression, nested model comparison, and interaction analysis. For the second aim, examining associations between the theoretically selected predictive states and potential broader or individual task-specific cognitive performance, exploratory PCA, regression models, and ANCOVA were conducted. To support the validity and accuracy of statistical inference and estimation, model assumptions were evaluated for each fitted model using diagnostic procedures implemented as reusable functions in a separate module for consistent and convenient application. All analyses were conducted in R using RStudio.</w:t>
      </w:r>
    </w:p>
    <w:p w14:paraId="76569805" w14:textId="1F77B17A" w:rsidR="006958D9" w:rsidRPr="000B33B4" w:rsidRDefault="006958D9" w:rsidP="000B33B4">
      <w:pPr>
        <w:spacing w:after="0" w:line="240" w:lineRule="auto"/>
        <w:jc w:val="both"/>
        <w:rPr>
          <w:rFonts w:ascii="Times New Roman" w:hAnsi="Times New Roman" w:cs="Times New Roman"/>
          <w:sz w:val="24"/>
        </w:rPr>
      </w:pPr>
    </w:p>
    <w:sectPr w:rsidR="006958D9" w:rsidRPr="000B33B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82254"/>
    <w:rsid w:val="000A418E"/>
    <w:rsid w:val="000B33B4"/>
    <w:rsid w:val="000C619B"/>
    <w:rsid w:val="000C7E74"/>
    <w:rsid w:val="000E26CA"/>
    <w:rsid w:val="00112D47"/>
    <w:rsid w:val="00124737"/>
    <w:rsid w:val="00143732"/>
    <w:rsid w:val="00162431"/>
    <w:rsid w:val="0017160B"/>
    <w:rsid w:val="001826DA"/>
    <w:rsid w:val="00193AAD"/>
    <w:rsid w:val="001B1484"/>
    <w:rsid w:val="001B4BB5"/>
    <w:rsid w:val="002402F2"/>
    <w:rsid w:val="0025314D"/>
    <w:rsid w:val="002B6721"/>
    <w:rsid w:val="002D50A3"/>
    <w:rsid w:val="00340661"/>
    <w:rsid w:val="00367F69"/>
    <w:rsid w:val="00370DCA"/>
    <w:rsid w:val="003A1EB0"/>
    <w:rsid w:val="003A6F83"/>
    <w:rsid w:val="003B43C3"/>
    <w:rsid w:val="00403EBB"/>
    <w:rsid w:val="00450FD0"/>
    <w:rsid w:val="004529CF"/>
    <w:rsid w:val="00476F98"/>
    <w:rsid w:val="004A01B9"/>
    <w:rsid w:val="004C6492"/>
    <w:rsid w:val="004D243E"/>
    <w:rsid w:val="004E6377"/>
    <w:rsid w:val="0050317D"/>
    <w:rsid w:val="005105F7"/>
    <w:rsid w:val="00513D24"/>
    <w:rsid w:val="00585ACC"/>
    <w:rsid w:val="005B58AD"/>
    <w:rsid w:val="005C67BB"/>
    <w:rsid w:val="005E6A6F"/>
    <w:rsid w:val="00635C0A"/>
    <w:rsid w:val="006445AB"/>
    <w:rsid w:val="006958D9"/>
    <w:rsid w:val="00705250"/>
    <w:rsid w:val="00710B48"/>
    <w:rsid w:val="00747121"/>
    <w:rsid w:val="007A48B8"/>
    <w:rsid w:val="007B1C5B"/>
    <w:rsid w:val="007C0D37"/>
    <w:rsid w:val="007D56E3"/>
    <w:rsid w:val="00856811"/>
    <w:rsid w:val="00864F41"/>
    <w:rsid w:val="008A1BD7"/>
    <w:rsid w:val="008B617E"/>
    <w:rsid w:val="008C2804"/>
    <w:rsid w:val="008D4C55"/>
    <w:rsid w:val="008E2279"/>
    <w:rsid w:val="00906A3E"/>
    <w:rsid w:val="009329B6"/>
    <w:rsid w:val="00967C6F"/>
    <w:rsid w:val="009C6F19"/>
    <w:rsid w:val="009D14F2"/>
    <w:rsid w:val="009D334B"/>
    <w:rsid w:val="009F1A62"/>
    <w:rsid w:val="00A102F2"/>
    <w:rsid w:val="00A16F60"/>
    <w:rsid w:val="00A2230D"/>
    <w:rsid w:val="00A708C9"/>
    <w:rsid w:val="00A71F71"/>
    <w:rsid w:val="00A734AA"/>
    <w:rsid w:val="00A76FED"/>
    <w:rsid w:val="00A858E3"/>
    <w:rsid w:val="00AB3047"/>
    <w:rsid w:val="00AB77D1"/>
    <w:rsid w:val="00B15C69"/>
    <w:rsid w:val="00B77006"/>
    <w:rsid w:val="00BA7E73"/>
    <w:rsid w:val="00BB23A0"/>
    <w:rsid w:val="00BE0C60"/>
    <w:rsid w:val="00C160D5"/>
    <w:rsid w:val="00C17FD1"/>
    <w:rsid w:val="00C26C79"/>
    <w:rsid w:val="00C3287F"/>
    <w:rsid w:val="00C7630A"/>
    <w:rsid w:val="00C8618D"/>
    <w:rsid w:val="00C93DA0"/>
    <w:rsid w:val="00C96D56"/>
    <w:rsid w:val="00CF6E69"/>
    <w:rsid w:val="00D32208"/>
    <w:rsid w:val="00D41157"/>
    <w:rsid w:val="00D47FBC"/>
    <w:rsid w:val="00D64CB7"/>
    <w:rsid w:val="00D917D9"/>
    <w:rsid w:val="00DA6312"/>
    <w:rsid w:val="00E22924"/>
    <w:rsid w:val="00E51A6D"/>
    <w:rsid w:val="00E94447"/>
    <w:rsid w:val="00E966AE"/>
    <w:rsid w:val="00EC0033"/>
    <w:rsid w:val="00EC70AF"/>
    <w:rsid w:val="00F360E3"/>
    <w:rsid w:val="00F421A9"/>
    <w:rsid w:val="00F62049"/>
    <w:rsid w:val="00FB6856"/>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0CF52D5F-D01B-4644-9A93-C803F7DAE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4</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5</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6</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7</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8</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9</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10</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11</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12</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2</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14</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15</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16</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17</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18</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19</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20</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3</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13</b:RefOrder>
  </b:Source>
</b:Sources>
</file>

<file path=customXml/itemProps1.xml><?xml version="1.0" encoding="utf-8"?>
<ds:datastoreItem xmlns:ds="http://schemas.openxmlformats.org/officeDocument/2006/customXml" ds:itemID="{ED561CEB-6E5F-FC42-823F-07FB923DE5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4</Pages>
  <Words>1598</Words>
  <Characters>9109</Characters>
  <Application>Microsoft Office Word</Application>
  <DocSecurity>0</DocSecurity>
  <Lines>75</Lines>
  <Paragraphs>21</Paragraphs>
  <ScaleCrop>false</ScaleCrop>
  <Company/>
  <LinksUpToDate>false</LinksUpToDate>
  <CharactersWithSpaces>10686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30</cp:revision>
  <dcterms:created xsi:type="dcterms:W3CDTF">2026-08-17T01:50:00Z</dcterms:created>
  <dcterms:modified xsi:type="dcterms:W3CDTF">2026-08-26T03:27:00Z</dcterms:modified>
</cp:coreProperties>
</file>