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/>
          <w:b/>
          <w:color w:val="000000"/>
          <w:sz w:val="32"/>
        </w:rPr>
        <w:t>Highlights</w:t>
      </w:r>
    </w:p>
    <w:p>
      <w:pPr>
        <w:pStyle w:val="ListBullet"/>
        <w:spacing w:after="120" w:line="259" w:lineRule="auto"/>
      </w:pPr>
      <w:r>
        <w:t>A three-call grid isolates a 4.288-kW intermediate chronology contraction.</w:t>
      </w:r>
    </w:p>
    <w:p>
      <w:pPr>
        <w:pStyle w:val="ListBullet"/>
        <w:spacing w:after="120" w:line="259" w:lineRule="auto"/>
      </w:pPr>
      <w:r>
        <w:t>The contraction affects 52.148% of 2,188 units at the primary cell.</w:t>
      </w:r>
    </w:p>
    <w:p>
      <w:pPr>
        <w:pStyle w:val="ListBullet"/>
        <w:spacing w:after="120" w:line="259" w:lineRule="auto"/>
      </w:pPr>
      <w:r>
        <w:t>Greedy and LP dispatch match across all 70,016 scalar rows.</w:t>
      </w:r>
    </w:p>
    <w:p>
      <w:pPr>
        <w:pStyle w:val="ListBullet"/>
        <w:spacing w:after="120" w:line="259" w:lineRule="auto"/>
      </w:pPr>
      <w:r>
        <w:t>Nonlinear replay succeeds for 4,375/4,376 primary-cell units.</w:t>
      </w:r>
    </w:p>
    <w:p>
      <w:pPr>
        <w:pStyle w:val="ListBullet"/>
        <w:spacing w:after="120" w:line="259" w:lineRule="auto"/>
      </w:pPr>
      <w:r>
        <w:t>A 79.5-kW common offer reaches 99.15% joint planning/replay success.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subject>Applied Energy manuscript highlights</dc:subject>
  <dc:creator>Siqiang Zhao; Fengxiang Zhang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