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Note TN-2026-04</w:t>
      </w:r>
    </w:p>
    <w:p>
      <w:pPr>
        <w:pStyle w:val="Heading1"/>
      </w:pPr>
      <w:r>
        <w:t>Hydrostatic Load Estimate for a Cylindrical Body During Vertical Water Exit</w:t>
      </w:r>
    </w:p>
    <w:p>
      <w:r>
        <w:t>Prepared for internal design review. This note records the hydrostatic baseline used to size the vertical load case during water exit. It is a working estimate and is not a validation against measurement.</w:t>
      </w:r>
    </w:p>
    <w:p>
      <w:pPr>
        <w:pStyle w:val="Heading2"/>
      </w:pPr>
      <w:r>
        <w:t>1. Body and fluid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Body diameter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0.090 m</w:t>
            </w:r>
          </w:p>
        </w:tc>
      </w:tr>
      <w:tr>
        <w:tc>
          <w:tcPr>
            <w:tcW w:type="dxa" w:w="2880"/>
          </w:tcPr>
          <w:p>
            <w:r>
              <w:t>Body length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0.323 m</w:t>
            </w:r>
          </w:p>
        </w:tc>
      </w:tr>
      <w:tr>
        <w:tc>
          <w:tcPr>
            <w:tcW w:type="dxa" w:w="2880"/>
          </w:tcPr>
          <w:p>
            <w:r>
              <w:t>Body mass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2.030 kg</w:t>
            </w:r>
          </w:p>
        </w:tc>
      </w:tr>
      <w:tr>
        <w:tc>
          <w:tcPr>
            <w:tcW w:type="dxa" w:w="2880"/>
          </w:tcPr>
          <w:p>
            <w:r>
              <w:t>Water density</w:t>
            </w:r>
          </w:p>
        </w:tc>
        <w:tc>
          <w:tcPr>
            <w:tcW w:type="dxa" w:w="2880"/>
          </w:tcPr>
          <w:p>
            <w:r>
              <w:t>rho</w:t>
            </w:r>
          </w:p>
        </w:tc>
        <w:tc>
          <w:tcPr>
            <w:tcW w:type="dxa" w:w="2880"/>
          </w:tcPr>
          <w:p>
            <w:r>
              <w:t>1000 kg/m3</w:t>
            </w:r>
          </w:p>
        </w:tc>
      </w:tr>
      <w:tr>
        <w:tc>
          <w:tcPr>
            <w:tcW w:type="dxa" w:w="2880"/>
          </w:tcPr>
          <w:p>
            <w:r>
              <w:t>Gravitational acceleration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9.80665 m/s2</w:t>
            </w:r>
          </w:p>
        </w:tc>
      </w:tr>
    </w:tbl>
    <w:p>
      <w:pPr>
        <w:pStyle w:val="Heading2"/>
      </w:pPr>
      <w:r>
        <w:t>2. Derived quantities</w:t>
      </w:r>
    </w:p>
    <w:p>
      <w:r>
        <w:t>The displaced volume at full submersion follows from the cylindrical geometry, giving V = 2.054837215e-03 m3.</w:t>
      </w:r>
    </w:p>
    <w:p>
      <w:r>
        <w:t>The weight of the body is W = m g = 19.907499 N.</w:t>
      </w:r>
    </w:p>
    <w:p>
      <w:r>
        <w:t>The hydrostatic buoyancy force at full submersion is F_b = rho g V = 20.157953 N.</w:t>
      </w:r>
    </w:p>
    <w:p>
      <w:r>
        <w:t>Consequently the net upward hydrostatic force on a fully submerged body is 0.2505 N, and the buoyancy-to-weight ratio is 1.013.</w:t>
      </w:r>
    </w:p>
    <w:p>
      <w:pPr>
        <w:pStyle w:val="Heading2"/>
      </w:pPr>
      <w:r>
        <w:t>3. Load case for the exit transient</w:t>
      </w:r>
    </w:p>
    <w:p>
      <w:r>
        <w:t>During the vertical exit transient the submerged volume decreases monotonically from V to zero, so the buoyancy falls from 20.1580 N to zero while the weight remains 19.9075 N. The vertical load case is therefore taken as the fully submerged condition, 20.1580 N, applied together with the body weight.</w:t>
      </w:r>
    </w:p>
    <w:p>
      <w:pPr>
        <w:pStyle w:val="Heading2"/>
      </w:pPr>
      <w:r>
        <w:t>4. Limitations</w:t>
      </w:r>
    </w:p>
    <w:p>
      <w:r>
        <w:t>This note treats the free surface as flat and excludes surface tension, drag, added mass and any free-surface depression effect. Attitude is assumed vertical. No measurement data are used and no uncertainty estimate is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