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6E2B5">
      <w:pPr>
        <w:rPr>
          <w:b/>
          <w:bCs/>
        </w:rPr>
      </w:pPr>
      <w:r>
        <w:rPr>
          <w:b/>
          <w:bCs/>
        </w:rPr>
        <w:t>1. HOME (MAIN PAGE)</w:t>
      </w:r>
    </w:p>
    <w:p w14:paraId="1C49B4C5">
      <w:pPr>
        <w:rPr/>
      </w:pPr>
      <w:r>
        <w:rPr>
          <w:rFonts w:hint="default"/>
          <w:b/>
          <w:bCs/>
          <w:lang w:val="en-US"/>
        </w:rPr>
        <w:t xml:space="preserve">LOGO </w:t>
      </w:r>
      <w:r>
        <w:rPr>
          <w:b/>
          <w:bCs/>
        </w:rPr>
        <w:t>VTPN</w:t>
      </w:r>
      <w:r>
        <w:rPr>
          <w:b/>
          <w:bCs/>
        </w:rPr>
        <w:br w:type="textWrapping"/>
      </w:r>
      <w:r>
        <w:t>Utility settlement layer for startups without token infrastructure</w:t>
      </w:r>
    </w:p>
    <w:p w14:paraId="4E0862A0">
      <w:pPr>
        <w:rPr/>
      </w:pPr>
      <w:r>
        <w:t>A lightweight protocol token for value exchange, liquidity, and integration between early-stage digital products.</w:t>
      </w:r>
    </w:p>
    <w:p w14:paraId="21CFCAFE">
      <w:pPr>
        <w:rPr/>
      </w:pPr>
      <w:r>
        <w:t>No investment function. No financial rights.</w:t>
      </w:r>
    </w:p>
    <w:p w14:paraId="1D92421B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ABD60">
      <w:pPr>
        <w:rPr>
          <w:b/>
          <w:bCs/>
        </w:rPr>
      </w:pPr>
      <w:r>
        <w:rPr>
          <w:b/>
          <w:bCs/>
        </w:rPr>
        <w:t>What is VTPN</w:t>
      </w:r>
    </w:p>
    <w:p w14:paraId="3E81101F">
      <w:pPr>
        <w:rPr/>
      </w:pPr>
      <w:r>
        <w:t>VTPN is used as a functional layer inside integrated ecosystems:</w:t>
      </w:r>
    </w:p>
    <w:p w14:paraId="2CF90F06">
      <w:pPr>
        <w:rPr/>
      </w:pPr>
      <w:r>
        <w:t>— settlement unit for digital interactions</w:t>
      </w:r>
      <w:r>
        <w:rPr/>
        <w:br w:type="textWrapping"/>
      </w:r>
      <w:r>
        <w:t>— intermediate asset for value exchange</w:t>
      </w:r>
      <w:r>
        <w:rPr/>
        <w:br w:type="textWrapping"/>
      </w:r>
      <w:r>
        <w:t>— shared liquidity layer for applications</w:t>
      </w:r>
    </w:p>
    <w:p w14:paraId="5AEB1622">
      <w:pPr>
        <w:rPr/>
      </w:pPr>
      <w:r>
        <w:t>It removes the need to design and maintain custom tokenomics.</w:t>
      </w:r>
    </w:p>
    <w:p w14:paraId="085D0F4D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ABC39">
      <w:pPr>
        <w:rPr>
          <w:b/>
          <w:bCs/>
        </w:rPr>
      </w:pPr>
      <w:r>
        <w:rPr>
          <w:b/>
          <w:bCs/>
        </w:rPr>
        <w:t>Core Principles</w:t>
      </w:r>
    </w:p>
    <w:p w14:paraId="5B83AAAA">
      <w:pPr>
        <w:rPr/>
      </w:pPr>
      <w:r>
        <w:t>VTPN is a utility-only protocol layer:</w:t>
      </w:r>
    </w:p>
    <w:p w14:paraId="7A125570">
      <w:pPr>
        <w:rPr/>
      </w:pPr>
      <w:r>
        <w:t>— no staking</w:t>
      </w:r>
      <w:r>
        <w:rPr/>
        <w:br w:type="textWrapping"/>
      </w:r>
      <w:r>
        <w:t>— no yield generation</w:t>
      </w:r>
      <w:r>
        <w:rPr/>
        <w:br w:type="textWrapping"/>
      </w:r>
      <w:r>
        <w:t>— no dividends or profit distribution</w:t>
      </w:r>
      <w:r>
        <w:rPr/>
        <w:br w:type="textWrapping"/>
      </w:r>
      <w:r>
        <w:t>— no governance rights</w:t>
      </w:r>
      <w:r>
        <w:rPr/>
        <w:br w:type="textWrapping"/>
      </w:r>
      <w:r>
        <w:t>— no claims on revenue or assets</w:t>
      </w:r>
    </w:p>
    <w:p w14:paraId="3F4907B7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4CD26">
      <w:pPr>
        <w:rPr>
          <w:b/>
          <w:bCs/>
        </w:rPr>
      </w:pPr>
      <w:r>
        <w:rPr>
          <w:b/>
          <w:bCs/>
        </w:rPr>
        <w:t>Supply Overview</w:t>
      </w:r>
    </w:p>
    <w:p w14:paraId="4D8F3077">
      <w:pPr>
        <w:rPr/>
      </w:pPr>
      <w:r>
        <w:t>Total supply: 100,000,000 VTPN</w:t>
      </w:r>
    </w:p>
    <w:p w14:paraId="521663F8">
      <w:pPr>
        <w:rPr/>
      </w:pPr>
      <w:r>
        <w:t>— 90% liquidity allocation</w:t>
      </w:r>
      <w:r>
        <w:rPr/>
        <w:br w:type="textWrapping"/>
      </w:r>
      <w:r>
        <w:t>— 10% long-term vesting (protocol author)</w:t>
      </w:r>
    </w:p>
    <w:p w14:paraId="063744B3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B08CC">
      <w:pPr>
        <w:rPr>
          <w:b/>
          <w:bCs/>
        </w:rPr>
      </w:pPr>
      <w:r>
        <w:rPr>
          <w:b/>
          <w:bCs/>
        </w:rPr>
        <w:t>Ecosystem Support (Optional)</w:t>
      </w:r>
    </w:p>
    <w:p w14:paraId="4094DF65">
      <w:pPr>
        <w:rPr/>
      </w:pPr>
      <w:r>
        <w:t>The protocol may support integrations through optional ecosystem incentives:</w:t>
      </w:r>
    </w:p>
    <w:p w14:paraId="39ACDAFD">
      <w:pPr>
        <w:rPr/>
      </w:pPr>
      <w:r>
        <w:t>— grants for integration</w:t>
      </w:r>
      <w:r>
        <w:rPr/>
        <w:br w:type="textWrapping"/>
      </w:r>
      <w:r>
        <w:t>— onboarding support mechanisms</w:t>
      </w:r>
      <w:r>
        <w:rPr/>
        <w:br w:type="textWrapping"/>
      </w:r>
      <w:r>
        <w:t>— cost-offset programs for adoption</w:t>
      </w:r>
    </w:p>
    <w:p w14:paraId="65934747">
      <w:pPr>
        <w:rPr/>
      </w:pPr>
      <w:r>
        <w:t>These are discretionary and not guaranteed.</w:t>
      </w:r>
    </w:p>
    <w:p w14:paraId="1A8EAA6C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4EAE8">
      <w:pPr>
        <w:rPr>
          <w:b/>
          <w:bCs/>
        </w:rPr>
      </w:pPr>
      <w:r>
        <w:rPr>
          <w:b/>
          <w:bCs/>
        </w:rPr>
        <w:t>CTA</w:t>
      </w:r>
    </w:p>
    <w:p w14:paraId="66A2D599">
      <w:pPr>
        <w:rPr/>
      </w:pPr>
      <w:r>
        <w:t>Explore protocol details</w:t>
      </w:r>
      <w:r>
        <w:rPr/>
        <w:br w:type="textWrapping"/>
      </w:r>
      <w:r>
        <w:t>View liquidity model</w:t>
      </w:r>
      <w:r>
        <w:rPr/>
        <w:br w:type="textWrapping"/>
      </w:r>
      <w:r>
        <w:t>View treasury</w:t>
      </w:r>
    </w:p>
    <w:p w14:paraId="00B29ACA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EBD96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554C4">
      <w:pPr>
        <w:rPr>
          <w:b/>
          <w:bCs/>
        </w:rPr>
      </w:pPr>
      <w:r>
        <w:rPr>
          <w:b/>
          <w:bCs/>
        </w:rPr>
        <w:t>2. LIQUIDITY MODEL PAGE</w:t>
      </w:r>
    </w:p>
    <w:p w14:paraId="4582C962">
      <w:pPr>
        <w:rPr>
          <w:b/>
          <w:bCs/>
        </w:rPr>
      </w:pPr>
      <w:r>
        <w:rPr>
          <w:b/>
          <w:bCs/>
        </w:rPr>
        <w:t>Liquidity Architecture</w:t>
      </w:r>
    </w:p>
    <w:p w14:paraId="6336197B">
      <w:pPr>
        <w:rPr/>
      </w:pPr>
      <w:r>
        <w:t>VTPN uses a staged liquidity expansion model based on a treasury reserve.</w:t>
      </w:r>
    </w:p>
    <w:p w14:paraId="18D36B9B">
      <w:pPr>
        <w:rPr/>
      </w:pPr>
      <w:r>
        <w:t>Liquidity is deployed through paired asset provisioning in equal value proportions:</w:t>
      </w:r>
      <w:r>
        <w:rPr/>
        <w:br w:type="textWrapping"/>
      </w:r>
      <w:r>
        <w:t>VTPN + counter-asset (USDC, USDT, BTC, ETH, BNB)</w:t>
      </w:r>
    </w:p>
    <w:p w14:paraId="61A9D4B1">
      <w:pPr>
        <w:rPr/>
      </w:pPr>
      <w:r>
        <w:t>Liquidity additions follow a predefined allocation rule:</w:t>
      </w:r>
    </w:p>
    <w:p w14:paraId="15725EF7">
      <w:pPr>
        <w:rPr/>
      </w:pPr>
      <w:r>
        <w:t>— for each liquidity expansion event, approximately 5 parts of VTPN are allocated to stablecoin pools</w:t>
      </w:r>
      <w:r>
        <w:rPr/>
        <w:br w:type="textWrapping"/>
      </w:r>
      <w:r>
        <w:t>— and 1 part to non-stable asset pools</w:t>
      </w:r>
    </w:p>
    <w:p w14:paraId="66C37AF1">
      <w:pPr>
        <w:rPr/>
      </w:pPr>
      <w:r>
        <w:t>This ratio applies to the distribution of newly added liquidity and does not imply maintenance of relative pool values over time.</w:t>
      </w:r>
    </w:p>
    <w:p w14:paraId="26125793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59CE7">
      <w:pPr>
        <w:rPr>
          <w:b/>
          <w:bCs/>
        </w:rPr>
      </w:pPr>
      <w:r>
        <w:rPr>
          <w:b/>
          <w:bCs/>
        </w:rPr>
        <w:t>Treasury</w:t>
      </w:r>
    </w:p>
    <w:p w14:paraId="493DD301">
      <w:pPr>
        <w:rPr/>
      </w:pPr>
      <w:r>
        <w:t>Treasury address (on-chain verifiable):</w:t>
      </w:r>
      <w:r>
        <w:rPr/>
        <w:br w:type="textWrapping"/>
      </w:r>
      <w:r>
        <w:rPr>
          <w:rFonts w:hint="default"/>
        </w:rPr>
        <w:t>0x437cA3929894B8f81387F38AF0E8a6d30BDF90f7</w:t>
      </w:r>
    </w:p>
    <w:p w14:paraId="3AA01A9F">
      <w:pPr>
        <w:rPr/>
      </w:pPr>
      <w:r>
        <w:t>Initial treasury allocation:</w:t>
      </w:r>
      <w:r>
        <w:rPr/>
        <w:br w:type="textWrapping"/>
      </w:r>
      <w:r>
        <w:t>90,000,000 VTPN</w:t>
      </w:r>
    </w:p>
    <w:p w14:paraId="1EBEB3B3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D6500">
      <w:pPr>
        <w:rPr>
          <w:b/>
          <w:bCs/>
        </w:rPr>
      </w:pPr>
      <w:r>
        <w:rPr>
          <w:b/>
          <w:bCs/>
        </w:rPr>
        <w:t>Liquidity Expansion Rules</w:t>
      </w:r>
    </w:p>
    <w:p w14:paraId="6FA2AB34">
      <w:pPr>
        <w:rPr/>
      </w:pPr>
      <w:r>
        <w:t>Liquidity is expanded according to predefined protocol rules:</w:t>
      </w:r>
    </w:p>
    <w:p w14:paraId="45BEC134">
      <w:pPr>
        <w:rPr/>
      </w:pPr>
      <w:r>
        <w:t>— liquidity is added in balanced asset pairs</w:t>
      </w:r>
      <w:r>
        <w:rPr/>
        <w:br w:type="textWrapping"/>
      </w:r>
      <w:r>
        <w:t>— expansion follows system parameters</w:t>
      </w:r>
      <w:r>
        <w:rPr/>
        <w:br w:type="textWrapping"/>
      </w:r>
      <w:r>
        <w:t>— execution may initially include operational/manual steps, transitioning toward smart contract automation over time</w:t>
      </w:r>
    </w:p>
    <w:p w14:paraId="0AC4D052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D5A25">
      <w:pPr>
        <w:rPr>
          <w:b/>
          <w:bCs/>
        </w:rPr>
      </w:pPr>
      <w:r>
        <w:rPr>
          <w:b/>
          <w:bCs/>
        </w:rPr>
        <w:t>Design Intent</w:t>
      </w:r>
    </w:p>
    <w:p w14:paraId="3A777C8D">
      <w:pPr>
        <w:rPr/>
      </w:pPr>
      <w:r>
        <w:t>The liquidity model is designed to:</w:t>
      </w:r>
    </w:p>
    <w:p w14:paraId="190EDE3B">
      <w:pPr>
        <w:rPr/>
      </w:pPr>
      <w:r>
        <w:t>— maintain structural consistency</w:t>
      </w:r>
      <w:r>
        <w:rPr/>
        <w:br w:type="textWrapping"/>
      </w:r>
      <w:r>
        <w:t>— avoid arbitrary market intervention</w:t>
      </w:r>
      <w:r>
        <w:rPr/>
        <w:br w:type="textWrapping"/>
      </w:r>
      <w:r>
        <w:t>— support gradual protocol adoption</w:t>
      </w:r>
    </w:p>
    <w:p w14:paraId="144ABF68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4DEA4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86B64">
      <w:pPr>
        <w:rPr>
          <w:b/>
          <w:bCs/>
        </w:rPr>
      </w:pPr>
      <w:r>
        <w:rPr>
          <w:b/>
          <w:bCs/>
        </w:rPr>
        <w:t>3. TREASURY PAGE</w:t>
      </w:r>
    </w:p>
    <w:p w14:paraId="72D3AFE3">
      <w:pPr>
        <w:rPr>
          <w:b/>
          <w:bCs/>
        </w:rPr>
      </w:pPr>
      <w:r>
        <w:rPr>
          <w:b/>
          <w:bCs/>
        </w:rPr>
        <w:t>Overview</w:t>
      </w:r>
    </w:p>
    <w:p w14:paraId="4BB512C6">
      <w:pPr>
        <w:rPr/>
      </w:pPr>
      <w:r>
        <w:t>The treasury is a protocol-controlled reserve used for liquidity provisioning and ecosystem operations.</w:t>
      </w:r>
    </w:p>
    <w:p w14:paraId="64245E20">
      <w:pPr>
        <w:rPr/>
      </w:pPr>
      <w:r>
        <w:t>It is fully transparent and verifiable on-chain.</w:t>
      </w:r>
    </w:p>
    <w:p w14:paraId="17C1C704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13388">
      <w:pPr>
        <w:rPr/>
      </w:pPr>
      <w:r>
        <w:t>Treasury Address</w:t>
      </w:r>
    </w:p>
    <w:p w14:paraId="40DF438E">
      <w:pPr>
        <w:rPr/>
      </w:pPr>
      <w:r>
        <w:rPr>
          <w:rFonts w:hint="default"/>
        </w:rPr>
        <w:t>0x437cA3929894B8f81387F38AF0E8a6d30BDF90f7</w:t>
      </w: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AFAE0">
      <w:pPr>
        <w:rPr>
          <w:b/>
          <w:bCs/>
        </w:rPr>
      </w:pPr>
      <w:r>
        <w:rPr>
          <w:b/>
          <w:bCs/>
        </w:rPr>
        <w:t>Allocation</w:t>
      </w:r>
    </w:p>
    <w:p w14:paraId="435FF091">
      <w:pPr>
        <w:rPr/>
      </w:pPr>
      <w:r>
        <w:t>At launch, the treasury holds:</w:t>
      </w:r>
      <w:bookmarkStart w:id="0" w:name="_GoBack"/>
      <w:bookmarkEnd w:id="0"/>
      <w:r>
        <w:rPr/>
        <w:br w:type="textWrapping"/>
      </w:r>
      <w:r>
        <w:t>90,000,000 VTPN</w:t>
      </w:r>
    </w:p>
    <w:p w14:paraId="156DDEF2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6163E">
      <w:pPr>
        <w:rPr>
          <w:b/>
          <w:bCs/>
        </w:rPr>
      </w:pPr>
      <w:r>
        <w:rPr>
          <w:b/>
          <w:bCs/>
        </w:rPr>
        <w:t>Role of Treasury</w:t>
      </w:r>
    </w:p>
    <w:p w14:paraId="2011BB85">
      <w:pPr>
        <w:rPr/>
      </w:pPr>
      <w:r>
        <w:t>The treasury is used for:</w:t>
      </w:r>
    </w:p>
    <w:p w14:paraId="513B33C3">
      <w:pPr>
        <w:rPr/>
      </w:pPr>
      <w:r>
        <w:t>— liquidity provisioning</w:t>
      </w:r>
      <w:r>
        <w:rPr/>
        <w:br w:type="textWrapping"/>
      </w:r>
      <w:r>
        <w:t>— protocol expansion</w:t>
      </w:r>
      <w:r>
        <w:rPr/>
        <w:br w:type="textWrapping"/>
      </w:r>
      <w:r>
        <w:t>— ecosystem support mechanisms (optional use)</w:t>
      </w:r>
    </w:p>
    <w:p w14:paraId="26780F8E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60D16">
      <w:pPr>
        <w:rPr>
          <w:b/>
          <w:bCs/>
        </w:rPr>
      </w:pPr>
      <w:r>
        <w:rPr>
          <w:b/>
          <w:bCs/>
        </w:rPr>
        <w:t>Transparency</w:t>
      </w:r>
    </w:p>
    <w:p w14:paraId="6377D934">
      <w:pPr>
        <w:rPr/>
      </w:pPr>
      <w:r>
        <w:t>All treasury movements are intended to be publicly verifiable on-chain.</w:t>
      </w:r>
    </w:p>
    <w:p w14:paraId="1C87687A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F43C7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A83BF">
      <w:pPr>
        <w:rPr>
          <w:b/>
          <w:bCs/>
        </w:rPr>
      </w:pPr>
      <w:r>
        <w:rPr>
          <w:b/>
          <w:bCs/>
        </w:rPr>
        <w:t>4. VESTING PAGE</w:t>
      </w:r>
    </w:p>
    <w:p w14:paraId="2A60873B">
      <w:pPr>
        <w:rPr>
          <w:b/>
          <w:bCs/>
        </w:rPr>
      </w:pPr>
      <w:r>
        <w:rPr>
          <w:b/>
          <w:bCs/>
        </w:rPr>
        <w:t>Overview</w:t>
      </w:r>
    </w:p>
    <w:p w14:paraId="1FAACA49">
      <w:pPr>
        <w:rPr/>
      </w:pPr>
      <w:r>
        <w:t>10% of the total supply is allocated to long-term vesting for the protocol author.</w:t>
      </w:r>
    </w:p>
    <w:p w14:paraId="4A4511C5">
      <w:pPr>
        <w:rPr/>
      </w:pPr>
      <w:r>
        <w:t>The vesting is implemented via a dedicated smart contract.</w:t>
      </w:r>
    </w:p>
    <w:p w14:paraId="371FA993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9893F">
      <w:pPr>
        <w:rPr>
          <w:b/>
          <w:bCs/>
        </w:rPr>
      </w:pPr>
      <w:r>
        <w:rPr>
          <w:b/>
          <w:bCs/>
        </w:rPr>
        <w:t>Vesting Structure</w:t>
      </w:r>
    </w:p>
    <w:p w14:paraId="600FE56D">
      <w:pPr>
        <w:rPr/>
      </w:pPr>
      <w:r>
        <w:t>The vesting schedule is predefined and implemented in an active smart contract.</w:t>
      </w:r>
    </w:p>
    <w:p w14:paraId="43F4853B">
      <w:pPr>
        <w:rPr/>
      </w:pPr>
      <w:r>
        <w:t>The schedule is fixed at deployment and cannot be modified after initialization.</w:t>
      </w:r>
    </w:p>
    <w:p w14:paraId="3D737F1D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27218">
      <w:pPr>
        <w:rPr>
          <w:b/>
          <w:bCs/>
        </w:rPr>
      </w:pPr>
      <w:r>
        <w:rPr>
          <w:b/>
          <w:bCs/>
        </w:rPr>
        <w:t>Contract Properties</w:t>
      </w:r>
    </w:p>
    <w:p w14:paraId="5C4B2698">
      <w:pPr>
        <w:rPr/>
      </w:pPr>
      <w:r>
        <w:t>— immutable after deployment</w:t>
      </w:r>
      <w:r>
        <w:rPr/>
        <w:br w:type="textWrapping"/>
      </w:r>
      <w:r>
        <w:t>— no administrative controls or upgrade mechanisms</w:t>
      </w:r>
      <w:r>
        <w:rPr/>
        <w:br w:type="textWrapping"/>
      </w:r>
      <w:r>
        <w:t>— no manual overrides</w:t>
      </w:r>
      <w:r>
        <w:rPr/>
        <w:br w:type="textWrapping"/>
      </w:r>
      <w:r>
        <w:t>— release logic enforced entirely on-chain</w:t>
      </w:r>
    </w:p>
    <w:p w14:paraId="1114A595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DA1A9">
      <w:pPr>
        <w:rPr>
          <w:b/>
          <w:bCs/>
        </w:rPr>
      </w:pPr>
      <w:r>
        <w:rPr>
          <w:b/>
          <w:bCs/>
        </w:rPr>
        <w:t>Distribution Mechanism</w:t>
      </w:r>
    </w:p>
    <w:p w14:paraId="6D87F4F5">
      <w:pPr>
        <w:rPr/>
      </w:pPr>
      <w:r>
        <w:t>Token distribution follows a pull-based model:</w:t>
      </w:r>
    </w:p>
    <w:p w14:paraId="4384FD0B">
      <w:pPr>
        <w:rPr/>
      </w:pPr>
      <w:r>
        <w:t>— tokens become available according to the predefined schedule</w:t>
      </w:r>
      <w:r>
        <w:rPr/>
        <w:br w:type="textWrapping"/>
      </w:r>
      <w:r>
        <w:t>— distribution is executed upon user interaction (claim)</w:t>
      </w:r>
      <w:r>
        <w:rPr/>
        <w:br w:type="textWrapping"/>
      </w:r>
      <w:r>
        <w:t>— the contract does not perform automated transactions</w:t>
      </w:r>
    </w:p>
    <w:p w14:paraId="148665D2">
      <w:pPr>
        <w:rPr/>
      </w:pPr>
      <w:r>
        <w:t>The contract does not require operational funding and executes distribution upon user interaction.</w:t>
      </w:r>
    </w:p>
    <w:p w14:paraId="53E150E7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6AEB9">
      <w:pPr>
        <w:rPr>
          <w:b/>
          <w:bCs/>
        </w:rPr>
      </w:pPr>
      <w:r>
        <w:rPr>
          <w:b/>
          <w:bCs/>
        </w:rPr>
        <w:t>Purpose</w:t>
      </w:r>
    </w:p>
    <w:p w14:paraId="4C3748D5">
      <w:pPr>
        <w:rPr/>
      </w:pPr>
      <w:r>
        <w:t>The vesting model is designed to ensure:</w:t>
      </w:r>
    </w:p>
    <w:p w14:paraId="63754F04">
      <w:pPr>
        <w:rPr/>
      </w:pPr>
      <w:r>
        <w:t>— long-term alignment with protocol development</w:t>
      </w:r>
      <w:r>
        <w:rPr/>
        <w:br w:type="textWrapping"/>
      </w:r>
      <w:r>
        <w:t>— gradual release of tokens into circulation</w:t>
      </w:r>
      <w:r>
        <w:rPr/>
        <w:br w:type="textWrapping"/>
      </w:r>
      <w:r>
        <w:t>— predictable supply dynamics over time</w:t>
      </w:r>
    </w:p>
    <w:p w14:paraId="46DBC0E1">
      <w:pPr>
        <w:rPr/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1B0EF">
      <w:pPr>
        <w:rPr>
          <w:b/>
          <w:bCs/>
        </w:rPr>
      </w:pPr>
      <w:r>
        <w:rPr>
          <w:b/>
          <w:bCs/>
        </w:rPr>
        <w:t>Vesting Schedule</w:t>
      </w:r>
    </w:p>
    <w:p w14:paraId="1BE14B08">
      <w:pPr>
        <w:rPr/>
      </w:pPr>
      <w:r>
        <w:t>The vesting schedule is outlined below and enforced via a deployed smart contract.</w:t>
      </w:r>
    </w:p>
    <w:p w14:paraId="7CD2DBD9">
      <w:pPr>
        <w:rPr/>
      </w:pPr>
      <w:r>
        <w:t>[Insert chart / table — monthly or yearly breakdown]</w:t>
      </w:r>
    </w:p>
    <w:p w14:paraId="3DE02933">
      <w:pPr>
        <w:rPr/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B49A1">
      <w:pPr>
        <w:rPr>
          <w:b/>
          <w:bCs/>
        </w:rPr>
      </w:pPr>
      <w:r>
        <w:rPr>
          <w:b/>
          <w:bCs/>
        </w:rPr>
        <w:t>Contract</w:t>
      </w:r>
    </w:p>
    <w:p w14:paraId="438DCB0A">
      <w:pPr>
        <w:rPr/>
      </w:pPr>
      <w:r>
        <w:t>Vesting contract (on-chain):</w:t>
      </w:r>
    </w:p>
    <w:p w14:paraId="2AAA7F2B">
      <w:pPr>
        <w:rPr/>
      </w:pPr>
      <w:r>
        <w:t>[insert contract address / explorer link]</w:t>
      </w:r>
    </w:p>
    <w:p w14:paraId="28601540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811A6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8E726">
      <w:pPr>
        <w:rPr>
          <w:b/>
          <w:bCs/>
        </w:rPr>
      </w:pPr>
      <w:r>
        <w:rPr>
          <w:b/>
          <w:bCs/>
        </w:rPr>
        <w:t>5. ECOSYSTEM SUPPORT PAGE</w:t>
      </w:r>
    </w:p>
    <w:p w14:paraId="333C57F0">
      <w:pPr>
        <w:rPr>
          <w:b/>
          <w:bCs/>
        </w:rPr>
      </w:pPr>
      <w:r>
        <w:rPr>
          <w:b/>
          <w:bCs/>
        </w:rPr>
        <w:t>Overview</w:t>
      </w:r>
    </w:p>
    <w:p w14:paraId="67F88E36">
      <w:pPr>
        <w:rPr/>
      </w:pPr>
      <w:r>
        <w:t>VTPN may support ecosystem participants through optional incentive mechanisms.</w:t>
      </w:r>
    </w:p>
    <w:p w14:paraId="79C0D9EA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9FCD5">
      <w:pPr>
        <w:rPr>
          <w:b/>
          <w:bCs/>
        </w:rPr>
      </w:pPr>
      <w:r>
        <w:rPr>
          <w:b/>
          <w:bCs/>
        </w:rPr>
        <w:t>Support Types</w:t>
      </w:r>
    </w:p>
    <w:p w14:paraId="68A62BCA">
      <w:pPr>
        <w:rPr/>
      </w:pPr>
      <w:r>
        <w:t>— integration grants</w:t>
      </w:r>
      <w:r>
        <w:rPr/>
        <w:br w:type="textWrapping"/>
      </w:r>
      <w:r>
        <w:t>— onboarding assistance</w:t>
      </w:r>
      <w:r>
        <w:rPr/>
        <w:br w:type="textWrapping"/>
      </w:r>
      <w:r>
        <w:t>— cost-offset mechanisms for adoption</w:t>
      </w:r>
    </w:p>
    <w:p w14:paraId="57B01726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FA6A6">
      <w:pPr>
        <w:rPr>
          <w:b/>
          <w:bCs/>
        </w:rPr>
      </w:pPr>
      <w:r>
        <w:rPr>
          <w:b/>
          <w:bCs/>
        </w:rPr>
        <w:t>Important Note</w:t>
      </w:r>
    </w:p>
    <w:p w14:paraId="488D10DC">
      <w:pPr>
        <w:rPr/>
      </w:pPr>
      <w:r>
        <w:t>These mechanisms are:</w:t>
      </w:r>
    </w:p>
    <w:p w14:paraId="3B5AA741">
      <w:pPr>
        <w:rPr/>
      </w:pPr>
      <w:r>
        <w:t>— not guaranteed</w:t>
      </w:r>
      <w:r>
        <w:rPr/>
        <w:br w:type="textWrapping"/>
      </w:r>
      <w:r>
        <w:t>— not automatic</w:t>
      </w:r>
      <w:r>
        <w:rPr/>
        <w:br w:type="textWrapping"/>
      </w:r>
      <w:r>
        <w:t>— applied at protocol discretion based on ecosystem development needs</w:t>
      </w:r>
    </w:p>
    <w:p w14:paraId="05FBD3A9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A2A5F">
      <w:pPr>
        <w:rPr>
          <w:b/>
          <w:bCs/>
        </w:rPr>
      </w:pPr>
      <w:r>
        <w:rPr>
          <w:b/>
          <w:bCs/>
        </w:rPr>
        <w:t>Philosophy</w:t>
      </w:r>
    </w:p>
    <w:p w14:paraId="6F253301">
      <w:pPr>
        <w:rPr/>
      </w:pPr>
      <w:r>
        <w:t>The goal is to reduce friction for startups adopting shared infrastructure without requiring independent token systems.</w:t>
      </w:r>
    </w:p>
    <w:p w14:paraId="73F56F32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C0B39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29D7D">
      <w:pPr>
        <w:rPr>
          <w:b/>
          <w:bCs/>
        </w:rPr>
      </w:pPr>
      <w:r>
        <w:rPr>
          <w:b/>
          <w:bCs/>
        </w:rPr>
        <w:t>6. DISCLAIMER PAGE (OR FOOTER SECTION)</w:t>
      </w:r>
    </w:p>
    <w:p w14:paraId="32F6C3DA">
      <w:pPr>
        <w:rPr>
          <w:b/>
          <w:bCs/>
        </w:rPr>
      </w:pPr>
      <w:r>
        <w:rPr>
          <w:b/>
          <w:bCs/>
        </w:rPr>
        <w:t>Legal Notice</w:t>
      </w:r>
    </w:p>
    <w:p w14:paraId="26E0A862">
      <w:pPr>
        <w:rPr/>
      </w:pPr>
      <w:r>
        <w:t>VTPN is a utility protocol token and does not represent an investment product.</w:t>
      </w:r>
    </w:p>
    <w:p w14:paraId="29604107">
      <w:pPr>
        <w:rPr/>
      </w:pPr>
      <w:r>
        <w:t>It does not provide:</w:t>
      </w:r>
    </w:p>
    <w:p w14:paraId="5A36D23F">
      <w:pPr>
        <w:rPr/>
      </w:pPr>
      <w:r>
        <w:t>— rights to profit</w:t>
      </w:r>
      <w:r>
        <w:rPr/>
        <w:br w:type="textWrapping"/>
      </w:r>
      <w:r>
        <w:t>— income distribution</w:t>
      </w:r>
      <w:r>
        <w:rPr/>
        <w:br w:type="textWrapping"/>
      </w:r>
      <w:r>
        <w:t>— ownership claims</w:t>
      </w:r>
      <w:r>
        <w:rPr/>
        <w:br w:type="textWrapping"/>
      </w:r>
      <w:r>
        <w:t>— governance rights</w:t>
      </w:r>
    </w:p>
    <w:p w14:paraId="528A0969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23700">
      <w:pPr>
        <w:rPr>
          <w:b/>
          <w:bCs/>
        </w:rPr>
      </w:pPr>
      <w:r>
        <w:rPr>
          <w:b/>
          <w:bCs/>
        </w:rPr>
        <w:t>Risk Notice</w:t>
      </w:r>
    </w:p>
    <w:p w14:paraId="331EA204">
      <w:pPr>
        <w:rPr/>
      </w:pPr>
      <w:r>
        <w:t>Interaction with digital assets involves risk and is entirely voluntary.</w:t>
      </w:r>
    </w:p>
    <w:p w14:paraId="333EFB0E">
      <w:pPr>
        <w:rPr/>
      </w:pPr>
    </w:p>
    <w:p w14:paraId="6DD1E6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A3FA7"/>
    <w:rsid w:val="7B2A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2026-05-05T05:28:00Z</dcterms:created>
  <dc:creator>home</dc:creator>
  <cp:lastModifiedBy>home</cp:lastModifiedBy>
  <dcterms:modified xsi:type="dcterms:W3CDTF">2026-05-05T11:50:07Z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A5850FB4C7B144D6B234DD084F406E10_11</vt:lpwstr>
  </property>
  <property fmtid="{D5CDD505-2E9C-101B-9397-08002B2CF9AE}" pid="4" name="KSOTemplateDocerSaveRecord">
    <vt:lpwstr>eyJoZGlkIjoiZTY0MGEzMzAyMjBjZmNmZjRmMTI5ZDMwZmYxZTM2MDIifQ==</vt:lpwstr>
  </property>
</Properties>
</file>